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Morales, Paolo Antonio M.</w:t>
            </w:r>
          </w:p>
          <w:p w:rsidR="00000000" w:rsidDel="00000000" w:rsidP="00000000" w:rsidRDefault="00000000" w:rsidRPr="00000000" w14:paraId="00000008">
            <w:pPr>
              <w:pageBreakBefore w:val="0"/>
              <w:widowControl w:val="0"/>
              <w:rPr/>
            </w:pPr>
            <w:r w:rsidDel="00000000" w:rsidR="00000000" w:rsidRPr="00000000">
              <w:rPr>
                <w:rtl w:val="0"/>
              </w:rPr>
              <w:t xml:space="preserve">Factors Affecting Compliance of Nurses to FUTURE Ventilator-Associated Pneumonia (VAP) Bundle of Care</w:t>
            </w:r>
          </w:p>
          <w:p w:rsidR="00000000" w:rsidDel="00000000" w:rsidP="00000000" w:rsidRDefault="00000000" w:rsidRPr="00000000" w14:paraId="00000009">
            <w:pPr>
              <w:pageBreakBefore w:val="0"/>
              <w:widowControl w:val="0"/>
              <w:rPr/>
            </w:pPr>
            <w:r w:rsidDel="00000000" w:rsidR="00000000" w:rsidRPr="00000000">
              <w:rPr>
                <w:rtl w:val="0"/>
              </w:rPr>
              <w:t xml:space="preserve">2014</w:t>
            </w:r>
          </w:p>
          <w:p w:rsidR="00000000" w:rsidDel="00000000" w:rsidP="00000000" w:rsidRDefault="00000000" w:rsidRPr="00000000" w14:paraId="0000000A">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This research study sought to determine the compliance of nurses in the adult ICUs to the FUTURE VAP bundle of care. This study employed a quantitative, descriptive, correlational study. The study was conducted in the medical-surgical intensive care unit and cardiovascular-neurological intensive care unit of Asian Hospital and Medical Center. The sample was comprised of all the 26 adult intensive care unit nurses employed in the said units. The researcher developed an observational checklist which was patterned from the checklist provided by Patient Safety First (2008) and a 34-item questionnaire to measure the respondents’ perception of factors affecting the compliance and their knowledge on the FUTURE VAP bundle of care.</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Results indicated that the compliance to the FUTURE VAP bundle of care is high. Significant factors affecting compliance to FUTURE VAP bundle of care include level of experience and perceived barriers to FUTURE VAP bundle of care. Experience gained over time contributes to increased compliance. The higher the perceived barriers the FUTURE VAP bundle of care, the lower the compliance to the FUTURE VAP bundle of care. No significant relationships were found between compliance and the following factors: knowledge of FUTURE VAP bundle of care, perceive self-efficacy on FUTURE VAP bundle of care, perceived outcome expectance on FUTURE VAP bundle of care and perceived facilitators to FUTURE VAP bundle of care. Review of supporting literature on these findings point out that behavior change is needed for the desired behavior, which is compliance, to be translated into practice. The does must be motivated toward behavior change for them to act out the standards of practice.</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