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7">
            <w:pPr>
              <w:pageBreakBefore w:val="0"/>
              <w:widowControl w:val="0"/>
              <w:rPr/>
            </w:pPr>
            <w:r w:rsidDel="00000000" w:rsidR="00000000" w:rsidRPr="00000000">
              <w:rPr>
                <w:rtl w:val="0"/>
              </w:rPr>
              <w:t xml:space="preserve">Morales, Paolo Antonio M.</w:t>
            </w:r>
          </w:p>
          <w:p w:rsidR="00000000" w:rsidDel="00000000" w:rsidP="00000000" w:rsidRDefault="00000000" w:rsidRPr="00000000" w14:paraId="00000008">
            <w:pPr>
              <w:pageBreakBefore w:val="0"/>
              <w:widowControl w:val="0"/>
              <w:rPr/>
            </w:pPr>
            <w:r w:rsidDel="00000000" w:rsidR="00000000" w:rsidRPr="00000000">
              <w:rPr>
                <w:rtl w:val="0"/>
              </w:rPr>
              <w:t xml:space="preserve">Factors Affecting Compliance of Nurses to FUTURE Ventilator-Associated Pneumonia (VAP) Bundle of Care</w:t>
            </w:r>
          </w:p>
          <w:p w:rsidR="00000000" w:rsidDel="00000000" w:rsidP="00000000" w:rsidRDefault="00000000" w:rsidRPr="00000000" w14:paraId="00000009">
            <w:pPr>
              <w:pageBreakBefore w:val="0"/>
              <w:widowControl w:val="0"/>
              <w:rPr/>
            </w:pPr>
            <w:r w:rsidDel="00000000" w:rsidR="00000000" w:rsidRPr="00000000">
              <w:rPr>
                <w:rtl w:val="0"/>
              </w:rPr>
              <w:t xml:space="preserve">2014</w:t>
            </w:r>
          </w:p>
          <w:p w:rsidR="00000000" w:rsidDel="00000000" w:rsidP="00000000" w:rsidRDefault="00000000" w:rsidRPr="00000000" w14:paraId="0000000A">
            <w:pPr>
              <w:pageBreakBefore w:val="0"/>
              <w:widowControl w:val="0"/>
              <w:rPr/>
            </w:pPr>
            <w:r w:rsidDel="00000000" w:rsidR="00000000" w:rsidRPr="00000000">
              <w:rPr>
                <w:rtl w:val="0"/>
              </w:rPr>
              <w:t xml:space="preserve">Master of Arts in Nursing</w:t>
            </w:r>
          </w:p>
        </w:tc>
      </w:tr>
    </w:tbl>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D">
      <w:pPr>
        <w:pageBreakBefore w:val="0"/>
        <w:rPr/>
      </w:pPr>
      <w:r w:rsidDel="00000000" w:rsidR="00000000" w:rsidRPr="00000000">
        <w:rPr>
          <w:rtl w:val="0"/>
        </w:rPr>
      </w:r>
    </w:p>
    <w:p w:rsidR="00000000" w:rsidDel="00000000" w:rsidP="00000000" w:rsidRDefault="00000000" w:rsidRPr="00000000" w14:paraId="0000000E">
      <w:pPr>
        <w:pageBreakBefore w:val="0"/>
        <w:jc w:val="both"/>
        <w:rPr/>
      </w:pPr>
      <w:r w:rsidDel="00000000" w:rsidR="00000000" w:rsidRPr="00000000">
        <w:rPr>
          <w:rtl w:val="0"/>
        </w:rPr>
        <w:t xml:space="preserve">This research study sought to determine the compliance of nurses in the adult ICUs to the FUTURE VAP bundle of care. This study employed a quantitative, descriptive, correlational study. The study was conducted in the medical-surgical intensive care unit and cardiovascular-neurological intensive care unit of Asian Hospital and Medical Center. The sample was comprised of all the 26 adult intensive care unit nurses employed in the said units. The researcher developed an observational checklist which was patterned from the checklist provided by Patient Safety First (2008) and a 34-item questionnaire to measure the respondents’ perception of factors affecting the compliance and their knowledge on the FUTURE VAP bundle of care.</w:t>
      </w:r>
    </w:p>
    <w:p w:rsidR="00000000" w:rsidDel="00000000" w:rsidP="00000000" w:rsidRDefault="00000000" w:rsidRPr="00000000" w14:paraId="0000000F">
      <w:pPr>
        <w:pageBreakBefore w:val="0"/>
        <w:jc w:val="both"/>
        <w:rPr/>
      </w:pP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t xml:space="preserve">Results indicated that the compliance to the FUTURE VAP bundle of care is high. Significant factors affecting compliance to FUTURE VAP bundle of care include level of experience and perceived barriers to FUTURE VAP bundle of care. Experience gained over time contributes to increased compliance. The higher the perceived barriers the FUTURE VAP bundle of care, the lower the compliance to the FUTURE VAP bundle of care. No significant relationships were found between compliance and the following factors: knowledge of FUTURE VAP bundle of care, perceive self-efficacy on FUTURE VAP bundle of care, perceived outcome expectance on FUTURE VAP bundle of care and perceived facilitators to FUTURE VAP bundle of care. Review of supporting literature on these findings point out that behavior change is needed for the desired behavior, which is compliance, to be translated into practice. The does must be motivated toward behavior change for them to act out the standards of practice.</w:t>
      </w:r>
    </w:p>
    <w:p w:rsidR="00000000" w:rsidDel="00000000" w:rsidP="00000000" w:rsidRDefault="00000000" w:rsidRPr="00000000" w14:paraId="00000011">
      <w:pPr>
        <w:pageBreakBefore w:val="0"/>
        <w:jc w:val="both"/>
        <w:rPr/>
      </w:pPr>
      <w:r w:rsidDel="00000000" w:rsidR="00000000" w:rsidRPr="00000000">
        <w:rPr>
          <w:rtl w:val="0"/>
        </w:rPr>
      </w:r>
    </w:p>
    <w:p w:rsidR="00000000" w:rsidDel="00000000" w:rsidP="00000000" w:rsidRDefault="00000000" w:rsidRPr="00000000" w14:paraId="00000012">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