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5.xml" ContentType="application/vnd.openxmlformats-officedocument.wordprocessingml.header+xml"/>
  <Override PartName="/word/footer9.xml" ContentType="application/vnd.openxmlformats-officedocument.wordprocessingml.footer+xml"/>
  <Override PartName="/word/header6.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header7.xml" ContentType="application/vnd.openxmlformats-officedocument.wordprocessingml.header+xml"/>
  <Override PartName="/word/footer13.xml" ContentType="application/vnd.openxmlformats-officedocument.wordprocessingml.footer+xml"/>
  <Override PartName="/word/header8.xml" ContentType="application/vnd.openxmlformats-officedocument.wordprocessingml.header+xml"/>
  <Override PartName="/word/footer14.xml" ContentType="application/vnd.openxmlformats-officedocument.wordprocessingml.footer+xml"/>
  <Override PartName="/word/header9.xml" ContentType="application/vnd.openxmlformats-officedocument.wordprocessingml.header+xml"/>
  <Override PartName="/word/footer15.xml" ContentType="application/vnd.openxmlformats-officedocument.wordprocessingml.footer+xml"/>
  <Override PartName="/word/header10.xml" ContentType="application/vnd.openxmlformats-officedocument.wordprocessingml.header+xml"/>
  <Override PartName="/word/footer16.xml" ContentType="application/vnd.openxmlformats-officedocument.wordprocessingml.footer+xml"/>
  <Override PartName="/word/header11.xml" ContentType="application/vnd.openxmlformats-officedocument.wordprocessingml.header+xml"/>
  <Override PartName="/word/footer17.xml" ContentType="application/vnd.openxmlformats-officedocument.wordprocessingml.foot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B70C7E" w14:textId="77777777" w:rsidR="007C6854" w:rsidRDefault="00E0219E">
      <w:pPr>
        <w:spacing w:after="160" w:line="259" w:lineRule="auto"/>
        <w:jc w:val="center"/>
        <w:rPr>
          <w:rFonts w:eastAsia="Arial" w:cs="Arial"/>
          <w:b/>
          <w:color w:val="000000"/>
          <w:szCs w:val="24"/>
        </w:rPr>
      </w:pPr>
      <w:r>
        <w:rPr>
          <w:rFonts w:eastAsia="Arial" w:cs="Arial"/>
          <w:noProof/>
        </w:rPr>
        <w:drawing>
          <wp:inline distT="0" distB="0" distL="0" distR="0" wp14:anchorId="40102BA1" wp14:editId="47669295">
            <wp:extent cx="1134576" cy="1049605"/>
            <wp:effectExtent l="0" t="0" r="0" b="0"/>
            <wp:docPr id="66"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9"/>
                    <a:srcRect/>
                    <a:stretch>
                      <a:fillRect/>
                    </a:stretch>
                  </pic:blipFill>
                  <pic:spPr>
                    <a:xfrm>
                      <a:off x="0" y="0"/>
                      <a:ext cx="1134576" cy="1049605"/>
                    </a:xfrm>
                    <a:prstGeom prst="rect">
                      <a:avLst/>
                    </a:prstGeom>
                    <a:ln/>
                  </pic:spPr>
                </pic:pic>
              </a:graphicData>
            </a:graphic>
          </wp:inline>
        </w:drawing>
      </w:r>
    </w:p>
    <w:p w14:paraId="6666E8DB" w14:textId="77777777" w:rsidR="007C6854" w:rsidRDefault="00E0219E">
      <w:pPr>
        <w:spacing w:after="0" w:line="259" w:lineRule="auto"/>
        <w:jc w:val="center"/>
        <w:rPr>
          <w:rFonts w:eastAsia="Arial" w:cs="Arial"/>
          <w:b/>
          <w:color w:val="000000"/>
          <w:szCs w:val="24"/>
        </w:rPr>
      </w:pPr>
      <w:r>
        <w:rPr>
          <w:rFonts w:eastAsia="Arial" w:cs="Arial"/>
          <w:b/>
          <w:szCs w:val="24"/>
        </w:rPr>
        <w:t>UNIVERSITY OF THE PHILIPPINES</w:t>
      </w:r>
      <w:r>
        <w:rPr>
          <w:rFonts w:eastAsia="Arial" w:cs="Arial"/>
          <w:b/>
          <w:color w:val="000000"/>
          <w:szCs w:val="24"/>
        </w:rPr>
        <w:t xml:space="preserve"> </w:t>
      </w:r>
    </w:p>
    <w:p w14:paraId="15000469" w14:textId="77777777" w:rsidR="007C6854" w:rsidRDefault="00E0219E">
      <w:pPr>
        <w:spacing w:after="0" w:line="259" w:lineRule="auto"/>
        <w:jc w:val="center"/>
        <w:rPr>
          <w:rFonts w:eastAsia="Arial" w:cs="Arial"/>
          <w:b/>
          <w:color w:val="000000"/>
          <w:szCs w:val="24"/>
        </w:rPr>
      </w:pPr>
      <w:r>
        <w:rPr>
          <w:rFonts w:eastAsia="Arial" w:cs="Arial"/>
          <w:b/>
          <w:szCs w:val="24"/>
        </w:rPr>
        <w:t>OPEN UNIVERSITY</w:t>
      </w:r>
    </w:p>
    <w:p w14:paraId="3CB5FB60" w14:textId="77777777" w:rsidR="007C6854" w:rsidRDefault="007C6854">
      <w:pPr>
        <w:spacing w:after="160" w:line="259" w:lineRule="auto"/>
        <w:jc w:val="center"/>
        <w:rPr>
          <w:rFonts w:eastAsia="Arial" w:cs="Arial"/>
          <w:b/>
          <w:color w:val="000000"/>
          <w:szCs w:val="24"/>
        </w:rPr>
      </w:pPr>
    </w:p>
    <w:p w14:paraId="2C795370" w14:textId="77777777" w:rsidR="007C6854" w:rsidRDefault="00E0219E">
      <w:pPr>
        <w:spacing w:after="160" w:line="259" w:lineRule="auto"/>
        <w:jc w:val="center"/>
        <w:rPr>
          <w:rFonts w:eastAsia="Arial" w:cs="Arial"/>
          <w:b/>
          <w:color w:val="000000"/>
          <w:szCs w:val="24"/>
        </w:rPr>
      </w:pPr>
      <w:r>
        <w:rPr>
          <w:rFonts w:eastAsia="Arial" w:cs="Arial"/>
          <w:b/>
          <w:szCs w:val="24"/>
        </w:rPr>
        <w:t>MASTER OF INTERNATIONAL HEALTH</w:t>
      </w:r>
    </w:p>
    <w:p w14:paraId="4582C70E" w14:textId="77777777" w:rsidR="007C6854" w:rsidRDefault="007C6854">
      <w:pPr>
        <w:spacing w:after="160" w:line="259" w:lineRule="auto"/>
        <w:jc w:val="center"/>
        <w:rPr>
          <w:rFonts w:eastAsia="Arial" w:cs="Arial"/>
          <w:b/>
          <w:color w:val="000000"/>
          <w:szCs w:val="24"/>
        </w:rPr>
      </w:pPr>
    </w:p>
    <w:p w14:paraId="451B35FC" w14:textId="77777777" w:rsidR="007C6854" w:rsidRDefault="00E0219E">
      <w:pPr>
        <w:spacing w:after="160" w:line="259" w:lineRule="auto"/>
        <w:jc w:val="center"/>
        <w:rPr>
          <w:rFonts w:eastAsia="Arial" w:cs="Arial"/>
          <w:b/>
          <w:szCs w:val="24"/>
        </w:rPr>
      </w:pPr>
      <w:r>
        <w:rPr>
          <w:rFonts w:eastAsia="Arial" w:cs="Arial"/>
          <w:b/>
          <w:szCs w:val="24"/>
        </w:rPr>
        <w:t>RAMMELL ERIC C. MARTINEZ</w:t>
      </w:r>
    </w:p>
    <w:p w14:paraId="3FF2CC7A" w14:textId="77777777" w:rsidR="007C6854" w:rsidRDefault="007C6854">
      <w:pPr>
        <w:spacing w:after="160" w:line="259" w:lineRule="auto"/>
        <w:jc w:val="center"/>
        <w:rPr>
          <w:rFonts w:eastAsia="Arial" w:cs="Arial"/>
          <w:b/>
          <w:szCs w:val="24"/>
        </w:rPr>
      </w:pPr>
    </w:p>
    <w:p w14:paraId="609B4C8B" w14:textId="77777777" w:rsidR="007C6854" w:rsidRDefault="00E0219E">
      <w:pPr>
        <w:spacing w:after="160" w:line="259" w:lineRule="auto"/>
        <w:jc w:val="center"/>
        <w:rPr>
          <w:rFonts w:eastAsia="Arial" w:cs="Arial"/>
          <w:b/>
          <w:szCs w:val="24"/>
        </w:rPr>
      </w:pPr>
      <w:r>
        <w:rPr>
          <w:rFonts w:eastAsia="Arial" w:cs="Arial"/>
          <w:b/>
          <w:szCs w:val="24"/>
        </w:rPr>
        <w:t>A DESCRIPTIVE-CORRELATIONAL STUDY OF HEALTH LITERACY AMONG URBAN POOR SETTLERS WITH HYPERTENSION</w:t>
      </w:r>
    </w:p>
    <w:p w14:paraId="40D463BC" w14:textId="77777777" w:rsidR="007C6854" w:rsidRDefault="007C6854">
      <w:pPr>
        <w:spacing w:after="160" w:line="259" w:lineRule="auto"/>
        <w:jc w:val="center"/>
        <w:rPr>
          <w:rFonts w:eastAsia="Arial" w:cs="Arial"/>
          <w:b/>
          <w:color w:val="000000"/>
          <w:szCs w:val="24"/>
        </w:rPr>
      </w:pPr>
    </w:p>
    <w:p w14:paraId="2F030B13" w14:textId="77777777" w:rsidR="007C6854" w:rsidRDefault="00E0219E">
      <w:pPr>
        <w:pBdr>
          <w:top w:val="nil"/>
          <w:left w:val="nil"/>
          <w:bottom w:val="nil"/>
          <w:right w:val="nil"/>
          <w:between w:val="nil"/>
        </w:pBdr>
        <w:spacing w:after="0" w:line="360" w:lineRule="auto"/>
        <w:jc w:val="center"/>
        <w:rPr>
          <w:rFonts w:eastAsia="Arial" w:cs="Arial"/>
          <w:color w:val="000000"/>
          <w:szCs w:val="24"/>
        </w:rPr>
      </w:pPr>
      <w:r>
        <w:rPr>
          <w:rFonts w:eastAsia="Arial" w:cs="Arial"/>
          <w:color w:val="000000"/>
          <w:szCs w:val="24"/>
        </w:rPr>
        <w:t>Thesis Adviser:</w:t>
      </w:r>
    </w:p>
    <w:p w14:paraId="22CCA156" w14:textId="77777777" w:rsidR="007C6854" w:rsidRDefault="007C6854">
      <w:pPr>
        <w:pBdr>
          <w:top w:val="nil"/>
          <w:left w:val="nil"/>
          <w:bottom w:val="nil"/>
          <w:right w:val="nil"/>
          <w:between w:val="nil"/>
        </w:pBdr>
        <w:spacing w:after="0" w:line="360" w:lineRule="auto"/>
        <w:jc w:val="center"/>
        <w:rPr>
          <w:rFonts w:eastAsia="Arial" w:cs="Arial"/>
          <w:szCs w:val="24"/>
        </w:rPr>
      </w:pPr>
    </w:p>
    <w:p w14:paraId="1F561405" w14:textId="77777777" w:rsidR="007C6854" w:rsidRDefault="00E0219E">
      <w:pPr>
        <w:pBdr>
          <w:top w:val="nil"/>
          <w:left w:val="nil"/>
          <w:bottom w:val="nil"/>
          <w:right w:val="nil"/>
          <w:between w:val="nil"/>
        </w:pBdr>
        <w:spacing w:after="0" w:line="240" w:lineRule="auto"/>
        <w:jc w:val="center"/>
        <w:rPr>
          <w:rFonts w:eastAsia="Arial" w:cs="Arial"/>
          <w:b/>
          <w:color w:val="000000"/>
          <w:szCs w:val="24"/>
        </w:rPr>
      </w:pPr>
      <w:r>
        <w:rPr>
          <w:rFonts w:eastAsia="Arial" w:cs="Arial"/>
          <w:b/>
          <w:szCs w:val="24"/>
        </w:rPr>
        <w:t>MYRA D. ORUGA, MPH, PhD</w:t>
      </w:r>
    </w:p>
    <w:p w14:paraId="444ACB00" w14:textId="77777777" w:rsidR="007C6854" w:rsidRDefault="00E0219E">
      <w:pPr>
        <w:pBdr>
          <w:top w:val="nil"/>
          <w:left w:val="nil"/>
          <w:bottom w:val="nil"/>
          <w:right w:val="nil"/>
          <w:between w:val="nil"/>
        </w:pBdr>
        <w:spacing w:after="0" w:line="240" w:lineRule="auto"/>
        <w:jc w:val="center"/>
        <w:rPr>
          <w:rFonts w:eastAsia="Arial" w:cs="Arial"/>
          <w:b/>
          <w:color w:val="000000"/>
          <w:szCs w:val="24"/>
        </w:rPr>
      </w:pPr>
      <w:r>
        <w:rPr>
          <w:rFonts w:eastAsia="Arial" w:cs="Arial"/>
          <w:b/>
          <w:color w:val="000000"/>
          <w:szCs w:val="24"/>
        </w:rPr>
        <w:t>Faculty of Management and Development Studies</w:t>
      </w:r>
    </w:p>
    <w:p w14:paraId="045A87E9" w14:textId="77777777" w:rsidR="007C6854" w:rsidRDefault="007C6854">
      <w:pPr>
        <w:pBdr>
          <w:top w:val="nil"/>
          <w:left w:val="nil"/>
          <w:bottom w:val="nil"/>
          <w:right w:val="nil"/>
          <w:between w:val="nil"/>
        </w:pBdr>
        <w:spacing w:after="160" w:line="360" w:lineRule="auto"/>
        <w:rPr>
          <w:rFonts w:eastAsia="Arial" w:cs="Arial"/>
          <w:b/>
          <w:szCs w:val="24"/>
        </w:rPr>
      </w:pPr>
    </w:p>
    <w:p w14:paraId="201C9F02" w14:textId="77777777" w:rsidR="007C6854" w:rsidRDefault="007C6854">
      <w:pPr>
        <w:pBdr>
          <w:top w:val="nil"/>
          <w:left w:val="nil"/>
          <w:bottom w:val="nil"/>
          <w:right w:val="nil"/>
          <w:between w:val="nil"/>
        </w:pBdr>
        <w:spacing w:after="0" w:line="240" w:lineRule="auto"/>
        <w:jc w:val="center"/>
        <w:rPr>
          <w:rFonts w:eastAsia="Arial" w:cs="Arial"/>
          <w:b/>
          <w:color w:val="000000"/>
          <w:szCs w:val="24"/>
        </w:rPr>
      </w:pPr>
    </w:p>
    <w:p w14:paraId="050CCD65" w14:textId="77777777" w:rsidR="007C6854" w:rsidRDefault="00E0219E">
      <w:pPr>
        <w:pBdr>
          <w:top w:val="nil"/>
          <w:left w:val="nil"/>
          <w:bottom w:val="nil"/>
          <w:right w:val="nil"/>
          <w:between w:val="nil"/>
        </w:pBdr>
        <w:spacing w:after="0" w:line="240" w:lineRule="auto"/>
        <w:jc w:val="center"/>
        <w:rPr>
          <w:rFonts w:eastAsia="Arial" w:cs="Arial"/>
          <w:b/>
          <w:color w:val="000000"/>
          <w:szCs w:val="24"/>
        </w:rPr>
      </w:pPr>
      <w:r>
        <w:rPr>
          <w:rFonts w:eastAsia="Arial" w:cs="Arial"/>
          <w:b/>
          <w:color w:val="000000"/>
          <w:szCs w:val="24"/>
        </w:rPr>
        <w:t>10 October 2023</w:t>
      </w:r>
    </w:p>
    <w:p w14:paraId="573061F9" w14:textId="77777777" w:rsidR="007C6854" w:rsidRDefault="007C6854">
      <w:pPr>
        <w:pBdr>
          <w:top w:val="nil"/>
          <w:left w:val="nil"/>
          <w:bottom w:val="nil"/>
          <w:right w:val="nil"/>
          <w:between w:val="nil"/>
        </w:pBdr>
        <w:spacing w:after="0" w:line="240" w:lineRule="auto"/>
        <w:jc w:val="center"/>
        <w:rPr>
          <w:rFonts w:eastAsia="Arial" w:cs="Arial"/>
          <w:b/>
          <w:color w:val="000000"/>
          <w:szCs w:val="24"/>
        </w:rPr>
      </w:pPr>
    </w:p>
    <w:p w14:paraId="762B75D4" w14:textId="77777777" w:rsidR="007C6854" w:rsidRDefault="007C6854">
      <w:pPr>
        <w:pBdr>
          <w:top w:val="nil"/>
          <w:left w:val="nil"/>
          <w:bottom w:val="nil"/>
          <w:right w:val="nil"/>
          <w:between w:val="nil"/>
        </w:pBdr>
        <w:spacing w:after="0" w:line="240" w:lineRule="auto"/>
        <w:jc w:val="center"/>
        <w:rPr>
          <w:rFonts w:eastAsia="Arial" w:cs="Arial"/>
          <w:b/>
          <w:color w:val="000000"/>
          <w:szCs w:val="24"/>
        </w:rPr>
      </w:pPr>
    </w:p>
    <w:p w14:paraId="7C544730" w14:textId="77777777" w:rsidR="007C6854" w:rsidRDefault="00E0219E">
      <w:pPr>
        <w:pBdr>
          <w:top w:val="nil"/>
          <w:left w:val="nil"/>
          <w:bottom w:val="nil"/>
          <w:right w:val="nil"/>
          <w:between w:val="nil"/>
        </w:pBdr>
        <w:spacing w:after="0" w:line="240" w:lineRule="auto"/>
        <w:jc w:val="center"/>
        <w:rPr>
          <w:rFonts w:eastAsia="Arial" w:cs="Arial"/>
          <w:color w:val="000000"/>
          <w:szCs w:val="24"/>
        </w:rPr>
      </w:pPr>
      <w:r>
        <w:rPr>
          <w:rFonts w:eastAsia="Arial" w:cs="Arial"/>
          <w:szCs w:val="24"/>
        </w:rPr>
        <w:t>Permission is given for the following people to have access to this thesis, subject to the provisions of applicable laws, the provisions of the UP IPR policy, and any contractual obligations:</w:t>
      </w:r>
    </w:p>
    <w:p w14:paraId="483C0256" w14:textId="77777777" w:rsidR="007C6854" w:rsidRDefault="007C6854">
      <w:pPr>
        <w:pBdr>
          <w:top w:val="nil"/>
          <w:left w:val="nil"/>
          <w:bottom w:val="nil"/>
          <w:right w:val="nil"/>
          <w:between w:val="nil"/>
        </w:pBdr>
        <w:spacing w:after="0" w:line="240" w:lineRule="auto"/>
        <w:jc w:val="center"/>
        <w:rPr>
          <w:rFonts w:eastAsia="Arial" w:cs="Arial"/>
          <w:color w:val="000000"/>
          <w:szCs w:val="24"/>
        </w:rPr>
      </w:pPr>
    </w:p>
    <w:tbl>
      <w:tblPr>
        <w:tblStyle w:val="affd"/>
        <w:tblW w:w="10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935"/>
        <w:gridCol w:w="5325"/>
      </w:tblGrid>
      <w:tr w:rsidR="007C6854" w14:paraId="70D3841A" w14:textId="77777777">
        <w:tc>
          <w:tcPr>
            <w:tcW w:w="4935" w:type="dxa"/>
          </w:tcPr>
          <w:p w14:paraId="4132677F" w14:textId="77777777" w:rsidR="007C6854" w:rsidRDefault="00E0219E">
            <w:pPr>
              <w:rPr>
                <w:rFonts w:eastAsia="Arial" w:cs="Arial"/>
                <w:color w:val="000000"/>
                <w:szCs w:val="24"/>
              </w:rPr>
            </w:pPr>
            <w:r>
              <w:rPr>
                <w:rFonts w:eastAsia="Arial" w:cs="Arial"/>
                <w:szCs w:val="24"/>
              </w:rPr>
              <w:t>Invention (I)</w:t>
            </w:r>
          </w:p>
        </w:tc>
        <w:tc>
          <w:tcPr>
            <w:tcW w:w="5325" w:type="dxa"/>
          </w:tcPr>
          <w:p w14:paraId="45B94D33" w14:textId="77777777" w:rsidR="007C6854" w:rsidRDefault="00000000">
            <w:pPr>
              <w:jc w:val="center"/>
              <w:rPr>
                <w:rFonts w:eastAsia="Arial" w:cs="Arial"/>
                <w:color w:val="000000"/>
                <w:szCs w:val="24"/>
              </w:rPr>
            </w:pPr>
            <w:sdt>
              <w:sdtPr>
                <w:tag w:val="goog_rdk_0"/>
                <w:id w:val="1058274454"/>
              </w:sdtPr>
              <w:sdtContent>
                <w:r w:rsidR="00E0219E">
                  <w:rPr>
                    <w:rFonts w:ascii="Arial Unicode MS" w:eastAsia="Arial Unicode MS" w:hAnsi="Arial Unicode MS" w:cs="Arial Unicode MS"/>
                    <w:color w:val="000000"/>
                    <w:szCs w:val="24"/>
                  </w:rPr>
                  <w:t>☐</w:t>
                </w:r>
              </w:sdtContent>
            </w:sdt>
            <w:r w:rsidR="00E0219E">
              <w:rPr>
                <w:rFonts w:eastAsia="Arial" w:cs="Arial"/>
                <w:color w:val="000000"/>
                <w:szCs w:val="24"/>
              </w:rPr>
              <w:t xml:space="preserve"> Yes   or  </w:t>
            </w:r>
            <w:sdt>
              <w:sdtPr>
                <w:tag w:val="goog_rdk_1"/>
                <w:id w:val="2011406144"/>
              </w:sdtPr>
              <w:sdtContent>
                <w:r w:rsidR="00E0219E">
                  <w:rPr>
                    <w:rFonts w:ascii="Arial Unicode MS" w:eastAsia="Arial Unicode MS" w:hAnsi="Arial Unicode MS" w:cs="Arial Unicode MS"/>
                    <w:color w:val="000000"/>
                    <w:szCs w:val="24"/>
                  </w:rPr>
                  <w:t>☒</w:t>
                </w:r>
              </w:sdtContent>
            </w:sdt>
            <w:r w:rsidR="00E0219E">
              <w:rPr>
                <w:rFonts w:eastAsia="Arial" w:cs="Arial"/>
                <w:color w:val="000000"/>
                <w:szCs w:val="24"/>
              </w:rPr>
              <w:t xml:space="preserve">  No</w:t>
            </w:r>
          </w:p>
        </w:tc>
      </w:tr>
      <w:tr w:rsidR="007C6854" w14:paraId="3AB742FB" w14:textId="77777777">
        <w:tc>
          <w:tcPr>
            <w:tcW w:w="4935" w:type="dxa"/>
          </w:tcPr>
          <w:p w14:paraId="7D7FCCD5" w14:textId="77777777" w:rsidR="007C6854" w:rsidRDefault="00E0219E">
            <w:pPr>
              <w:rPr>
                <w:rFonts w:eastAsia="Arial" w:cs="Arial"/>
                <w:color w:val="000000"/>
                <w:szCs w:val="24"/>
              </w:rPr>
            </w:pPr>
            <w:r>
              <w:rPr>
                <w:rFonts w:eastAsia="Arial" w:cs="Arial"/>
                <w:szCs w:val="24"/>
              </w:rPr>
              <w:t>Publication (P)</w:t>
            </w:r>
          </w:p>
        </w:tc>
        <w:tc>
          <w:tcPr>
            <w:tcW w:w="5325" w:type="dxa"/>
          </w:tcPr>
          <w:p w14:paraId="2AE1FD18" w14:textId="77777777" w:rsidR="007C6854" w:rsidRDefault="00000000">
            <w:pPr>
              <w:jc w:val="center"/>
              <w:rPr>
                <w:rFonts w:eastAsia="Arial" w:cs="Arial"/>
                <w:color w:val="000000"/>
                <w:szCs w:val="24"/>
              </w:rPr>
            </w:pPr>
            <w:sdt>
              <w:sdtPr>
                <w:tag w:val="goog_rdk_2"/>
                <w:id w:val="-1250194796"/>
              </w:sdtPr>
              <w:sdtContent>
                <w:r w:rsidR="00E0219E">
                  <w:rPr>
                    <w:rFonts w:ascii="Arial Unicode MS" w:eastAsia="Arial Unicode MS" w:hAnsi="Arial Unicode MS" w:cs="Arial Unicode MS"/>
                    <w:color w:val="000000"/>
                    <w:szCs w:val="24"/>
                  </w:rPr>
                  <w:t>☒</w:t>
                </w:r>
              </w:sdtContent>
            </w:sdt>
            <w:r w:rsidR="00E0219E">
              <w:rPr>
                <w:rFonts w:eastAsia="Arial" w:cs="Arial"/>
                <w:color w:val="000000"/>
                <w:szCs w:val="24"/>
              </w:rPr>
              <w:t xml:space="preserve"> Yes   or  </w:t>
            </w:r>
            <w:sdt>
              <w:sdtPr>
                <w:tag w:val="goog_rdk_3"/>
                <w:id w:val="-1576122325"/>
              </w:sdtPr>
              <w:sdtContent>
                <w:r w:rsidR="00E0219E">
                  <w:rPr>
                    <w:rFonts w:ascii="Arial Unicode MS" w:eastAsia="Arial Unicode MS" w:hAnsi="Arial Unicode MS" w:cs="Arial Unicode MS"/>
                    <w:color w:val="000000"/>
                    <w:szCs w:val="24"/>
                  </w:rPr>
                  <w:t>☐</w:t>
                </w:r>
              </w:sdtContent>
            </w:sdt>
            <w:r w:rsidR="00E0219E">
              <w:rPr>
                <w:rFonts w:eastAsia="Arial" w:cs="Arial"/>
                <w:color w:val="000000"/>
                <w:szCs w:val="24"/>
              </w:rPr>
              <w:t xml:space="preserve">  No</w:t>
            </w:r>
          </w:p>
        </w:tc>
      </w:tr>
      <w:tr w:rsidR="007C6854" w14:paraId="2C5FFAE3" w14:textId="77777777">
        <w:tc>
          <w:tcPr>
            <w:tcW w:w="4935" w:type="dxa"/>
          </w:tcPr>
          <w:p w14:paraId="2391790B" w14:textId="77777777" w:rsidR="007C6854" w:rsidRDefault="00E0219E">
            <w:pPr>
              <w:rPr>
                <w:rFonts w:eastAsia="Arial" w:cs="Arial"/>
                <w:color w:val="000000"/>
                <w:szCs w:val="24"/>
              </w:rPr>
            </w:pPr>
            <w:r>
              <w:rPr>
                <w:rFonts w:eastAsia="Arial" w:cs="Arial"/>
                <w:szCs w:val="24"/>
              </w:rPr>
              <w:t>Confidential (C)</w:t>
            </w:r>
          </w:p>
        </w:tc>
        <w:tc>
          <w:tcPr>
            <w:tcW w:w="5325" w:type="dxa"/>
          </w:tcPr>
          <w:p w14:paraId="1EDD5704" w14:textId="77777777" w:rsidR="007C6854" w:rsidRDefault="00000000">
            <w:pPr>
              <w:jc w:val="center"/>
              <w:rPr>
                <w:rFonts w:eastAsia="Arial" w:cs="Arial"/>
                <w:color w:val="000000"/>
                <w:szCs w:val="24"/>
              </w:rPr>
            </w:pPr>
            <w:sdt>
              <w:sdtPr>
                <w:tag w:val="goog_rdk_4"/>
                <w:id w:val="-617138567"/>
              </w:sdtPr>
              <w:sdtContent>
                <w:r w:rsidR="00E0219E">
                  <w:rPr>
                    <w:rFonts w:ascii="Arial Unicode MS" w:eastAsia="Arial Unicode MS" w:hAnsi="Arial Unicode MS" w:cs="Arial Unicode MS"/>
                    <w:color w:val="000000"/>
                    <w:szCs w:val="24"/>
                  </w:rPr>
                  <w:t>☒</w:t>
                </w:r>
              </w:sdtContent>
            </w:sdt>
            <w:r w:rsidR="00E0219E">
              <w:rPr>
                <w:rFonts w:eastAsia="Arial" w:cs="Arial"/>
                <w:color w:val="000000"/>
                <w:szCs w:val="24"/>
              </w:rPr>
              <w:t xml:space="preserve"> Yes   or  </w:t>
            </w:r>
            <w:sdt>
              <w:sdtPr>
                <w:tag w:val="goog_rdk_5"/>
                <w:id w:val="338665248"/>
              </w:sdtPr>
              <w:sdtContent>
                <w:r w:rsidR="00E0219E">
                  <w:rPr>
                    <w:rFonts w:ascii="Arial Unicode MS" w:eastAsia="Arial Unicode MS" w:hAnsi="Arial Unicode MS" w:cs="Arial Unicode MS"/>
                    <w:color w:val="000000"/>
                    <w:szCs w:val="24"/>
                  </w:rPr>
                  <w:t>☐</w:t>
                </w:r>
              </w:sdtContent>
            </w:sdt>
            <w:r w:rsidR="00E0219E">
              <w:rPr>
                <w:rFonts w:eastAsia="Arial" w:cs="Arial"/>
                <w:color w:val="000000"/>
                <w:szCs w:val="24"/>
              </w:rPr>
              <w:t xml:space="preserve">  No</w:t>
            </w:r>
          </w:p>
        </w:tc>
      </w:tr>
      <w:tr w:rsidR="007C6854" w14:paraId="34D3F6B3" w14:textId="77777777">
        <w:tc>
          <w:tcPr>
            <w:tcW w:w="4935" w:type="dxa"/>
          </w:tcPr>
          <w:p w14:paraId="7928A669" w14:textId="77777777" w:rsidR="007C6854" w:rsidRDefault="00E0219E">
            <w:pPr>
              <w:rPr>
                <w:rFonts w:eastAsia="Arial" w:cs="Arial"/>
                <w:szCs w:val="24"/>
              </w:rPr>
            </w:pPr>
            <w:r>
              <w:rPr>
                <w:rFonts w:eastAsia="Arial" w:cs="Arial"/>
                <w:szCs w:val="24"/>
              </w:rPr>
              <w:t>Free (F)</w:t>
            </w:r>
          </w:p>
        </w:tc>
        <w:tc>
          <w:tcPr>
            <w:tcW w:w="5325" w:type="dxa"/>
          </w:tcPr>
          <w:p w14:paraId="27850315" w14:textId="77777777" w:rsidR="007C6854" w:rsidRDefault="00000000">
            <w:pPr>
              <w:jc w:val="center"/>
              <w:rPr>
                <w:rFonts w:eastAsia="Arial" w:cs="Arial"/>
                <w:color w:val="000000"/>
                <w:szCs w:val="24"/>
              </w:rPr>
            </w:pPr>
            <w:sdt>
              <w:sdtPr>
                <w:tag w:val="goog_rdk_6"/>
                <w:id w:val="-233621443"/>
              </w:sdtPr>
              <w:sdtContent>
                <w:r w:rsidR="00E0219E">
                  <w:rPr>
                    <w:rFonts w:ascii="Arial Unicode MS" w:eastAsia="Arial Unicode MS" w:hAnsi="Arial Unicode MS" w:cs="Arial Unicode MS"/>
                    <w:color w:val="000000"/>
                    <w:szCs w:val="24"/>
                  </w:rPr>
                  <w:t>☒</w:t>
                </w:r>
              </w:sdtContent>
            </w:sdt>
            <w:r w:rsidR="00E0219E">
              <w:rPr>
                <w:rFonts w:eastAsia="Arial" w:cs="Arial"/>
                <w:color w:val="000000"/>
                <w:szCs w:val="24"/>
              </w:rPr>
              <w:t xml:space="preserve"> Yes   or  </w:t>
            </w:r>
            <w:sdt>
              <w:sdtPr>
                <w:tag w:val="goog_rdk_7"/>
                <w:id w:val="-788669104"/>
              </w:sdtPr>
              <w:sdtContent>
                <w:r w:rsidR="00E0219E">
                  <w:rPr>
                    <w:rFonts w:ascii="Arial Unicode MS" w:eastAsia="Arial Unicode MS" w:hAnsi="Arial Unicode MS" w:cs="Arial Unicode MS"/>
                    <w:color w:val="000000"/>
                    <w:szCs w:val="24"/>
                  </w:rPr>
                  <w:t>☐</w:t>
                </w:r>
              </w:sdtContent>
            </w:sdt>
            <w:r w:rsidR="00E0219E">
              <w:rPr>
                <w:rFonts w:eastAsia="Arial" w:cs="Arial"/>
                <w:color w:val="000000"/>
                <w:szCs w:val="24"/>
              </w:rPr>
              <w:t xml:space="preserve">  No</w:t>
            </w:r>
          </w:p>
        </w:tc>
      </w:tr>
    </w:tbl>
    <w:p w14:paraId="42AC021A" w14:textId="77777777" w:rsidR="007C6854" w:rsidRDefault="00E0219E">
      <w:pPr>
        <w:pBdr>
          <w:top w:val="nil"/>
          <w:left w:val="nil"/>
          <w:bottom w:val="nil"/>
          <w:right w:val="nil"/>
          <w:between w:val="nil"/>
        </w:pBdr>
        <w:spacing w:after="160" w:line="360" w:lineRule="auto"/>
        <w:ind w:left="3600" w:firstLine="720"/>
        <w:rPr>
          <w:rFonts w:eastAsia="Arial" w:cs="Arial"/>
          <w:color w:val="000000"/>
          <w:szCs w:val="24"/>
        </w:rPr>
      </w:pPr>
      <w:r>
        <w:rPr>
          <w:noProof/>
        </w:rPr>
        <w:drawing>
          <wp:anchor distT="0" distB="0" distL="0" distR="0" simplePos="0" relativeHeight="251658240" behindDoc="1" locked="0" layoutInCell="1" hidden="0" allowOverlap="1" wp14:anchorId="451248D4" wp14:editId="6980B9AA">
            <wp:simplePos x="0" y="0"/>
            <wp:positionH relativeFrom="column">
              <wp:posOffset>3390900</wp:posOffset>
            </wp:positionH>
            <wp:positionV relativeFrom="paragraph">
              <wp:posOffset>85725</wp:posOffset>
            </wp:positionV>
            <wp:extent cx="2695575" cy="723716"/>
            <wp:effectExtent l="0" t="0" r="0" b="0"/>
            <wp:wrapNone/>
            <wp:docPr id="65"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0"/>
                    <a:srcRect/>
                    <a:stretch>
                      <a:fillRect/>
                    </a:stretch>
                  </pic:blipFill>
                  <pic:spPr>
                    <a:xfrm>
                      <a:off x="0" y="0"/>
                      <a:ext cx="2695575" cy="723716"/>
                    </a:xfrm>
                    <a:prstGeom prst="rect">
                      <a:avLst/>
                    </a:prstGeom>
                    <a:ln/>
                  </pic:spPr>
                </pic:pic>
              </a:graphicData>
            </a:graphic>
          </wp:anchor>
        </w:drawing>
      </w:r>
    </w:p>
    <w:p w14:paraId="5BD96773" w14:textId="77777777" w:rsidR="007C6854" w:rsidRDefault="00E0219E">
      <w:pPr>
        <w:pBdr>
          <w:top w:val="nil"/>
          <w:left w:val="nil"/>
          <w:bottom w:val="nil"/>
          <w:right w:val="nil"/>
          <w:between w:val="nil"/>
        </w:pBdr>
        <w:spacing w:after="160" w:line="360" w:lineRule="auto"/>
        <w:ind w:left="3600" w:firstLine="720"/>
        <w:rPr>
          <w:rFonts w:eastAsia="Arial" w:cs="Arial"/>
          <w:color w:val="000000"/>
          <w:szCs w:val="24"/>
        </w:rPr>
      </w:pPr>
      <w:r>
        <w:rPr>
          <w:rFonts w:eastAsia="Arial" w:cs="Arial"/>
          <w:color w:val="000000"/>
          <w:szCs w:val="24"/>
        </w:rPr>
        <w:t>Student’s Signature:</w:t>
      </w:r>
      <w:r>
        <w:rPr>
          <w:rFonts w:eastAsia="Arial" w:cs="Arial"/>
          <w:szCs w:val="24"/>
        </w:rPr>
        <w:t xml:space="preserve"> </w:t>
      </w:r>
    </w:p>
    <w:p w14:paraId="0B28FF74" w14:textId="77777777" w:rsidR="007C6854" w:rsidRDefault="00E0219E">
      <w:pPr>
        <w:pBdr>
          <w:top w:val="nil"/>
          <w:left w:val="nil"/>
          <w:bottom w:val="nil"/>
          <w:right w:val="nil"/>
          <w:between w:val="nil"/>
        </w:pBdr>
        <w:spacing w:after="160" w:line="360" w:lineRule="auto"/>
        <w:ind w:left="3600" w:firstLine="720"/>
        <w:rPr>
          <w:rFonts w:eastAsia="Arial" w:cs="Arial"/>
          <w:color w:val="000000"/>
          <w:szCs w:val="24"/>
        </w:rPr>
        <w:sectPr w:rsidR="007C6854">
          <w:headerReference w:type="default" r:id="rId11"/>
          <w:footerReference w:type="default" r:id="rId12"/>
          <w:footerReference w:type="first" r:id="rId13"/>
          <w:pgSz w:w="11906" w:h="16838"/>
          <w:pgMar w:top="1440" w:right="1440" w:bottom="1440" w:left="1440" w:header="0" w:footer="0" w:gutter="0"/>
          <w:pgNumType w:start="0"/>
          <w:cols w:space="720"/>
          <w:titlePg/>
        </w:sectPr>
      </w:pPr>
      <w:r>
        <w:rPr>
          <w:rFonts w:eastAsia="Arial" w:cs="Arial"/>
          <w:color w:val="000000"/>
          <w:szCs w:val="24"/>
        </w:rPr>
        <w:t xml:space="preserve">Signature of Thesis Adviser: </w:t>
      </w:r>
    </w:p>
    <w:p w14:paraId="3EDCCC2C" w14:textId="77777777" w:rsidR="007C6854" w:rsidRDefault="00E0219E">
      <w:pPr>
        <w:spacing w:after="160" w:line="259" w:lineRule="auto"/>
        <w:rPr>
          <w:rFonts w:eastAsia="Arial" w:cs="Arial"/>
          <w:b/>
          <w:color w:val="000000"/>
          <w:szCs w:val="24"/>
        </w:rPr>
      </w:pPr>
      <w:r>
        <w:rPr>
          <w:rFonts w:eastAsia="Arial" w:cs="Arial"/>
          <w:b/>
          <w:color w:val="000000"/>
          <w:szCs w:val="24"/>
        </w:rPr>
        <w:lastRenderedPageBreak/>
        <w:t>University Permission Page</w:t>
      </w:r>
    </w:p>
    <w:p w14:paraId="37919551" w14:textId="77777777" w:rsidR="007C6854" w:rsidRDefault="007C6854">
      <w:pPr>
        <w:spacing w:after="160" w:line="259" w:lineRule="auto"/>
        <w:rPr>
          <w:rFonts w:eastAsia="Arial" w:cs="Arial"/>
          <w:b/>
          <w:szCs w:val="24"/>
        </w:rPr>
      </w:pPr>
    </w:p>
    <w:p w14:paraId="671A1C64" w14:textId="77777777" w:rsidR="007C6854" w:rsidRDefault="00E0219E">
      <w:pPr>
        <w:pBdr>
          <w:top w:val="nil"/>
          <w:left w:val="nil"/>
          <w:bottom w:val="nil"/>
          <w:right w:val="nil"/>
          <w:between w:val="nil"/>
        </w:pBdr>
        <w:spacing w:after="160" w:line="360" w:lineRule="auto"/>
        <w:jc w:val="both"/>
        <w:rPr>
          <w:rFonts w:eastAsia="Arial" w:cs="Arial"/>
          <w:color w:val="000000"/>
          <w:szCs w:val="24"/>
        </w:rPr>
      </w:pPr>
      <w:r>
        <w:rPr>
          <w:rFonts w:eastAsia="Arial" w:cs="Arial"/>
          <w:color w:val="000000"/>
          <w:szCs w:val="24"/>
        </w:rPr>
        <w:t xml:space="preserve">“I hereby grant the University of the Philippines a non-exclusive, worldwide, royalty-free license to produce, publish, and publicly distribute copies of this thesis in whatever </w:t>
      </w:r>
      <w:r>
        <w:rPr>
          <w:rFonts w:eastAsia="Arial" w:cs="Arial"/>
          <w:szCs w:val="24"/>
        </w:rPr>
        <w:t>form,</w:t>
      </w:r>
      <w:r>
        <w:rPr>
          <w:rFonts w:eastAsia="Arial" w:cs="Arial"/>
          <w:color w:val="000000"/>
          <w:szCs w:val="24"/>
        </w:rPr>
        <w:t xml:space="preserve"> subject to the provisions of applicable laws, the provisions of the UP IPR </w:t>
      </w:r>
      <w:r>
        <w:rPr>
          <w:rFonts w:eastAsia="Arial" w:cs="Arial"/>
          <w:szCs w:val="24"/>
        </w:rPr>
        <w:t>policy,</w:t>
      </w:r>
      <w:r>
        <w:rPr>
          <w:rFonts w:eastAsia="Arial" w:cs="Arial"/>
          <w:color w:val="000000"/>
          <w:szCs w:val="24"/>
        </w:rPr>
        <w:t xml:space="preserve"> and any contractual obligations, as well as more specific permission marking on the Title Page.”</w:t>
      </w:r>
    </w:p>
    <w:p w14:paraId="6FC00B9B" w14:textId="77777777" w:rsidR="007C6854" w:rsidRDefault="00E0219E">
      <w:pPr>
        <w:pBdr>
          <w:top w:val="nil"/>
          <w:left w:val="nil"/>
          <w:bottom w:val="nil"/>
          <w:right w:val="nil"/>
          <w:between w:val="nil"/>
        </w:pBdr>
        <w:spacing w:after="160" w:line="360" w:lineRule="auto"/>
        <w:jc w:val="both"/>
        <w:rPr>
          <w:rFonts w:eastAsia="Arial" w:cs="Arial"/>
          <w:color w:val="000000"/>
          <w:szCs w:val="24"/>
        </w:rPr>
      </w:pPr>
      <w:r>
        <w:rPr>
          <w:rFonts w:eastAsia="Arial" w:cs="Arial"/>
          <w:color w:val="000000"/>
          <w:szCs w:val="24"/>
        </w:rPr>
        <w:t>“Specifically, I grant the following rights to the University:</w:t>
      </w:r>
    </w:p>
    <w:p w14:paraId="358A2D00" w14:textId="77777777" w:rsidR="007C6854" w:rsidRDefault="00E0219E">
      <w:pPr>
        <w:numPr>
          <w:ilvl w:val="0"/>
          <w:numId w:val="36"/>
        </w:numPr>
        <w:pBdr>
          <w:top w:val="nil"/>
          <w:left w:val="nil"/>
          <w:bottom w:val="nil"/>
          <w:right w:val="nil"/>
          <w:between w:val="nil"/>
        </w:pBdr>
        <w:spacing w:after="160" w:line="360" w:lineRule="auto"/>
      </w:pPr>
      <w:r>
        <w:rPr>
          <w:rFonts w:eastAsia="Arial" w:cs="Arial"/>
          <w:color w:val="000000"/>
          <w:szCs w:val="24"/>
        </w:rPr>
        <w:t xml:space="preserve">To upload a copy of the work in the theses database of the college/school/institute/department and any other databases available on the public </w:t>
      </w:r>
      <w:r>
        <w:rPr>
          <w:rFonts w:eastAsia="Arial" w:cs="Arial"/>
          <w:szCs w:val="24"/>
        </w:rPr>
        <w:t>internet</w:t>
      </w:r>
    </w:p>
    <w:p w14:paraId="10ED1DDD" w14:textId="77777777" w:rsidR="007C6854" w:rsidRDefault="00E0219E">
      <w:pPr>
        <w:numPr>
          <w:ilvl w:val="0"/>
          <w:numId w:val="36"/>
        </w:numPr>
        <w:pBdr>
          <w:top w:val="nil"/>
          <w:left w:val="nil"/>
          <w:bottom w:val="nil"/>
          <w:right w:val="nil"/>
          <w:between w:val="nil"/>
        </w:pBdr>
        <w:spacing w:after="160" w:line="360" w:lineRule="auto"/>
      </w:pPr>
      <w:r>
        <w:rPr>
          <w:rFonts w:eastAsia="Arial" w:cs="Arial"/>
          <w:color w:val="000000"/>
          <w:szCs w:val="24"/>
        </w:rPr>
        <w:t xml:space="preserve">To publish the work in the college/school/institute/department journal, both in print and electronic or digital </w:t>
      </w:r>
      <w:r>
        <w:rPr>
          <w:rFonts w:eastAsia="Arial" w:cs="Arial"/>
          <w:szCs w:val="24"/>
        </w:rPr>
        <w:t>format</w:t>
      </w:r>
      <w:r>
        <w:rPr>
          <w:rFonts w:eastAsia="Arial" w:cs="Arial"/>
          <w:color w:val="000000"/>
          <w:szCs w:val="24"/>
        </w:rPr>
        <w:t xml:space="preserve"> and online; and </w:t>
      </w:r>
    </w:p>
    <w:p w14:paraId="739F57FC" w14:textId="77777777" w:rsidR="007C6854" w:rsidRDefault="00E0219E">
      <w:pPr>
        <w:numPr>
          <w:ilvl w:val="0"/>
          <w:numId w:val="36"/>
        </w:numPr>
        <w:pBdr>
          <w:top w:val="nil"/>
          <w:left w:val="nil"/>
          <w:bottom w:val="nil"/>
          <w:right w:val="nil"/>
          <w:between w:val="nil"/>
        </w:pBdr>
        <w:spacing w:after="160" w:line="360" w:lineRule="auto"/>
      </w:pPr>
      <w:r>
        <w:rPr>
          <w:rFonts w:eastAsia="Arial" w:cs="Arial"/>
          <w:color w:val="000000"/>
          <w:szCs w:val="24"/>
        </w:rPr>
        <w:t xml:space="preserve">To give open access to the above-mentioned work, thus allowing “fair use” of the work in accordance with the provisions of the Intellectual Property Code of the Philippines (Republic Act No. 8293), especially for teaching, </w:t>
      </w:r>
      <w:r>
        <w:rPr>
          <w:rFonts w:eastAsia="Arial" w:cs="Arial"/>
          <w:szCs w:val="24"/>
        </w:rPr>
        <w:t>scholarly,</w:t>
      </w:r>
      <w:r>
        <w:rPr>
          <w:rFonts w:eastAsia="Arial" w:cs="Arial"/>
          <w:color w:val="000000"/>
          <w:szCs w:val="24"/>
        </w:rPr>
        <w:t xml:space="preserve"> and research purposes.”</w:t>
      </w:r>
    </w:p>
    <w:p w14:paraId="42FF614C" w14:textId="77777777" w:rsidR="007C6854" w:rsidRDefault="00E0219E">
      <w:pPr>
        <w:pBdr>
          <w:top w:val="nil"/>
          <w:left w:val="nil"/>
          <w:bottom w:val="nil"/>
          <w:right w:val="nil"/>
          <w:between w:val="nil"/>
        </w:pBdr>
        <w:spacing w:after="160" w:line="360" w:lineRule="auto"/>
        <w:rPr>
          <w:rFonts w:eastAsia="Arial" w:cs="Arial"/>
          <w:szCs w:val="24"/>
        </w:rPr>
      </w:pPr>
      <w:r>
        <w:rPr>
          <w:noProof/>
        </w:rPr>
        <w:drawing>
          <wp:anchor distT="0" distB="0" distL="0" distR="0" simplePos="0" relativeHeight="251659264" behindDoc="1" locked="0" layoutInCell="1" hidden="0" allowOverlap="1" wp14:anchorId="0A5FA7FF" wp14:editId="12BC9112">
            <wp:simplePos x="0" y="0"/>
            <wp:positionH relativeFrom="column">
              <wp:posOffset>1704975</wp:posOffset>
            </wp:positionH>
            <wp:positionV relativeFrom="paragraph">
              <wp:posOffset>180975</wp:posOffset>
            </wp:positionV>
            <wp:extent cx="4743450" cy="1273535"/>
            <wp:effectExtent l="0" t="0" r="0" b="0"/>
            <wp:wrapNone/>
            <wp:docPr id="64" name="image12.jpg"/>
            <wp:cNvGraphicFramePr/>
            <a:graphic xmlns:a="http://schemas.openxmlformats.org/drawingml/2006/main">
              <a:graphicData uri="http://schemas.openxmlformats.org/drawingml/2006/picture">
                <pic:pic xmlns:pic="http://schemas.openxmlformats.org/drawingml/2006/picture">
                  <pic:nvPicPr>
                    <pic:cNvPr id="0" name="image12.jpg"/>
                    <pic:cNvPicPr preferRelativeResize="0"/>
                  </pic:nvPicPr>
                  <pic:blipFill>
                    <a:blip r:embed="rId14"/>
                    <a:srcRect/>
                    <a:stretch>
                      <a:fillRect/>
                    </a:stretch>
                  </pic:blipFill>
                  <pic:spPr>
                    <a:xfrm>
                      <a:off x="0" y="0"/>
                      <a:ext cx="4743450" cy="1273535"/>
                    </a:xfrm>
                    <a:prstGeom prst="rect">
                      <a:avLst/>
                    </a:prstGeom>
                    <a:ln/>
                  </pic:spPr>
                </pic:pic>
              </a:graphicData>
            </a:graphic>
          </wp:anchor>
        </w:drawing>
      </w:r>
    </w:p>
    <w:p w14:paraId="5A447919" w14:textId="77777777" w:rsidR="007C6854" w:rsidRDefault="007C6854">
      <w:pPr>
        <w:pBdr>
          <w:top w:val="nil"/>
          <w:left w:val="nil"/>
          <w:bottom w:val="single" w:sz="12" w:space="1" w:color="000000"/>
          <w:right w:val="nil"/>
          <w:between w:val="nil"/>
        </w:pBdr>
        <w:spacing w:after="160" w:line="360" w:lineRule="auto"/>
        <w:ind w:left="2880"/>
        <w:rPr>
          <w:rFonts w:eastAsia="Arial" w:cs="Arial"/>
          <w:szCs w:val="24"/>
        </w:rPr>
      </w:pPr>
    </w:p>
    <w:p w14:paraId="0FE6A1C8" w14:textId="77777777" w:rsidR="007C6854" w:rsidRDefault="00E0219E">
      <w:pPr>
        <w:pBdr>
          <w:top w:val="nil"/>
          <w:left w:val="nil"/>
          <w:bottom w:val="single" w:sz="12" w:space="1" w:color="000000"/>
          <w:right w:val="nil"/>
          <w:between w:val="nil"/>
        </w:pBdr>
        <w:spacing w:after="160" w:line="360" w:lineRule="auto"/>
        <w:ind w:left="2880"/>
        <w:rPr>
          <w:rFonts w:eastAsia="Arial" w:cs="Arial"/>
          <w:szCs w:val="24"/>
        </w:rPr>
      </w:pPr>
      <w:r>
        <w:rPr>
          <w:rFonts w:eastAsia="Arial" w:cs="Arial"/>
          <w:szCs w:val="24"/>
        </w:rPr>
        <w:t xml:space="preserve">            Rammell Eric C. Martinez (10 October 2023)</w:t>
      </w:r>
    </w:p>
    <w:p w14:paraId="1DD92623" w14:textId="77777777" w:rsidR="007C6854" w:rsidRDefault="00E0219E">
      <w:pPr>
        <w:pBdr>
          <w:top w:val="nil"/>
          <w:left w:val="nil"/>
          <w:bottom w:val="nil"/>
          <w:right w:val="nil"/>
          <w:between w:val="nil"/>
        </w:pBdr>
        <w:spacing w:after="160" w:line="360" w:lineRule="auto"/>
        <w:ind w:left="2880"/>
        <w:rPr>
          <w:rFonts w:eastAsia="Arial" w:cs="Arial"/>
          <w:szCs w:val="24"/>
        </w:rPr>
        <w:sectPr w:rsidR="007C6854">
          <w:pgSz w:w="11906" w:h="16838"/>
          <w:pgMar w:top="1440" w:right="1440" w:bottom="1440" w:left="1440" w:header="0" w:footer="0" w:gutter="0"/>
          <w:cols w:space="720"/>
        </w:sectPr>
      </w:pPr>
      <w:r>
        <w:rPr>
          <w:rFonts w:eastAsia="Arial" w:cs="Arial"/>
          <w:szCs w:val="24"/>
        </w:rPr>
        <w:t xml:space="preserve">          Student Name, Signature and Date</w:t>
      </w:r>
    </w:p>
    <w:p w14:paraId="2E98D433" w14:textId="77777777" w:rsidR="007C6854" w:rsidRDefault="00E0219E">
      <w:pPr>
        <w:spacing w:after="160" w:line="259" w:lineRule="auto"/>
        <w:jc w:val="center"/>
        <w:rPr>
          <w:rFonts w:eastAsia="Arial" w:cs="Arial"/>
          <w:b/>
          <w:color w:val="000000"/>
          <w:szCs w:val="24"/>
        </w:rPr>
      </w:pPr>
      <w:r>
        <w:rPr>
          <w:rFonts w:eastAsia="Arial" w:cs="Arial"/>
          <w:b/>
          <w:szCs w:val="24"/>
        </w:rPr>
        <w:lastRenderedPageBreak/>
        <w:t>Acceptance Page</w:t>
      </w:r>
    </w:p>
    <w:p w14:paraId="381166F2" w14:textId="77777777" w:rsidR="007C6854" w:rsidRDefault="007C6854">
      <w:pPr>
        <w:spacing w:after="160" w:line="259" w:lineRule="auto"/>
        <w:rPr>
          <w:rFonts w:eastAsia="Arial" w:cs="Arial"/>
        </w:rPr>
      </w:pPr>
    </w:p>
    <w:p w14:paraId="0EA71128" w14:textId="77777777" w:rsidR="007C6854" w:rsidRDefault="00E0219E">
      <w:pPr>
        <w:spacing w:after="160" w:line="360" w:lineRule="auto"/>
        <w:jc w:val="both"/>
        <w:rPr>
          <w:rFonts w:eastAsia="Arial" w:cs="Arial"/>
          <w:szCs w:val="24"/>
        </w:rPr>
      </w:pPr>
      <w:r>
        <w:rPr>
          <w:rFonts w:eastAsia="Arial" w:cs="Arial"/>
          <w:szCs w:val="24"/>
        </w:rPr>
        <w:t>This thesis, titled: “</w:t>
      </w:r>
      <w:r>
        <w:rPr>
          <w:rFonts w:eastAsia="Arial" w:cs="Arial"/>
          <w:b/>
          <w:szCs w:val="24"/>
        </w:rPr>
        <w:t xml:space="preserve">Descriptive-Correlational Study of Health Literacy among Urban Poor Settlers with Hypertension,” </w:t>
      </w:r>
      <w:r>
        <w:rPr>
          <w:rFonts w:eastAsia="Arial" w:cs="Arial"/>
          <w:szCs w:val="24"/>
        </w:rPr>
        <w:t>is hereby accepted by the Faculty of Management and Development Studies, U.P. Open University, in partial fulfillment of the requirements for the Master of International Health Program.</w:t>
      </w:r>
    </w:p>
    <w:p w14:paraId="3A49EAB2" w14:textId="77777777" w:rsidR="007C6854" w:rsidRDefault="007C6854">
      <w:pPr>
        <w:spacing w:after="160" w:line="360" w:lineRule="auto"/>
        <w:jc w:val="both"/>
        <w:rPr>
          <w:rFonts w:eastAsia="Arial" w:cs="Arial"/>
          <w:szCs w:val="24"/>
        </w:rPr>
      </w:pPr>
    </w:p>
    <w:p w14:paraId="40BD8D39" w14:textId="77777777" w:rsidR="007C6854" w:rsidRDefault="00E0219E">
      <w:pPr>
        <w:spacing w:after="0" w:line="240" w:lineRule="auto"/>
        <w:jc w:val="both"/>
        <w:rPr>
          <w:rFonts w:eastAsia="Arial" w:cs="Arial"/>
          <w:b/>
          <w:szCs w:val="24"/>
        </w:rPr>
      </w:pPr>
      <w:r>
        <w:rPr>
          <w:rFonts w:eastAsia="Arial" w:cs="Arial"/>
          <w:b/>
          <w:szCs w:val="24"/>
          <w:u w:val="single"/>
        </w:rPr>
        <w:t xml:space="preserve">Dr. Myra D. </w:t>
      </w:r>
      <w:proofErr w:type="spellStart"/>
      <w:r>
        <w:rPr>
          <w:rFonts w:eastAsia="Arial" w:cs="Arial"/>
          <w:b/>
          <w:szCs w:val="24"/>
          <w:u w:val="single"/>
        </w:rPr>
        <w:t>Oruga</w:t>
      </w:r>
      <w:proofErr w:type="spellEnd"/>
      <w:r>
        <w:rPr>
          <w:rFonts w:eastAsia="Arial" w:cs="Arial"/>
          <w:b/>
          <w:szCs w:val="24"/>
        </w:rPr>
        <w:tab/>
      </w:r>
      <w:r>
        <w:rPr>
          <w:rFonts w:eastAsia="Arial" w:cs="Arial"/>
          <w:b/>
          <w:szCs w:val="24"/>
        </w:rPr>
        <w:tab/>
      </w:r>
      <w:r>
        <w:rPr>
          <w:rFonts w:eastAsia="Arial" w:cs="Arial"/>
          <w:b/>
          <w:szCs w:val="24"/>
        </w:rPr>
        <w:tab/>
      </w:r>
      <w:r>
        <w:rPr>
          <w:rFonts w:eastAsia="Arial" w:cs="Arial"/>
          <w:b/>
          <w:szCs w:val="24"/>
        </w:rPr>
        <w:tab/>
      </w:r>
      <w:r>
        <w:rPr>
          <w:rFonts w:eastAsia="Arial" w:cs="Arial"/>
          <w:b/>
          <w:szCs w:val="24"/>
        </w:rPr>
        <w:tab/>
        <w:t xml:space="preserve">               </w:t>
      </w:r>
      <w:r>
        <w:rPr>
          <w:rFonts w:eastAsia="Arial" w:cs="Arial"/>
          <w:b/>
          <w:szCs w:val="24"/>
        </w:rPr>
        <w:tab/>
        <w:t>__________________</w:t>
      </w:r>
    </w:p>
    <w:p w14:paraId="42DFA663" w14:textId="77777777" w:rsidR="007C6854" w:rsidRDefault="00E0219E">
      <w:pPr>
        <w:spacing w:after="0" w:line="240" w:lineRule="auto"/>
        <w:jc w:val="both"/>
        <w:rPr>
          <w:rFonts w:eastAsia="Arial" w:cs="Arial"/>
          <w:b/>
          <w:szCs w:val="24"/>
        </w:rPr>
      </w:pPr>
      <w:r>
        <w:rPr>
          <w:rFonts w:eastAsia="Arial" w:cs="Arial"/>
          <w:b/>
          <w:szCs w:val="24"/>
        </w:rPr>
        <w:t>NAME</w:t>
      </w:r>
    </w:p>
    <w:p w14:paraId="18FF0646" w14:textId="77777777" w:rsidR="007C6854" w:rsidRDefault="00E0219E">
      <w:pPr>
        <w:spacing w:after="0" w:line="240" w:lineRule="auto"/>
        <w:jc w:val="both"/>
        <w:rPr>
          <w:rFonts w:eastAsia="Arial" w:cs="Arial"/>
          <w:szCs w:val="24"/>
        </w:rPr>
      </w:pPr>
      <w:r>
        <w:rPr>
          <w:rFonts w:eastAsia="Arial" w:cs="Arial"/>
          <w:szCs w:val="24"/>
        </w:rPr>
        <w:t>Chair, Thesis Committee</w:t>
      </w:r>
      <w:r>
        <w:rPr>
          <w:rFonts w:eastAsia="Arial" w:cs="Arial"/>
          <w:szCs w:val="24"/>
        </w:rPr>
        <w:tab/>
      </w:r>
      <w:r>
        <w:rPr>
          <w:rFonts w:eastAsia="Arial" w:cs="Arial"/>
          <w:szCs w:val="24"/>
        </w:rPr>
        <w:tab/>
      </w:r>
      <w:r>
        <w:rPr>
          <w:rFonts w:eastAsia="Arial" w:cs="Arial"/>
          <w:szCs w:val="24"/>
        </w:rPr>
        <w:tab/>
      </w:r>
      <w:r>
        <w:rPr>
          <w:rFonts w:eastAsia="Arial" w:cs="Arial"/>
          <w:szCs w:val="24"/>
        </w:rPr>
        <w:tab/>
      </w:r>
      <w:r>
        <w:rPr>
          <w:rFonts w:eastAsia="Arial" w:cs="Arial"/>
          <w:szCs w:val="24"/>
        </w:rPr>
        <w:tab/>
      </w:r>
      <w:r>
        <w:rPr>
          <w:rFonts w:eastAsia="Arial" w:cs="Arial"/>
          <w:szCs w:val="24"/>
        </w:rPr>
        <w:tab/>
      </w:r>
      <w:r>
        <w:rPr>
          <w:rFonts w:eastAsia="Arial" w:cs="Arial"/>
          <w:szCs w:val="24"/>
        </w:rPr>
        <w:tab/>
        <w:t>(Date)</w:t>
      </w:r>
    </w:p>
    <w:p w14:paraId="0AA06AE6" w14:textId="77777777" w:rsidR="007C6854" w:rsidRDefault="007C6854">
      <w:pPr>
        <w:spacing w:after="0" w:line="240" w:lineRule="auto"/>
        <w:jc w:val="both"/>
        <w:rPr>
          <w:rFonts w:eastAsia="Arial" w:cs="Arial"/>
          <w:szCs w:val="24"/>
        </w:rPr>
      </w:pPr>
    </w:p>
    <w:p w14:paraId="4731A743" w14:textId="77777777" w:rsidR="007C6854" w:rsidRDefault="007C6854">
      <w:pPr>
        <w:spacing w:after="0" w:line="240" w:lineRule="auto"/>
        <w:jc w:val="both"/>
        <w:rPr>
          <w:rFonts w:eastAsia="Arial" w:cs="Arial"/>
          <w:szCs w:val="24"/>
        </w:rPr>
      </w:pPr>
    </w:p>
    <w:p w14:paraId="56EA8789" w14:textId="77777777" w:rsidR="007C6854" w:rsidRDefault="00E0219E">
      <w:pPr>
        <w:spacing w:after="0" w:line="240" w:lineRule="auto"/>
        <w:jc w:val="both"/>
        <w:rPr>
          <w:rFonts w:eastAsia="Arial" w:cs="Arial"/>
          <w:b/>
          <w:szCs w:val="24"/>
        </w:rPr>
      </w:pPr>
      <w:r>
        <w:rPr>
          <w:rFonts w:eastAsia="Arial" w:cs="Arial"/>
          <w:b/>
          <w:szCs w:val="24"/>
          <w:u w:val="single"/>
        </w:rPr>
        <w:t>Dr. Raymundo Celestino F.</w:t>
      </w:r>
      <w:r>
        <w:rPr>
          <w:rFonts w:eastAsia="Arial" w:cs="Arial"/>
          <w:b/>
          <w:szCs w:val="24"/>
        </w:rPr>
        <w:tab/>
      </w:r>
      <w:r>
        <w:rPr>
          <w:rFonts w:eastAsia="Arial" w:cs="Arial"/>
          <w:b/>
          <w:szCs w:val="24"/>
        </w:rPr>
        <w:tab/>
      </w:r>
      <w:r>
        <w:rPr>
          <w:rFonts w:eastAsia="Arial" w:cs="Arial"/>
          <w:b/>
          <w:szCs w:val="24"/>
        </w:rPr>
        <w:tab/>
      </w:r>
      <w:r>
        <w:rPr>
          <w:rFonts w:eastAsia="Arial" w:cs="Arial"/>
          <w:b/>
          <w:szCs w:val="24"/>
        </w:rPr>
        <w:tab/>
      </w:r>
      <w:r>
        <w:rPr>
          <w:rFonts w:eastAsia="Arial" w:cs="Arial"/>
          <w:b/>
          <w:szCs w:val="24"/>
        </w:rPr>
        <w:tab/>
        <w:t>__________________</w:t>
      </w:r>
    </w:p>
    <w:p w14:paraId="7E5E7692" w14:textId="77777777" w:rsidR="007C6854" w:rsidRDefault="00E0219E">
      <w:pPr>
        <w:spacing w:after="0" w:line="240" w:lineRule="auto"/>
        <w:jc w:val="both"/>
        <w:rPr>
          <w:rFonts w:eastAsia="Arial" w:cs="Arial"/>
          <w:b/>
          <w:szCs w:val="24"/>
          <w:u w:val="single"/>
        </w:rPr>
      </w:pPr>
      <w:proofErr w:type="spellStart"/>
      <w:r>
        <w:rPr>
          <w:rFonts w:eastAsia="Arial" w:cs="Arial"/>
          <w:b/>
          <w:szCs w:val="24"/>
          <w:u w:val="single"/>
        </w:rPr>
        <w:t>Habito</w:t>
      </w:r>
      <w:proofErr w:type="spellEnd"/>
      <w:r>
        <w:rPr>
          <w:rFonts w:eastAsia="Arial" w:cs="Arial"/>
          <w:b/>
          <w:szCs w:val="24"/>
          <w:u w:val="single"/>
        </w:rPr>
        <w:t xml:space="preserve"> Jr.</w:t>
      </w:r>
    </w:p>
    <w:p w14:paraId="08F7BD26" w14:textId="77777777" w:rsidR="007C6854" w:rsidRDefault="00E0219E">
      <w:pPr>
        <w:spacing w:after="0" w:line="240" w:lineRule="auto"/>
        <w:jc w:val="both"/>
        <w:rPr>
          <w:rFonts w:eastAsia="Arial" w:cs="Arial"/>
          <w:b/>
          <w:szCs w:val="24"/>
        </w:rPr>
      </w:pPr>
      <w:r>
        <w:rPr>
          <w:rFonts w:eastAsia="Arial" w:cs="Arial"/>
          <w:b/>
          <w:szCs w:val="24"/>
        </w:rPr>
        <w:t>NAME</w:t>
      </w:r>
    </w:p>
    <w:p w14:paraId="232002E5" w14:textId="77777777" w:rsidR="007C6854" w:rsidRDefault="00E0219E">
      <w:pPr>
        <w:spacing w:after="0" w:line="240" w:lineRule="auto"/>
        <w:jc w:val="both"/>
        <w:rPr>
          <w:rFonts w:eastAsia="Arial" w:cs="Arial"/>
          <w:szCs w:val="24"/>
        </w:rPr>
      </w:pPr>
      <w:r>
        <w:rPr>
          <w:rFonts w:eastAsia="Arial" w:cs="Arial"/>
          <w:szCs w:val="24"/>
        </w:rPr>
        <w:t>Member, Thesis Committee</w:t>
      </w:r>
      <w:r>
        <w:rPr>
          <w:rFonts w:eastAsia="Arial" w:cs="Arial"/>
          <w:szCs w:val="24"/>
        </w:rPr>
        <w:tab/>
      </w:r>
      <w:r>
        <w:rPr>
          <w:rFonts w:eastAsia="Arial" w:cs="Arial"/>
          <w:szCs w:val="24"/>
        </w:rPr>
        <w:tab/>
      </w:r>
      <w:r>
        <w:rPr>
          <w:rFonts w:eastAsia="Arial" w:cs="Arial"/>
          <w:szCs w:val="24"/>
        </w:rPr>
        <w:tab/>
      </w:r>
      <w:r>
        <w:rPr>
          <w:rFonts w:eastAsia="Arial" w:cs="Arial"/>
          <w:szCs w:val="24"/>
        </w:rPr>
        <w:tab/>
      </w:r>
      <w:r>
        <w:rPr>
          <w:rFonts w:eastAsia="Arial" w:cs="Arial"/>
          <w:szCs w:val="24"/>
        </w:rPr>
        <w:tab/>
      </w:r>
      <w:r>
        <w:rPr>
          <w:rFonts w:eastAsia="Arial" w:cs="Arial"/>
          <w:szCs w:val="24"/>
        </w:rPr>
        <w:tab/>
        <w:t>(Date)</w:t>
      </w:r>
    </w:p>
    <w:p w14:paraId="1E1BC57D" w14:textId="77777777" w:rsidR="007C6854" w:rsidRDefault="007C6854">
      <w:pPr>
        <w:spacing w:after="0" w:line="240" w:lineRule="auto"/>
        <w:jc w:val="both"/>
        <w:rPr>
          <w:rFonts w:eastAsia="Arial" w:cs="Arial"/>
          <w:szCs w:val="24"/>
        </w:rPr>
      </w:pPr>
    </w:p>
    <w:p w14:paraId="2A740C07" w14:textId="77777777" w:rsidR="007C6854" w:rsidRDefault="007C6854">
      <w:pPr>
        <w:spacing w:after="0" w:line="240" w:lineRule="auto"/>
        <w:jc w:val="both"/>
        <w:rPr>
          <w:rFonts w:eastAsia="Arial" w:cs="Arial"/>
          <w:szCs w:val="24"/>
        </w:rPr>
      </w:pPr>
    </w:p>
    <w:p w14:paraId="40FE2430" w14:textId="77777777" w:rsidR="007C6854" w:rsidRDefault="00E0219E">
      <w:pPr>
        <w:spacing w:after="0" w:line="240" w:lineRule="auto"/>
        <w:jc w:val="both"/>
        <w:rPr>
          <w:rFonts w:eastAsia="Arial" w:cs="Arial"/>
          <w:b/>
          <w:szCs w:val="24"/>
        </w:rPr>
      </w:pPr>
      <w:r>
        <w:rPr>
          <w:rFonts w:eastAsia="Arial" w:cs="Arial"/>
          <w:b/>
          <w:szCs w:val="24"/>
          <w:u w:val="single"/>
        </w:rPr>
        <w:t>Dr. Sheila R. Bonito</w:t>
      </w:r>
      <w:r>
        <w:rPr>
          <w:rFonts w:eastAsia="Arial" w:cs="Arial"/>
          <w:b/>
          <w:szCs w:val="24"/>
        </w:rPr>
        <w:tab/>
      </w:r>
      <w:r>
        <w:rPr>
          <w:rFonts w:eastAsia="Arial" w:cs="Arial"/>
          <w:b/>
          <w:szCs w:val="24"/>
        </w:rPr>
        <w:tab/>
      </w:r>
      <w:r>
        <w:rPr>
          <w:rFonts w:eastAsia="Arial" w:cs="Arial"/>
          <w:b/>
          <w:szCs w:val="24"/>
        </w:rPr>
        <w:tab/>
      </w:r>
      <w:r>
        <w:rPr>
          <w:rFonts w:eastAsia="Arial" w:cs="Arial"/>
          <w:b/>
          <w:szCs w:val="24"/>
        </w:rPr>
        <w:tab/>
      </w:r>
      <w:r>
        <w:rPr>
          <w:rFonts w:eastAsia="Arial" w:cs="Arial"/>
          <w:b/>
          <w:szCs w:val="24"/>
        </w:rPr>
        <w:tab/>
      </w:r>
      <w:r>
        <w:rPr>
          <w:rFonts w:eastAsia="Arial" w:cs="Arial"/>
          <w:b/>
          <w:szCs w:val="24"/>
        </w:rPr>
        <w:tab/>
        <w:t>__________________</w:t>
      </w:r>
    </w:p>
    <w:p w14:paraId="70BF0F64" w14:textId="77777777" w:rsidR="007C6854" w:rsidRDefault="00E0219E">
      <w:pPr>
        <w:spacing w:after="0" w:line="240" w:lineRule="auto"/>
        <w:jc w:val="both"/>
        <w:rPr>
          <w:rFonts w:eastAsia="Arial" w:cs="Arial"/>
          <w:b/>
          <w:szCs w:val="24"/>
        </w:rPr>
      </w:pPr>
      <w:r>
        <w:rPr>
          <w:rFonts w:eastAsia="Arial" w:cs="Arial"/>
          <w:b/>
          <w:szCs w:val="24"/>
        </w:rPr>
        <w:t>NAME</w:t>
      </w:r>
    </w:p>
    <w:p w14:paraId="6CBE53E1" w14:textId="77777777" w:rsidR="007C6854" w:rsidRDefault="00E0219E">
      <w:pPr>
        <w:spacing w:after="0" w:line="240" w:lineRule="auto"/>
        <w:jc w:val="both"/>
        <w:rPr>
          <w:rFonts w:eastAsia="Arial" w:cs="Arial"/>
          <w:szCs w:val="24"/>
        </w:rPr>
      </w:pPr>
      <w:r>
        <w:rPr>
          <w:rFonts w:eastAsia="Arial" w:cs="Arial"/>
          <w:szCs w:val="24"/>
        </w:rPr>
        <w:t>Member, Thesis Committee</w:t>
      </w:r>
      <w:r>
        <w:rPr>
          <w:rFonts w:eastAsia="Arial" w:cs="Arial"/>
          <w:szCs w:val="24"/>
        </w:rPr>
        <w:tab/>
      </w:r>
      <w:r>
        <w:rPr>
          <w:rFonts w:eastAsia="Arial" w:cs="Arial"/>
          <w:szCs w:val="24"/>
        </w:rPr>
        <w:tab/>
      </w:r>
      <w:r>
        <w:rPr>
          <w:rFonts w:eastAsia="Arial" w:cs="Arial"/>
          <w:szCs w:val="24"/>
        </w:rPr>
        <w:tab/>
      </w:r>
      <w:r>
        <w:rPr>
          <w:rFonts w:eastAsia="Arial" w:cs="Arial"/>
          <w:szCs w:val="24"/>
        </w:rPr>
        <w:tab/>
      </w:r>
      <w:r>
        <w:rPr>
          <w:rFonts w:eastAsia="Arial" w:cs="Arial"/>
          <w:szCs w:val="24"/>
        </w:rPr>
        <w:tab/>
      </w:r>
      <w:r>
        <w:rPr>
          <w:rFonts w:eastAsia="Arial" w:cs="Arial"/>
          <w:szCs w:val="24"/>
        </w:rPr>
        <w:tab/>
        <w:t>(Date)</w:t>
      </w:r>
    </w:p>
    <w:p w14:paraId="5CA4D5F3" w14:textId="77777777" w:rsidR="007C6854" w:rsidRDefault="007C6854">
      <w:pPr>
        <w:spacing w:after="0" w:line="240" w:lineRule="auto"/>
        <w:jc w:val="both"/>
        <w:rPr>
          <w:rFonts w:eastAsia="Arial" w:cs="Arial"/>
          <w:szCs w:val="24"/>
        </w:rPr>
      </w:pPr>
    </w:p>
    <w:p w14:paraId="3AB0A4D1" w14:textId="77777777" w:rsidR="007C6854" w:rsidRDefault="007C6854">
      <w:pPr>
        <w:spacing w:after="0" w:line="240" w:lineRule="auto"/>
        <w:jc w:val="both"/>
        <w:rPr>
          <w:rFonts w:eastAsia="Arial" w:cs="Arial"/>
          <w:szCs w:val="24"/>
        </w:rPr>
      </w:pPr>
    </w:p>
    <w:p w14:paraId="25AFC217" w14:textId="77777777" w:rsidR="007C6854" w:rsidRDefault="00E0219E">
      <w:pPr>
        <w:spacing w:after="0" w:line="240" w:lineRule="auto"/>
        <w:jc w:val="both"/>
        <w:rPr>
          <w:rFonts w:eastAsia="Arial" w:cs="Arial"/>
          <w:b/>
          <w:szCs w:val="24"/>
        </w:rPr>
      </w:pPr>
      <w:r>
        <w:rPr>
          <w:rFonts w:eastAsia="Arial" w:cs="Arial"/>
          <w:b/>
          <w:szCs w:val="24"/>
          <w:u w:val="single"/>
        </w:rPr>
        <w:t>Dr. Eleanor C. Castillo</w:t>
      </w:r>
      <w:r>
        <w:rPr>
          <w:rFonts w:eastAsia="Arial" w:cs="Arial"/>
          <w:b/>
          <w:szCs w:val="24"/>
        </w:rPr>
        <w:tab/>
      </w:r>
      <w:r>
        <w:rPr>
          <w:rFonts w:eastAsia="Arial" w:cs="Arial"/>
          <w:b/>
          <w:szCs w:val="24"/>
        </w:rPr>
        <w:tab/>
      </w:r>
      <w:r>
        <w:rPr>
          <w:rFonts w:eastAsia="Arial" w:cs="Arial"/>
          <w:b/>
          <w:szCs w:val="24"/>
        </w:rPr>
        <w:tab/>
      </w:r>
      <w:r>
        <w:rPr>
          <w:rFonts w:eastAsia="Arial" w:cs="Arial"/>
          <w:b/>
          <w:szCs w:val="24"/>
        </w:rPr>
        <w:tab/>
      </w:r>
      <w:r>
        <w:rPr>
          <w:rFonts w:eastAsia="Arial" w:cs="Arial"/>
          <w:b/>
          <w:szCs w:val="24"/>
        </w:rPr>
        <w:tab/>
      </w:r>
      <w:r>
        <w:rPr>
          <w:rFonts w:eastAsia="Arial" w:cs="Arial"/>
          <w:b/>
          <w:szCs w:val="24"/>
        </w:rPr>
        <w:tab/>
        <w:t>__________________</w:t>
      </w:r>
    </w:p>
    <w:p w14:paraId="62B5AFDD" w14:textId="77777777" w:rsidR="007C6854" w:rsidRDefault="00E0219E">
      <w:pPr>
        <w:spacing w:after="0" w:line="240" w:lineRule="auto"/>
        <w:jc w:val="both"/>
        <w:rPr>
          <w:rFonts w:eastAsia="Arial" w:cs="Arial"/>
          <w:b/>
          <w:szCs w:val="24"/>
        </w:rPr>
      </w:pPr>
      <w:r>
        <w:rPr>
          <w:rFonts w:eastAsia="Arial" w:cs="Arial"/>
          <w:b/>
          <w:szCs w:val="24"/>
        </w:rPr>
        <w:t>NAME</w:t>
      </w:r>
    </w:p>
    <w:p w14:paraId="6F28A45F" w14:textId="77777777" w:rsidR="007C6854" w:rsidRDefault="00E0219E">
      <w:pPr>
        <w:spacing w:after="0" w:line="240" w:lineRule="auto"/>
        <w:jc w:val="both"/>
        <w:rPr>
          <w:rFonts w:eastAsia="Arial" w:cs="Arial"/>
          <w:szCs w:val="24"/>
        </w:rPr>
      </w:pPr>
      <w:r>
        <w:rPr>
          <w:rFonts w:eastAsia="Arial" w:cs="Arial"/>
          <w:szCs w:val="24"/>
        </w:rPr>
        <w:t>Member, Thesis Committee</w:t>
      </w:r>
      <w:r>
        <w:rPr>
          <w:rFonts w:eastAsia="Arial" w:cs="Arial"/>
          <w:szCs w:val="24"/>
        </w:rPr>
        <w:tab/>
      </w:r>
      <w:r>
        <w:rPr>
          <w:rFonts w:eastAsia="Arial" w:cs="Arial"/>
          <w:szCs w:val="24"/>
        </w:rPr>
        <w:tab/>
      </w:r>
      <w:r>
        <w:rPr>
          <w:rFonts w:eastAsia="Arial" w:cs="Arial"/>
          <w:szCs w:val="24"/>
        </w:rPr>
        <w:tab/>
      </w:r>
      <w:r>
        <w:rPr>
          <w:rFonts w:eastAsia="Arial" w:cs="Arial"/>
          <w:szCs w:val="24"/>
        </w:rPr>
        <w:tab/>
      </w:r>
      <w:r>
        <w:rPr>
          <w:rFonts w:eastAsia="Arial" w:cs="Arial"/>
          <w:szCs w:val="24"/>
        </w:rPr>
        <w:tab/>
      </w:r>
      <w:r>
        <w:rPr>
          <w:rFonts w:eastAsia="Arial" w:cs="Arial"/>
          <w:szCs w:val="24"/>
        </w:rPr>
        <w:tab/>
        <w:t>(Date)</w:t>
      </w:r>
    </w:p>
    <w:p w14:paraId="0536D0B8" w14:textId="77777777" w:rsidR="007C6854" w:rsidRDefault="007C6854">
      <w:pPr>
        <w:spacing w:after="0" w:line="240" w:lineRule="auto"/>
        <w:jc w:val="both"/>
        <w:rPr>
          <w:rFonts w:eastAsia="Arial" w:cs="Arial"/>
          <w:szCs w:val="24"/>
        </w:rPr>
      </w:pPr>
    </w:p>
    <w:p w14:paraId="22F1CE3B" w14:textId="77777777" w:rsidR="007C6854" w:rsidRDefault="007C6854">
      <w:pPr>
        <w:spacing w:after="0" w:line="240" w:lineRule="auto"/>
        <w:jc w:val="both"/>
        <w:rPr>
          <w:rFonts w:eastAsia="Arial" w:cs="Arial"/>
          <w:szCs w:val="24"/>
        </w:rPr>
      </w:pPr>
    </w:p>
    <w:p w14:paraId="3181676E" w14:textId="77777777" w:rsidR="007C6854" w:rsidRDefault="00E0219E">
      <w:pPr>
        <w:spacing w:after="0" w:line="240" w:lineRule="auto"/>
        <w:jc w:val="both"/>
        <w:rPr>
          <w:rFonts w:eastAsia="Arial" w:cs="Arial"/>
          <w:b/>
          <w:szCs w:val="24"/>
        </w:rPr>
      </w:pPr>
      <w:r>
        <w:rPr>
          <w:rFonts w:eastAsia="Arial" w:cs="Arial"/>
          <w:b/>
          <w:szCs w:val="24"/>
          <w:u w:val="single"/>
        </w:rPr>
        <w:t>Dr. Jonathan P. Guevarra</w:t>
      </w:r>
      <w:r>
        <w:rPr>
          <w:rFonts w:eastAsia="Arial" w:cs="Arial"/>
          <w:b/>
          <w:szCs w:val="24"/>
        </w:rPr>
        <w:tab/>
      </w:r>
      <w:r>
        <w:rPr>
          <w:rFonts w:eastAsia="Arial" w:cs="Arial"/>
          <w:b/>
          <w:szCs w:val="24"/>
        </w:rPr>
        <w:tab/>
      </w:r>
      <w:r>
        <w:rPr>
          <w:rFonts w:eastAsia="Arial" w:cs="Arial"/>
          <w:b/>
          <w:szCs w:val="24"/>
        </w:rPr>
        <w:tab/>
      </w:r>
      <w:r>
        <w:rPr>
          <w:rFonts w:eastAsia="Arial" w:cs="Arial"/>
          <w:b/>
          <w:szCs w:val="24"/>
        </w:rPr>
        <w:tab/>
      </w:r>
      <w:r>
        <w:rPr>
          <w:rFonts w:eastAsia="Arial" w:cs="Arial"/>
          <w:b/>
          <w:szCs w:val="24"/>
        </w:rPr>
        <w:tab/>
        <w:t>__________________</w:t>
      </w:r>
    </w:p>
    <w:p w14:paraId="4C69B111" w14:textId="77777777" w:rsidR="007C6854" w:rsidRDefault="00E0219E">
      <w:pPr>
        <w:spacing w:after="0" w:line="240" w:lineRule="auto"/>
        <w:jc w:val="both"/>
        <w:rPr>
          <w:rFonts w:eastAsia="Arial" w:cs="Arial"/>
          <w:b/>
          <w:szCs w:val="24"/>
        </w:rPr>
      </w:pPr>
      <w:r>
        <w:rPr>
          <w:rFonts w:eastAsia="Arial" w:cs="Arial"/>
          <w:b/>
          <w:szCs w:val="24"/>
        </w:rPr>
        <w:t>NAME</w:t>
      </w:r>
    </w:p>
    <w:p w14:paraId="0DBAA54E" w14:textId="77777777" w:rsidR="007C6854" w:rsidRDefault="00E0219E">
      <w:pPr>
        <w:spacing w:after="0" w:line="240" w:lineRule="auto"/>
        <w:jc w:val="both"/>
        <w:rPr>
          <w:rFonts w:eastAsia="Arial" w:cs="Arial"/>
          <w:szCs w:val="24"/>
        </w:rPr>
      </w:pPr>
      <w:r>
        <w:rPr>
          <w:rFonts w:eastAsia="Arial" w:cs="Arial"/>
          <w:szCs w:val="24"/>
        </w:rPr>
        <w:t>Member, Thesis Committee</w:t>
      </w:r>
      <w:r>
        <w:rPr>
          <w:rFonts w:eastAsia="Arial" w:cs="Arial"/>
          <w:szCs w:val="24"/>
        </w:rPr>
        <w:tab/>
      </w:r>
      <w:r>
        <w:rPr>
          <w:rFonts w:eastAsia="Arial" w:cs="Arial"/>
          <w:szCs w:val="24"/>
        </w:rPr>
        <w:tab/>
      </w:r>
      <w:r>
        <w:rPr>
          <w:rFonts w:eastAsia="Arial" w:cs="Arial"/>
          <w:szCs w:val="24"/>
        </w:rPr>
        <w:tab/>
      </w:r>
      <w:r>
        <w:rPr>
          <w:rFonts w:eastAsia="Arial" w:cs="Arial"/>
          <w:szCs w:val="24"/>
        </w:rPr>
        <w:tab/>
      </w:r>
      <w:r>
        <w:rPr>
          <w:rFonts w:eastAsia="Arial" w:cs="Arial"/>
          <w:szCs w:val="24"/>
        </w:rPr>
        <w:tab/>
      </w:r>
      <w:r>
        <w:rPr>
          <w:rFonts w:eastAsia="Arial" w:cs="Arial"/>
          <w:szCs w:val="24"/>
        </w:rPr>
        <w:tab/>
        <w:t>(Date)</w:t>
      </w:r>
    </w:p>
    <w:p w14:paraId="4C6469CB" w14:textId="77777777" w:rsidR="007C6854" w:rsidRDefault="007C6854">
      <w:pPr>
        <w:spacing w:after="0" w:line="240" w:lineRule="auto"/>
        <w:jc w:val="both"/>
        <w:rPr>
          <w:rFonts w:eastAsia="Arial" w:cs="Arial"/>
          <w:szCs w:val="24"/>
        </w:rPr>
      </w:pPr>
    </w:p>
    <w:p w14:paraId="433B5D06" w14:textId="77777777" w:rsidR="007C6854" w:rsidRDefault="007C6854">
      <w:pPr>
        <w:spacing w:after="0" w:line="240" w:lineRule="auto"/>
        <w:jc w:val="both"/>
        <w:rPr>
          <w:rFonts w:eastAsia="Arial" w:cs="Arial"/>
          <w:szCs w:val="24"/>
        </w:rPr>
      </w:pPr>
    </w:p>
    <w:p w14:paraId="576C8592" w14:textId="77777777" w:rsidR="007C6854" w:rsidRDefault="007C6854">
      <w:pPr>
        <w:spacing w:after="0" w:line="240" w:lineRule="auto"/>
        <w:jc w:val="both"/>
        <w:rPr>
          <w:rFonts w:eastAsia="Arial" w:cs="Arial"/>
          <w:szCs w:val="24"/>
        </w:rPr>
      </w:pPr>
    </w:p>
    <w:p w14:paraId="794D1C6F" w14:textId="77777777" w:rsidR="007C6854" w:rsidRDefault="007C6854">
      <w:pPr>
        <w:spacing w:after="0" w:line="240" w:lineRule="auto"/>
        <w:jc w:val="both"/>
        <w:rPr>
          <w:rFonts w:eastAsia="Arial" w:cs="Arial"/>
          <w:szCs w:val="24"/>
        </w:rPr>
      </w:pPr>
    </w:p>
    <w:p w14:paraId="1E48CBD5" w14:textId="77777777" w:rsidR="007C6854" w:rsidRDefault="00E0219E">
      <w:pPr>
        <w:spacing w:after="0" w:line="240" w:lineRule="auto"/>
        <w:jc w:val="center"/>
        <w:rPr>
          <w:rFonts w:eastAsia="Arial" w:cs="Arial"/>
          <w:b/>
          <w:szCs w:val="24"/>
        </w:rPr>
      </w:pPr>
      <w:r>
        <w:rPr>
          <w:rFonts w:eastAsia="Arial" w:cs="Arial"/>
          <w:b/>
          <w:szCs w:val="24"/>
        </w:rPr>
        <w:t>___________________________</w:t>
      </w:r>
    </w:p>
    <w:p w14:paraId="69C06771" w14:textId="77777777" w:rsidR="007C6854" w:rsidRDefault="00E0219E">
      <w:pPr>
        <w:spacing w:after="0" w:line="240" w:lineRule="auto"/>
        <w:jc w:val="center"/>
        <w:rPr>
          <w:rFonts w:eastAsia="Arial" w:cs="Arial"/>
          <w:szCs w:val="24"/>
        </w:rPr>
      </w:pPr>
      <w:r>
        <w:rPr>
          <w:rFonts w:eastAsia="Arial" w:cs="Arial"/>
          <w:szCs w:val="24"/>
        </w:rPr>
        <w:t>Dean</w:t>
      </w:r>
    </w:p>
    <w:p w14:paraId="154D5BAE" w14:textId="77777777" w:rsidR="007C6854" w:rsidRDefault="00E0219E">
      <w:pPr>
        <w:spacing w:after="0" w:line="240" w:lineRule="auto"/>
        <w:jc w:val="center"/>
        <w:rPr>
          <w:rFonts w:eastAsia="Arial" w:cs="Arial"/>
          <w:szCs w:val="24"/>
        </w:rPr>
      </w:pPr>
      <w:r>
        <w:rPr>
          <w:rFonts w:eastAsia="Arial" w:cs="Arial"/>
          <w:szCs w:val="24"/>
        </w:rPr>
        <w:t>Faculty of Management and Development Studies</w:t>
      </w:r>
    </w:p>
    <w:p w14:paraId="53C2DED4" w14:textId="77777777" w:rsidR="007C6854" w:rsidRDefault="007C6854">
      <w:pPr>
        <w:spacing w:after="0" w:line="240" w:lineRule="auto"/>
        <w:jc w:val="center"/>
        <w:rPr>
          <w:rFonts w:eastAsia="Arial" w:cs="Arial"/>
          <w:szCs w:val="24"/>
        </w:rPr>
      </w:pPr>
    </w:p>
    <w:p w14:paraId="75EB42D4" w14:textId="77777777" w:rsidR="007C6854" w:rsidRDefault="007C6854">
      <w:pPr>
        <w:spacing w:after="0" w:line="240" w:lineRule="auto"/>
        <w:jc w:val="center"/>
        <w:rPr>
          <w:rFonts w:eastAsia="Arial" w:cs="Arial"/>
          <w:szCs w:val="24"/>
        </w:rPr>
      </w:pPr>
    </w:p>
    <w:p w14:paraId="5D6FBAB9" w14:textId="77777777" w:rsidR="007C6854" w:rsidRDefault="00E0219E">
      <w:pPr>
        <w:spacing w:after="0" w:line="240" w:lineRule="auto"/>
        <w:jc w:val="center"/>
        <w:rPr>
          <w:rFonts w:eastAsia="Arial" w:cs="Arial"/>
          <w:b/>
          <w:szCs w:val="24"/>
        </w:rPr>
      </w:pPr>
      <w:r>
        <w:rPr>
          <w:rFonts w:eastAsia="Arial" w:cs="Arial"/>
          <w:b/>
          <w:szCs w:val="24"/>
        </w:rPr>
        <w:t>___________________</w:t>
      </w:r>
    </w:p>
    <w:p w14:paraId="7EBB6E5A" w14:textId="77777777" w:rsidR="007C6854" w:rsidRDefault="00E0219E">
      <w:pPr>
        <w:spacing w:after="0" w:line="240" w:lineRule="auto"/>
        <w:jc w:val="center"/>
        <w:rPr>
          <w:rFonts w:eastAsia="Arial" w:cs="Arial"/>
          <w:szCs w:val="24"/>
        </w:rPr>
        <w:sectPr w:rsidR="007C6854">
          <w:headerReference w:type="default" r:id="rId15"/>
          <w:footerReference w:type="default" r:id="rId16"/>
          <w:pgSz w:w="11906" w:h="16838"/>
          <w:pgMar w:top="1440" w:right="1440" w:bottom="1440" w:left="1440" w:header="0" w:footer="0" w:gutter="0"/>
          <w:cols w:space="720"/>
        </w:sectPr>
      </w:pPr>
      <w:r>
        <w:rPr>
          <w:rFonts w:eastAsia="Arial" w:cs="Arial"/>
          <w:szCs w:val="24"/>
        </w:rPr>
        <w:t>(Date)</w:t>
      </w:r>
    </w:p>
    <w:p w14:paraId="77855DC4" w14:textId="77777777" w:rsidR="007C6854" w:rsidRDefault="00E0219E">
      <w:pPr>
        <w:spacing w:after="160" w:line="259" w:lineRule="auto"/>
        <w:jc w:val="center"/>
        <w:rPr>
          <w:rFonts w:eastAsia="Arial" w:cs="Arial"/>
          <w:b/>
          <w:szCs w:val="24"/>
        </w:rPr>
      </w:pPr>
      <w:r>
        <w:rPr>
          <w:rFonts w:eastAsia="Arial" w:cs="Arial"/>
          <w:b/>
          <w:szCs w:val="24"/>
        </w:rPr>
        <w:lastRenderedPageBreak/>
        <w:t>Biographical Sketch</w:t>
      </w:r>
    </w:p>
    <w:p w14:paraId="526B17C5" w14:textId="77777777" w:rsidR="007C6854" w:rsidRDefault="007C6854">
      <w:pPr>
        <w:spacing w:after="160" w:line="259" w:lineRule="auto"/>
        <w:jc w:val="center"/>
        <w:rPr>
          <w:rFonts w:eastAsia="Arial" w:cs="Arial"/>
          <w:b/>
          <w:szCs w:val="24"/>
        </w:rPr>
      </w:pPr>
    </w:p>
    <w:p w14:paraId="717BCC3C" w14:textId="77777777" w:rsidR="007C6854" w:rsidRDefault="00E0219E">
      <w:pPr>
        <w:spacing w:after="160" w:line="360" w:lineRule="auto"/>
        <w:ind w:firstLine="720"/>
        <w:jc w:val="both"/>
        <w:rPr>
          <w:rFonts w:eastAsia="Arial" w:cs="Arial"/>
          <w:szCs w:val="24"/>
        </w:rPr>
      </w:pPr>
      <w:r>
        <w:rPr>
          <w:rFonts w:eastAsia="Arial" w:cs="Arial"/>
          <w:szCs w:val="24"/>
        </w:rPr>
        <w:t xml:space="preserve">Rammell Eric Capco Martinez was born on March 16, 1974, in Sampaloc, Manila. He is married to </w:t>
      </w:r>
      <w:proofErr w:type="spellStart"/>
      <w:r>
        <w:rPr>
          <w:rFonts w:eastAsia="Arial" w:cs="Arial"/>
          <w:szCs w:val="24"/>
        </w:rPr>
        <w:t>Alona</w:t>
      </w:r>
      <w:proofErr w:type="spellEnd"/>
      <w:r>
        <w:rPr>
          <w:rFonts w:eastAsia="Arial" w:cs="Arial"/>
          <w:szCs w:val="24"/>
        </w:rPr>
        <w:t xml:space="preserve"> Angeles Martinez and has two children named Phoebe and Nathan. He graduated with a BS in Nursing from Olivarez College, had post-graduate training in Field Epidemiology (FETP) under the Department of Health Epidemiology Bureau program, and had his Diploma in International Health from the University of the Philippines Open University. He worked on various fields of interest, like disease surveillance, project and program management, and surveys. He authored or co-authored several studies, primarily on NCDs and Injury Prevention. He was currently with the Epidemiology Bureau as a Senior Health Program Officer, assisting, coaching, and mentoring FETP trainees and fellows. He also oversees the implementation of the FETP tier, primarily the Frontline and Intermediate programs, at the sub-national level.</w:t>
      </w:r>
      <w:r>
        <w:br w:type="page"/>
      </w:r>
    </w:p>
    <w:p w14:paraId="6DAF6129" w14:textId="77777777" w:rsidR="00E0219E" w:rsidRDefault="00E0219E">
      <w:pPr>
        <w:tabs>
          <w:tab w:val="center" w:pos="4680"/>
          <w:tab w:val="right" w:pos="9360"/>
        </w:tabs>
        <w:spacing w:after="160" w:line="360" w:lineRule="auto"/>
        <w:jc w:val="center"/>
        <w:rPr>
          <w:rFonts w:eastAsia="Arial" w:cs="Arial"/>
          <w:b/>
          <w:szCs w:val="24"/>
        </w:rPr>
        <w:sectPr w:rsidR="00E0219E">
          <w:headerReference w:type="default" r:id="rId17"/>
          <w:footerReference w:type="default" r:id="rId18"/>
          <w:pgSz w:w="11906" w:h="16838"/>
          <w:pgMar w:top="1440" w:right="1440" w:bottom="1440" w:left="1440" w:header="0" w:footer="0" w:gutter="0"/>
          <w:cols w:space="720"/>
        </w:sectPr>
      </w:pPr>
    </w:p>
    <w:p w14:paraId="7C2F53A2" w14:textId="77777777" w:rsidR="007C6854" w:rsidRDefault="00E0219E">
      <w:pPr>
        <w:tabs>
          <w:tab w:val="center" w:pos="4680"/>
          <w:tab w:val="right" w:pos="9360"/>
        </w:tabs>
        <w:spacing w:after="160" w:line="360" w:lineRule="auto"/>
        <w:jc w:val="center"/>
        <w:rPr>
          <w:rFonts w:eastAsia="Arial" w:cs="Arial"/>
          <w:b/>
          <w:szCs w:val="24"/>
        </w:rPr>
      </w:pPr>
      <w:r>
        <w:rPr>
          <w:rFonts w:eastAsia="Arial" w:cs="Arial"/>
          <w:b/>
          <w:szCs w:val="24"/>
        </w:rPr>
        <w:lastRenderedPageBreak/>
        <w:t>Acknowledgment</w:t>
      </w:r>
    </w:p>
    <w:p w14:paraId="3EA863DD" w14:textId="77777777" w:rsidR="007C6854" w:rsidRDefault="00E0219E">
      <w:pPr>
        <w:tabs>
          <w:tab w:val="center" w:pos="4680"/>
          <w:tab w:val="right" w:pos="9360"/>
        </w:tabs>
        <w:spacing w:after="160" w:line="360" w:lineRule="auto"/>
        <w:ind w:firstLine="720"/>
        <w:jc w:val="both"/>
        <w:rPr>
          <w:rFonts w:eastAsia="Arial" w:cs="Arial"/>
          <w:szCs w:val="24"/>
        </w:rPr>
      </w:pPr>
      <w:r>
        <w:rPr>
          <w:rFonts w:eastAsia="Arial" w:cs="Arial"/>
          <w:szCs w:val="24"/>
        </w:rPr>
        <w:t xml:space="preserve">This thesis will not be realized without the support of influential people who are always there along the way. </w:t>
      </w:r>
    </w:p>
    <w:p w14:paraId="5D0BF26B" w14:textId="77777777" w:rsidR="007C6854" w:rsidRDefault="00E0219E">
      <w:pPr>
        <w:tabs>
          <w:tab w:val="center" w:pos="4680"/>
          <w:tab w:val="right" w:pos="9360"/>
        </w:tabs>
        <w:spacing w:after="160" w:line="360" w:lineRule="auto"/>
        <w:ind w:firstLine="720"/>
        <w:jc w:val="both"/>
        <w:rPr>
          <w:rFonts w:eastAsia="Arial" w:cs="Arial"/>
          <w:szCs w:val="24"/>
        </w:rPr>
      </w:pPr>
      <w:r>
        <w:rPr>
          <w:rFonts w:eastAsia="Arial" w:cs="Arial"/>
          <w:szCs w:val="24"/>
        </w:rPr>
        <w:t xml:space="preserve">To my better half, </w:t>
      </w:r>
      <w:proofErr w:type="spellStart"/>
      <w:r>
        <w:rPr>
          <w:rFonts w:eastAsia="Arial" w:cs="Arial"/>
          <w:szCs w:val="24"/>
        </w:rPr>
        <w:t>Alona</w:t>
      </w:r>
      <w:proofErr w:type="spellEnd"/>
      <w:r>
        <w:rPr>
          <w:rFonts w:eastAsia="Arial" w:cs="Arial"/>
          <w:szCs w:val="24"/>
        </w:rPr>
        <w:t>, who pushed me to complete this research project</w:t>
      </w:r>
    </w:p>
    <w:p w14:paraId="2E5FEA9C" w14:textId="77777777" w:rsidR="007C6854" w:rsidRDefault="00E0219E">
      <w:pPr>
        <w:tabs>
          <w:tab w:val="center" w:pos="4680"/>
          <w:tab w:val="right" w:pos="9360"/>
        </w:tabs>
        <w:spacing w:after="160" w:line="360" w:lineRule="auto"/>
        <w:ind w:firstLine="720"/>
        <w:jc w:val="both"/>
        <w:rPr>
          <w:rFonts w:eastAsia="Arial" w:cs="Arial"/>
          <w:szCs w:val="24"/>
        </w:rPr>
      </w:pPr>
      <w:r>
        <w:rPr>
          <w:rFonts w:eastAsia="Arial" w:cs="Arial"/>
          <w:szCs w:val="24"/>
        </w:rPr>
        <w:t>To my two kids, Phoebe and Nathan, who became my inspiration to complete this program. They also challenged me to set an excellent example of time management and excellence, saying that education has no age limit, only a willingness to learn. Also, whom I ask for input on this research.</w:t>
      </w:r>
    </w:p>
    <w:p w14:paraId="30B82030" w14:textId="77777777" w:rsidR="007C6854" w:rsidRDefault="00E0219E">
      <w:pPr>
        <w:tabs>
          <w:tab w:val="center" w:pos="4680"/>
          <w:tab w:val="right" w:pos="9360"/>
        </w:tabs>
        <w:spacing w:after="160" w:line="360" w:lineRule="auto"/>
        <w:ind w:firstLine="720"/>
        <w:jc w:val="both"/>
        <w:rPr>
          <w:rFonts w:eastAsia="Arial" w:cs="Arial"/>
          <w:szCs w:val="24"/>
        </w:rPr>
      </w:pPr>
      <w:r>
        <w:rPr>
          <w:rFonts w:eastAsia="Arial" w:cs="Arial"/>
          <w:szCs w:val="24"/>
        </w:rPr>
        <w:t>To my parent’s guidance and support from the start.</w:t>
      </w:r>
    </w:p>
    <w:p w14:paraId="22B7B026" w14:textId="77777777" w:rsidR="007C6854" w:rsidRDefault="00E0219E">
      <w:pPr>
        <w:tabs>
          <w:tab w:val="center" w:pos="4680"/>
          <w:tab w:val="right" w:pos="9360"/>
        </w:tabs>
        <w:spacing w:after="160" w:line="360" w:lineRule="auto"/>
        <w:ind w:firstLine="720"/>
        <w:jc w:val="both"/>
        <w:rPr>
          <w:rFonts w:eastAsia="Arial" w:cs="Arial"/>
          <w:szCs w:val="24"/>
        </w:rPr>
      </w:pPr>
      <w:r>
        <w:rPr>
          <w:rFonts w:eastAsia="Arial" w:cs="Arial"/>
          <w:szCs w:val="24"/>
        </w:rPr>
        <w:t>To my church family, Freedom Church, my discipleship group, my prayer partners, and physical, mental, emotional, and spiritual support in all aspects of my life, including this endeavor.</w:t>
      </w:r>
    </w:p>
    <w:p w14:paraId="7BED6C0E" w14:textId="77777777" w:rsidR="007C6854" w:rsidRDefault="00E0219E">
      <w:pPr>
        <w:tabs>
          <w:tab w:val="center" w:pos="4680"/>
          <w:tab w:val="right" w:pos="9360"/>
        </w:tabs>
        <w:spacing w:after="160" w:line="360" w:lineRule="auto"/>
        <w:ind w:firstLine="720"/>
        <w:jc w:val="both"/>
        <w:rPr>
          <w:rFonts w:eastAsia="Arial" w:cs="Arial"/>
          <w:szCs w:val="24"/>
        </w:rPr>
      </w:pPr>
      <w:r>
        <w:rPr>
          <w:rFonts w:eastAsia="Arial" w:cs="Arial"/>
          <w:szCs w:val="24"/>
        </w:rPr>
        <w:t xml:space="preserve">I am also grateful to have a supportive thesis adviser who helped me conceptualize and finalize this manuscript—special thanks to Dr. Myra </w:t>
      </w:r>
      <w:proofErr w:type="spellStart"/>
      <w:r>
        <w:rPr>
          <w:rFonts w:eastAsia="Arial" w:cs="Arial"/>
          <w:szCs w:val="24"/>
        </w:rPr>
        <w:t>Oruga</w:t>
      </w:r>
      <w:proofErr w:type="spellEnd"/>
      <w:r>
        <w:rPr>
          <w:rFonts w:eastAsia="Arial" w:cs="Arial"/>
          <w:szCs w:val="24"/>
        </w:rPr>
        <w:t xml:space="preserve"> and Dr. Sheila Bonito. </w:t>
      </w:r>
    </w:p>
    <w:p w14:paraId="5E575583" w14:textId="77777777" w:rsidR="007C6854" w:rsidRDefault="00E0219E">
      <w:pPr>
        <w:tabs>
          <w:tab w:val="center" w:pos="4680"/>
          <w:tab w:val="right" w:pos="9360"/>
        </w:tabs>
        <w:spacing w:after="160" w:line="360" w:lineRule="auto"/>
        <w:ind w:firstLine="720"/>
        <w:jc w:val="both"/>
        <w:rPr>
          <w:rFonts w:eastAsia="Arial" w:cs="Arial"/>
          <w:szCs w:val="24"/>
        </w:rPr>
      </w:pPr>
      <w:r>
        <w:rPr>
          <w:rFonts w:eastAsia="Arial" w:cs="Arial"/>
          <w:szCs w:val="24"/>
        </w:rPr>
        <w:t xml:space="preserve">To my thesis critic and panel members, Dr. Raymundo Celestino, Dr. Eleanor Castillo, and Prof. Jonathan Guevarra, for their guidance and continued support until I finished this thesis. </w:t>
      </w:r>
    </w:p>
    <w:p w14:paraId="57786951" w14:textId="77777777" w:rsidR="007C6854" w:rsidRDefault="00E0219E">
      <w:pPr>
        <w:tabs>
          <w:tab w:val="center" w:pos="4680"/>
          <w:tab w:val="right" w:pos="9360"/>
        </w:tabs>
        <w:spacing w:after="160" w:line="360" w:lineRule="auto"/>
        <w:ind w:firstLine="720"/>
        <w:jc w:val="both"/>
        <w:rPr>
          <w:rFonts w:eastAsia="Arial" w:cs="Arial"/>
          <w:szCs w:val="24"/>
        </w:rPr>
      </w:pPr>
      <w:r>
        <w:rPr>
          <w:rFonts w:eastAsia="Arial" w:cs="Arial"/>
          <w:szCs w:val="24"/>
        </w:rPr>
        <w:t xml:space="preserve">To all my professors and mentors at UPOU, if there are more than words to thank you, then that is what I will use. I cannot thank you enough, but rest assured that all that I have learned and gained from my stay at the university will be applied. </w:t>
      </w:r>
    </w:p>
    <w:p w14:paraId="416D2364" w14:textId="77777777" w:rsidR="007C6854" w:rsidRDefault="00E0219E">
      <w:pPr>
        <w:tabs>
          <w:tab w:val="center" w:pos="4680"/>
          <w:tab w:val="right" w:pos="9360"/>
        </w:tabs>
        <w:spacing w:after="160" w:line="360" w:lineRule="auto"/>
        <w:ind w:firstLine="720"/>
        <w:jc w:val="both"/>
        <w:rPr>
          <w:rFonts w:eastAsia="Arial" w:cs="Arial"/>
          <w:szCs w:val="24"/>
        </w:rPr>
      </w:pPr>
      <w:r>
        <w:rPr>
          <w:rFonts w:eastAsia="Arial" w:cs="Arial"/>
          <w:szCs w:val="24"/>
        </w:rPr>
        <w:t>To the University of the Philippines Open University, thank you for accepting me. I will live by the principles and virtues of this university.</w:t>
      </w:r>
    </w:p>
    <w:p w14:paraId="12F37A70" w14:textId="77777777" w:rsidR="007C6854" w:rsidRDefault="00E0219E">
      <w:pPr>
        <w:tabs>
          <w:tab w:val="center" w:pos="4680"/>
          <w:tab w:val="right" w:pos="9360"/>
        </w:tabs>
        <w:spacing w:after="160" w:line="360" w:lineRule="auto"/>
        <w:ind w:firstLine="720"/>
        <w:jc w:val="both"/>
        <w:rPr>
          <w:rFonts w:eastAsia="Arial" w:cs="Arial"/>
          <w:szCs w:val="24"/>
        </w:rPr>
      </w:pPr>
      <w:r>
        <w:rPr>
          <w:rFonts w:eastAsia="Arial" w:cs="Arial"/>
          <w:szCs w:val="24"/>
        </w:rPr>
        <w:t>To all my friends and colleagues who are generous in providing technical support and advice, a special mention goes to Ms. Joyce P. Parco, MPH, UP Los Baños, who became one of my peer reviewers. My friends April and Tyrone (WHO consultants) and Pastor David Uson (ALS teacher) also include Mr. Gilberto Santos (the librarian) and my Epidemiology Bureau family.</w:t>
      </w:r>
    </w:p>
    <w:p w14:paraId="212342C0" w14:textId="77777777" w:rsidR="00E77ABE" w:rsidRDefault="00E77ABE">
      <w:pPr>
        <w:tabs>
          <w:tab w:val="center" w:pos="4680"/>
          <w:tab w:val="right" w:pos="9360"/>
        </w:tabs>
        <w:spacing w:after="160" w:line="360" w:lineRule="auto"/>
        <w:ind w:firstLine="720"/>
        <w:jc w:val="both"/>
        <w:rPr>
          <w:rFonts w:eastAsia="Arial" w:cs="Arial"/>
          <w:szCs w:val="24"/>
        </w:rPr>
        <w:sectPr w:rsidR="00E77ABE">
          <w:footerReference w:type="default" r:id="rId19"/>
          <w:pgSz w:w="11906" w:h="16838"/>
          <w:pgMar w:top="1440" w:right="1440" w:bottom="1440" w:left="1440" w:header="0" w:footer="0" w:gutter="0"/>
          <w:cols w:space="720"/>
        </w:sectPr>
      </w:pPr>
    </w:p>
    <w:p w14:paraId="60C489B4" w14:textId="77777777" w:rsidR="007C6854" w:rsidRDefault="00E0219E">
      <w:pPr>
        <w:tabs>
          <w:tab w:val="center" w:pos="4680"/>
          <w:tab w:val="right" w:pos="9360"/>
        </w:tabs>
        <w:spacing w:after="160" w:line="360" w:lineRule="auto"/>
        <w:ind w:firstLine="720"/>
        <w:jc w:val="both"/>
        <w:rPr>
          <w:rFonts w:eastAsia="Arial" w:cs="Arial"/>
          <w:szCs w:val="24"/>
        </w:rPr>
      </w:pPr>
      <w:r>
        <w:rPr>
          <w:rFonts w:eastAsia="Arial" w:cs="Arial"/>
          <w:szCs w:val="24"/>
        </w:rPr>
        <w:lastRenderedPageBreak/>
        <w:t xml:space="preserve">Also, thanks to the Mayor Juan R. Sanchez Health Center staff, especially Dr. Ronald Flores and Ms. Donna R. Dela Cruz, who generously shared their time and resources to complete this research. And to the people of Pateros, especially the community of </w:t>
      </w:r>
      <w:proofErr w:type="spellStart"/>
      <w:r>
        <w:rPr>
          <w:rFonts w:eastAsia="Arial" w:cs="Arial"/>
          <w:szCs w:val="24"/>
        </w:rPr>
        <w:t>Bukuhan</w:t>
      </w:r>
      <w:proofErr w:type="spellEnd"/>
      <w:r>
        <w:rPr>
          <w:rFonts w:eastAsia="Arial" w:cs="Arial"/>
          <w:szCs w:val="24"/>
        </w:rPr>
        <w:t xml:space="preserve">. I am dedicating this research to you. </w:t>
      </w:r>
    </w:p>
    <w:p w14:paraId="6EE3A2F1" w14:textId="77777777" w:rsidR="007C6854" w:rsidRDefault="00E0219E">
      <w:pPr>
        <w:tabs>
          <w:tab w:val="center" w:pos="4680"/>
          <w:tab w:val="right" w:pos="9360"/>
        </w:tabs>
        <w:spacing w:after="160" w:line="360" w:lineRule="auto"/>
        <w:ind w:firstLine="720"/>
        <w:jc w:val="both"/>
        <w:rPr>
          <w:rFonts w:eastAsia="Arial" w:cs="Arial"/>
          <w:b/>
          <w:szCs w:val="24"/>
        </w:rPr>
      </w:pPr>
      <w:r>
        <w:rPr>
          <w:rFonts w:eastAsia="Arial" w:cs="Arial"/>
          <w:szCs w:val="24"/>
        </w:rPr>
        <w:t xml:space="preserve">Most of all, to the </w:t>
      </w:r>
      <w:r>
        <w:rPr>
          <w:rFonts w:eastAsia="Arial" w:cs="Arial"/>
          <w:b/>
          <w:szCs w:val="24"/>
        </w:rPr>
        <w:t>Almighty God, my Savior Jesus Christ, and the guidance of the Holy Spirit;</w:t>
      </w:r>
      <w:r>
        <w:rPr>
          <w:rFonts w:eastAsia="Arial" w:cs="Arial"/>
          <w:szCs w:val="24"/>
        </w:rPr>
        <w:t xml:space="preserve"> without their wisdom, all knowledge and effort gained are in vain. </w:t>
      </w:r>
      <w:r>
        <w:rPr>
          <w:rFonts w:eastAsia="Arial" w:cs="Arial"/>
          <w:b/>
          <w:szCs w:val="24"/>
        </w:rPr>
        <w:t>All glory to God.</w:t>
      </w:r>
    </w:p>
    <w:p w14:paraId="2DEEEE9D" w14:textId="77777777" w:rsidR="007C6854" w:rsidRDefault="00E0219E">
      <w:pPr>
        <w:spacing w:after="160" w:line="360" w:lineRule="auto"/>
        <w:ind w:firstLine="720"/>
        <w:jc w:val="center"/>
        <w:rPr>
          <w:rFonts w:eastAsia="Arial" w:cs="Arial"/>
          <w:b/>
          <w:szCs w:val="24"/>
        </w:rPr>
      </w:pPr>
      <w:r>
        <w:br w:type="page"/>
      </w:r>
    </w:p>
    <w:p w14:paraId="09620B87" w14:textId="77777777" w:rsidR="00E77ABE" w:rsidRDefault="00E77ABE">
      <w:pPr>
        <w:spacing w:after="160" w:line="360" w:lineRule="auto"/>
        <w:ind w:firstLine="720"/>
        <w:jc w:val="center"/>
        <w:rPr>
          <w:rFonts w:eastAsia="Arial" w:cs="Arial"/>
          <w:b/>
          <w:szCs w:val="24"/>
        </w:rPr>
        <w:sectPr w:rsidR="00E77ABE">
          <w:footerReference w:type="default" r:id="rId20"/>
          <w:pgSz w:w="11906" w:h="16838"/>
          <w:pgMar w:top="1440" w:right="1440" w:bottom="1440" w:left="1440" w:header="0" w:footer="0" w:gutter="0"/>
          <w:cols w:space="720"/>
        </w:sectPr>
      </w:pPr>
    </w:p>
    <w:p w14:paraId="1160E774" w14:textId="77777777" w:rsidR="007C6854" w:rsidRDefault="00E0219E">
      <w:pPr>
        <w:spacing w:after="160" w:line="360" w:lineRule="auto"/>
        <w:ind w:firstLine="720"/>
        <w:jc w:val="center"/>
        <w:rPr>
          <w:rFonts w:eastAsia="Arial" w:cs="Arial"/>
          <w:b/>
          <w:szCs w:val="24"/>
        </w:rPr>
      </w:pPr>
      <w:r>
        <w:rPr>
          <w:rFonts w:eastAsia="Arial" w:cs="Arial"/>
          <w:b/>
          <w:szCs w:val="24"/>
        </w:rPr>
        <w:lastRenderedPageBreak/>
        <w:t>Dedication</w:t>
      </w:r>
    </w:p>
    <w:p w14:paraId="7E14E79C" w14:textId="77777777" w:rsidR="00E77ABE" w:rsidRDefault="00E0219E" w:rsidP="00E77ABE">
      <w:pPr>
        <w:spacing w:after="160" w:line="360" w:lineRule="auto"/>
        <w:rPr>
          <w:rFonts w:eastAsia="Arial" w:cs="Arial"/>
          <w:szCs w:val="24"/>
        </w:rPr>
        <w:sectPr w:rsidR="00E77ABE">
          <w:headerReference w:type="default" r:id="rId21"/>
          <w:footerReference w:type="default" r:id="rId22"/>
          <w:pgSz w:w="11906" w:h="16838"/>
          <w:pgMar w:top="1440" w:right="1440" w:bottom="1440" w:left="1440" w:header="0" w:footer="0" w:gutter="0"/>
          <w:cols w:space="720"/>
        </w:sectPr>
      </w:pPr>
      <w:r>
        <w:rPr>
          <w:rFonts w:eastAsia="Arial" w:cs="Arial"/>
          <w:szCs w:val="24"/>
        </w:rPr>
        <w:tab/>
        <w:t>I dedicate this study to my family, who have inspired me to continue this program. Also, to the people of Pateros, who are near my heart. I hope to see changes in the community's health due to this study.</w:t>
      </w:r>
    </w:p>
    <w:p w14:paraId="03064DD4" w14:textId="77777777" w:rsidR="007C6854" w:rsidRDefault="00E0219E" w:rsidP="00E77ABE">
      <w:pPr>
        <w:spacing w:after="160" w:line="259" w:lineRule="auto"/>
        <w:jc w:val="center"/>
        <w:rPr>
          <w:rFonts w:eastAsia="Arial" w:cs="Arial"/>
          <w:b/>
          <w:szCs w:val="24"/>
        </w:rPr>
      </w:pPr>
      <w:r>
        <w:rPr>
          <w:rFonts w:eastAsia="Arial" w:cs="Arial"/>
          <w:b/>
          <w:szCs w:val="24"/>
        </w:rPr>
        <w:lastRenderedPageBreak/>
        <w:t>ABSTRACT</w:t>
      </w:r>
    </w:p>
    <w:p w14:paraId="23E45EC3" w14:textId="77777777" w:rsidR="007C6854" w:rsidRDefault="007C6854">
      <w:pPr>
        <w:spacing w:after="160" w:line="259" w:lineRule="auto"/>
        <w:rPr>
          <w:rFonts w:eastAsia="Arial" w:cs="Arial"/>
          <w:b/>
          <w:szCs w:val="24"/>
        </w:rPr>
      </w:pPr>
    </w:p>
    <w:p w14:paraId="0B1420C8" w14:textId="77777777" w:rsidR="007C6854" w:rsidRDefault="00E0219E">
      <w:pPr>
        <w:spacing w:after="160" w:line="360" w:lineRule="auto"/>
        <w:ind w:firstLine="720"/>
        <w:jc w:val="both"/>
        <w:rPr>
          <w:rFonts w:eastAsia="Arial" w:cs="Arial"/>
          <w:b/>
          <w:szCs w:val="24"/>
        </w:rPr>
      </w:pPr>
      <w:bookmarkStart w:id="0" w:name="_heading=h.gjdgxs" w:colFirst="0" w:colLast="0"/>
      <w:bookmarkEnd w:id="0"/>
      <w:r>
        <w:rPr>
          <w:rFonts w:eastAsia="Arial" w:cs="Arial"/>
          <w:szCs w:val="24"/>
        </w:rPr>
        <w:t>Hypertension is a global killer. Although it affects older people, some studies have implied that hypertension affects even youth and children (Joubert et al., 2021; Jones et al., 2020; Kandala et al., 2021). Non-modifiable and modifiable risk factors contribute to hypertension. Most of the time, those in the low-income class are more at risk of getting the disease due to an unhealthy lifestyle and socio-ecological exposure. In addition, studies suggest that health literacy is associated with hypertension. The research will discover the association between health literacy and other factors influencing poor urban settlers with hypertension.</w:t>
      </w:r>
      <w:r>
        <w:rPr>
          <w:rFonts w:eastAsia="Arial" w:cs="Arial"/>
          <w:b/>
          <w:szCs w:val="24"/>
        </w:rPr>
        <w:t xml:space="preserve"> </w:t>
      </w:r>
      <w:r>
        <w:rPr>
          <w:rFonts w:eastAsia="Arial" w:cs="Arial"/>
          <w:szCs w:val="24"/>
        </w:rPr>
        <w:t>A descriptive-correlational study design was employed. The research setting was an urban poor community with the possibility of a high prevalence of hypertension. Purposive sampling, typical case sampling, and maximum variation sampling were employed. A survey questionnaire was utilized to capture the prevalence of hypertension, socio-demographic, and health literacy data. The data were analyzed according to the research objectives, utilizing frequency distribution, descriptive statistics, and measures of association. The UPOU-FMDS and UPOU-IREC approved the research after the thesis panel had reviewed it. A total of 151 participants were included in the study. Most were female, and the median age was 62 years old. More significant risks were seen among individuals 60 and older with low educational status and employed individuals with HPN and low health literacy. The risk of hypertension is lower for individuals with high health literacy.</w:t>
      </w:r>
      <w:r>
        <w:rPr>
          <w:rFonts w:eastAsia="Arial" w:cs="Arial"/>
          <w:b/>
          <w:szCs w:val="24"/>
        </w:rPr>
        <w:t xml:space="preserve"> </w:t>
      </w:r>
      <w:r>
        <w:rPr>
          <w:rFonts w:eastAsia="Arial" w:cs="Arial"/>
          <w:szCs w:val="24"/>
        </w:rPr>
        <w:t>Health literacy research is becoming more popular in the public health and social science communities. The study proves that health literacy and hypertension are correlated. Low health literacy is a risk factor, and those with high health literacy can manage their health; thus, they have a low risk of hypertension. Preventing hypertension in urban poor settings needs an integrated approach model in the continuum of health promotion, prevention, and primary care.</w:t>
      </w:r>
    </w:p>
    <w:p w14:paraId="1E3A5D25" w14:textId="77777777" w:rsidR="007C6854" w:rsidRDefault="007C6854">
      <w:pPr>
        <w:spacing w:line="360" w:lineRule="auto"/>
        <w:jc w:val="both"/>
        <w:rPr>
          <w:rFonts w:eastAsia="Arial" w:cs="Arial"/>
          <w:szCs w:val="24"/>
        </w:rPr>
      </w:pPr>
    </w:p>
    <w:p w14:paraId="3D7C664B" w14:textId="77777777" w:rsidR="007C6854" w:rsidRDefault="00E0219E">
      <w:pPr>
        <w:spacing w:line="360" w:lineRule="auto"/>
        <w:jc w:val="both"/>
        <w:rPr>
          <w:rFonts w:eastAsia="Arial" w:cs="Arial"/>
          <w:szCs w:val="24"/>
        </w:rPr>
        <w:sectPr w:rsidR="007C6854">
          <w:footerReference w:type="default" r:id="rId23"/>
          <w:pgSz w:w="11906" w:h="16838"/>
          <w:pgMar w:top="1440" w:right="1440" w:bottom="1440" w:left="1440" w:header="0" w:footer="0" w:gutter="0"/>
          <w:cols w:space="720"/>
        </w:sectPr>
      </w:pPr>
      <w:r>
        <w:rPr>
          <w:rFonts w:eastAsia="Arial" w:cs="Arial"/>
          <w:szCs w:val="24"/>
        </w:rPr>
        <w:t>Keywords: Urban poor hypertension, Urban poor health literacy, Health literacy survey</w:t>
      </w:r>
    </w:p>
    <w:p w14:paraId="686D1D37" w14:textId="77777777" w:rsidR="007C6854" w:rsidRDefault="00E0219E">
      <w:pPr>
        <w:spacing w:after="160" w:line="259" w:lineRule="auto"/>
        <w:jc w:val="center"/>
        <w:rPr>
          <w:rFonts w:eastAsia="Arial" w:cs="Arial"/>
          <w:b/>
          <w:szCs w:val="24"/>
        </w:rPr>
      </w:pPr>
      <w:r>
        <w:rPr>
          <w:rFonts w:eastAsia="Arial" w:cs="Arial"/>
          <w:b/>
          <w:szCs w:val="24"/>
        </w:rPr>
        <w:lastRenderedPageBreak/>
        <w:t>Tables of Contents</w:t>
      </w:r>
    </w:p>
    <w:tbl>
      <w:tblPr>
        <w:tblStyle w:val="affe"/>
        <w:tblW w:w="8865" w:type="dxa"/>
        <w:tblBorders>
          <w:top w:val="nil"/>
          <w:left w:val="nil"/>
          <w:bottom w:val="nil"/>
          <w:right w:val="nil"/>
          <w:insideH w:val="nil"/>
          <w:insideV w:val="nil"/>
        </w:tblBorders>
        <w:tblLayout w:type="fixed"/>
        <w:tblLook w:val="0600" w:firstRow="0" w:lastRow="0" w:firstColumn="0" w:lastColumn="0" w:noHBand="1" w:noVBand="1"/>
      </w:tblPr>
      <w:tblGrid>
        <w:gridCol w:w="7485"/>
        <w:gridCol w:w="1380"/>
      </w:tblGrid>
      <w:tr w:rsidR="007C6854" w14:paraId="641D3FBD" w14:textId="77777777">
        <w:trPr>
          <w:trHeight w:val="485"/>
        </w:trPr>
        <w:tc>
          <w:tcPr>
            <w:tcW w:w="7485"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3D06BC3E" w14:textId="77777777" w:rsidR="007C6854" w:rsidRDefault="00E0219E">
            <w:pPr>
              <w:rPr>
                <w:rFonts w:eastAsia="Arial" w:cs="Arial"/>
                <w:b/>
                <w:szCs w:val="24"/>
              </w:rPr>
            </w:pPr>
            <w:r>
              <w:rPr>
                <w:rFonts w:eastAsia="Arial" w:cs="Arial"/>
                <w:b/>
                <w:szCs w:val="24"/>
              </w:rPr>
              <w:t>Title Page</w:t>
            </w:r>
          </w:p>
        </w:tc>
        <w:tc>
          <w:tcPr>
            <w:tcW w:w="1380"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46707AA1" w14:textId="77777777" w:rsidR="007C6854" w:rsidRDefault="00E0219E">
            <w:pPr>
              <w:jc w:val="center"/>
              <w:rPr>
                <w:rFonts w:eastAsia="Arial" w:cs="Arial"/>
                <w:szCs w:val="24"/>
              </w:rPr>
            </w:pPr>
            <w:proofErr w:type="spellStart"/>
            <w:r>
              <w:rPr>
                <w:rFonts w:eastAsia="Arial" w:cs="Arial"/>
                <w:szCs w:val="24"/>
              </w:rPr>
              <w:t>i</w:t>
            </w:r>
            <w:proofErr w:type="spellEnd"/>
          </w:p>
        </w:tc>
      </w:tr>
      <w:tr w:rsidR="007C6854" w14:paraId="5D88B72D" w14:textId="77777777">
        <w:trPr>
          <w:trHeight w:val="485"/>
        </w:trPr>
        <w:tc>
          <w:tcPr>
            <w:tcW w:w="7485"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512319EA" w14:textId="77777777" w:rsidR="007C6854" w:rsidRDefault="00E0219E">
            <w:pPr>
              <w:rPr>
                <w:rFonts w:eastAsia="Arial" w:cs="Arial"/>
                <w:b/>
                <w:szCs w:val="24"/>
              </w:rPr>
            </w:pPr>
            <w:r>
              <w:rPr>
                <w:rFonts w:eastAsia="Arial" w:cs="Arial"/>
                <w:b/>
                <w:szCs w:val="24"/>
              </w:rPr>
              <w:t>University Permission Page</w:t>
            </w:r>
          </w:p>
        </w:tc>
        <w:tc>
          <w:tcPr>
            <w:tcW w:w="1380"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4AA60132" w14:textId="77777777" w:rsidR="007C6854" w:rsidRDefault="00E0219E">
            <w:pPr>
              <w:jc w:val="center"/>
              <w:rPr>
                <w:rFonts w:eastAsia="Arial" w:cs="Arial"/>
                <w:szCs w:val="24"/>
              </w:rPr>
            </w:pPr>
            <w:r>
              <w:rPr>
                <w:rFonts w:eastAsia="Arial" w:cs="Arial"/>
                <w:szCs w:val="24"/>
              </w:rPr>
              <w:t>ii</w:t>
            </w:r>
          </w:p>
        </w:tc>
      </w:tr>
      <w:tr w:rsidR="007C6854" w14:paraId="12B9A281" w14:textId="77777777">
        <w:trPr>
          <w:trHeight w:val="485"/>
        </w:trPr>
        <w:tc>
          <w:tcPr>
            <w:tcW w:w="7485"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60E81548" w14:textId="77777777" w:rsidR="007C6854" w:rsidRDefault="00E0219E">
            <w:pPr>
              <w:rPr>
                <w:rFonts w:eastAsia="Arial" w:cs="Arial"/>
                <w:b/>
                <w:szCs w:val="24"/>
              </w:rPr>
            </w:pPr>
            <w:r>
              <w:rPr>
                <w:rFonts w:eastAsia="Arial" w:cs="Arial"/>
                <w:b/>
                <w:szCs w:val="24"/>
              </w:rPr>
              <w:t>Acceptance Page</w:t>
            </w:r>
          </w:p>
        </w:tc>
        <w:tc>
          <w:tcPr>
            <w:tcW w:w="1380"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4285667D" w14:textId="77777777" w:rsidR="007C6854" w:rsidRDefault="00E0219E">
            <w:pPr>
              <w:jc w:val="center"/>
              <w:rPr>
                <w:rFonts w:eastAsia="Arial" w:cs="Arial"/>
                <w:szCs w:val="24"/>
              </w:rPr>
            </w:pPr>
            <w:r>
              <w:rPr>
                <w:rFonts w:eastAsia="Arial" w:cs="Arial"/>
                <w:szCs w:val="24"/>
              </w:rPr>
              <w:t>iii</w:t>
            </w:r>
          </w:p>
        </w:tc>
      </w:tr>
      <w:tr w:rsidR="007C6854" w14:paraId="281C49E6" w14:textId="77777777">
        <w:trPr>
          <w:trHeight w:val="485"/>
        </w:trPr>
        <w:tc>
          <w:tcPr>
            <w:tcW w:w="7485"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769BE136" w14:textId="77777777" w:rsidR="007C6854" w:rsidRDefault="00E0219E">
            <w:pPr>
              <w:rPr>
                <w:rFonts w:eastAsia="Arial" w:cs="Arial"/>
                <w:b/>
                <w:szCs w:val="24"/>
              </w:rPr>
            </w:pPr>
            <w:r>
              <w:rPr>
                <w:rFonts w:eastAsia="Arial" w:cs="Arial"/>
                <w:b/>
                <w:szCs w:val="24"/>
              </w:rPr>
              <w:t>Biographical Sketch</w:t>
            </w:r>
          </w:p>
        </w:tc>
        <w:tc>
          <w:tcPr>
            <w:tcW w:w="1380"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551BD737" w14:textId="77777777" w:rsidR="007C6854" w:rsidRDefault="00E0219E">
            <w:pPr>
              <w:jc w:val="center"/>
              <w:rPr>
                <w:rFonts w:eastAsia="Arial" w:cs="Arial"/>
                <w:szCs w:val="24"/>
              </w:rPr>
            </w:pPr>
            <w:r>
              <w:rPr>
                <w:rFonts w:eastAsia="Arial" w:cs="Arial"/>
                <w:szCs w:val="24"/>
              </w:rPr>
              <w:t>iv</w:t>
            </w:r>
          </w:p>
        </w:tc>
      </w:tr>
      <w:tr w:rsidR="007C6854" w14:paraId="5954C827" w14:textId="77777777">
        <w:trPr>
          <w:trHeight w:val="485"/>
        </w:trPr>
        <w:tc>
          <w:tcPr>
            <w:tcW w:w="7485"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604BCC20" w14:textId="77777777" w:rsidR="007C6854" w:rsidRDefault="00E0219E">
            <w:pPr>
              <w:rPr>
                <w:rFonts w:eastAsia="Arial" w:cs="Arial"/>
                <w:b/>
                <w:szCs w:val="24"/>
              </w:rPr>
            </w:pPr>
            <w:r>
              <w:rPr>
                <w:rFonts w:eastAsia="Arial" w:cs="Arial"/>
                <w:b/>
                <w:szCs w:val="24"/>
              </w:rPr>
              <w:t>Acknowledgment</w:t>
            </w:r>
          </w:p>
        </w:tc>
        <w:tc>
          <w:tcPr>
            <w:tcW w:w="1380"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56E2E414" w14:textId="77777777" w:rsidR="007C6854" w:rsidRDefault="00E0219E">
            <w:pPr>
              <w:jc w:val="center"/>
              <w:rPr>
                <w:rFonts w:eastAsia="Arial" w:cs="Arial"/>
                <w:szCs w:val="24"/>
              </w:rPr>
            </w:pPr>
            <w:r>
              <w:rPr>
                <w:rFonts w:eastAsia="Arial" w:cs="Arial"/>
                <w:szCs w:val="24"/>
              </w:rPr>
              <w:t>v</w:t>
            </w:r>
          </w:p>
        </w:tc>
      </w:tr>
      <w:tr w:rsidR="007C6854" w14:paraId="53EFCE53" w14:textId="77777777">
        <w:trPr>
          <w:trHeight w:val="485"/>
        </w:trPr>
        <w:tc>
          <w:tcPr>
            <w:tcW w:w="7485"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248F67CC" w14:textId="77777777" w:rsidR="007C6854" w:rsidRDefault="00E0219E">
            <w:pPr>
              <w:rPr>
                <w:rFonts w:eastAsia="Arial" w:cs="Arial"/>
                <w:b/>
                <w:szCs w:val="24"/>
              </w:rPr>
            </w:pPr>
            <w:r>
              <w:rPr>
                <w:rFonts w:eastAsia="Arial" w:cs="Arial"/>
                <w:b/>
                <w:szCs w:val="24"/>
              </w:rPr>
              <w:t>Dedication</w:t>
            </w:r>
          </w:p>
        </w:tc>
        <w:tc>
          <w:tcPr>
            <w:tcW w:w="1380"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2C8DB89B" w14:textId="77777777" w:rsidR="007C6854" w:rsidRDefault="00E0219E">
            <w:pPr>
              <w:jc w:val="center"/>
              <w:rPr>
                <w:rFonts w:eastAsia="Arial" w:cs="Arial"/>
                <w:szCs w:val="24"/>
              </w:rPr>
            </w:pPr>
            <w:r>
              <w:rPr>
                <w:rFonts w:eastAsia="Arial" w:cs="Arial"/>
                <w:szCs w:val="24"/>
              </w:rPr>
              <w:t>vii</w:t>
            </w:r>
          </w:p>
        </w:tc>
      </w:tr>
      <w:tr w:rsidR="007C6854" w14:paraId="3507D7A4" w14:textId="77777777">
        <w:trPr>
          <w:trHeight w:val="485"/>
        </w:trPr>
        <w:tc>
          <w:tcPr>
            <w:tcW w:w="7485"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31CB32F3" w14:textId="77777777" w:rsidR="007C6854" w:rsidRDefault="00E0219E">
            <w:pPr>
              <w:rPr>
                <w:rFonts w:eastAsia="Arial" w:cs="Arial"/>
                <w:b/>
                <w:szCs w:val="24"/>
              </w:rPr>
            </w:pPr>
            <w:r>
              <w:rPr>
                <w:rFonts w:eastAsia="Arial" w:cs="Arial"/>
                <w:b/>
                <w:szCs w:val="24"/>
              </w:rPr>
              <w:t>ABSTRACT</w:t>
            </w:r>
          </w:p>
        </w:tc>
        <w:tc>
          <w:tcPr>
            <w:tcW w:w="1380"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5B6E6439" w14:textId="77777777" w:rsidR="007C6854" w:rsidRDefault="00E0219E">
            <w:pPr>
              <w:jc w:val="center"/>
              <w:rPr>
                <w:rFonts w:eastAsia="Arial" w:cs="Arial"/>
                <w:szCs w:val="24"/>
              </w:rPr>
            </w:pPr>
            <w:r>
              <w:rPr>
                <w:rFonts w:eastAsia="Arial" w:cs="Arial"/>
                <w:szCs w:val="24"/>
              </w:rPr>
              <w:t xml:space="preserve"> viii</w:t>
            </w:r>
          </w:p>
        </w:tc>
      </w:tr>
      <w:tr w:rsidR="007C6854" w14:paraId="6B9B3A7B" w14:textId="77777777">
        <w:trPr>
          <w:trHeight w:val="485"/>
        </w:trPr>
        <w:tc>
          <w:tcPr>
            <w:tcW w:w="7485"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08E88EDD" w14:textId="77777777" w:rsidR="007C6854" w:rsidRDefault="00E0219E">
            <w:pPr>
              <w:rPr>
                <w:rFonts w:eastAsia="Arial" w:cs="Arial"/>
                <w:b/>
                <w:szCs w:val="24"/>
              </w:rPr>
            </w:pPr>
            <w:r>
              <w:rPr>
                <w:rFonts w:eastAsia="Arial" w:cs="Arial"/>
                <w:b/>
                <w:szCs w:val="24"/>
              </w:rPr>
              <w:t>Table of Contents</w:t>
            </w:r>
          </w:p>
        </w:tc>
        <w:tc>
          <w:tcPr>
            <w:tcW w:w="1380"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5CBD776B" w14:textId="77777777" w:rsidR="007C6854" w:rsidRDefault="00E0219E">
            <w:pPr>
              <w:jc w:val="center"/>
              <w:rPr>
                <w:rFonts w:eastAsia="Arial" w:cs="Arial"/>
                <w:szCs w:val="24"/>
              </w:rPr>
            </w:pPr>
            <w:r>
              <w:rPr>
                <w:rFonts w:eastAsia="Arial" w:cs="Arial"/>
                <w:szCs w:val="24"/>
              </w:rPr>
              <w:t>ix</w:t>
            </w:r>
          </w:p>
        </w:tc>
      </w:tr>
      <w:tr w:rsidR="007C6854" w14:paraId="16EB0DC3" w14:textId="77777777">
        <w:trPr>
          <w:trHeight w:val="485"/>
        </w:trPr>
        <w:tc>
          <w:tcPr>
            <w:tcW w:w="7485"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3D1F6F21" w14:textId="77777777" w:rsidR="007C6854" w:rsidRDefault="00E0219E">
            <w:pPr>
              <w:rPr>
                <w:rFonts w:eastAsia="Arial" w:cs="Arial"/>
                <w:b/>
                <w:szCs w:val="24"/>
              </w:rPr>
            </w:pPr>
            <w:r>
              <w:rPr>
                <w:rFonts w:eastAsia="Arial" w:cs="Arial"/>
                <w:b/>
                <w:szCs w:val="24"/>
              </w:rPr>
              <w:t>List of Tables</w:t>
            </w:r>
          </w:p>
        </w:tc>
        <w:tc>
          <w:tcPr>
            <w:tcW w:w="1380"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79F714EF" w14:textId="77777777" w:rsidR="007C6854" w:rsidRDefault="00E0219E">
            <w:pPr>
              <w:jc w:val="center"/>
              <w:rPr>
                <w:rFonts w:eastAsia="Arial" w:cs="Arial"/>
                <w:szCs w:val="24"/>
              </w:rPr>
            </w:pPr>
            <w:r>
              <w:rPr>
                <w:rFonts w:eastAsia="Arial" w:cs="Arial"/>
                <w:szCs w:val="24"/>
              </w:rPr>
              <w:t xml:space="preserve"> xii</w:t>
            </w:r>
          </w:p>
        </w:tc>
      </w:tr>
      <w:tr w:rsidR="007C6854" w14:paraId="36998CDA" w14:textId="77777777">
        <w:trPr>
          <w:trHeight w:val="485"/>
        </w:trPr>
        <w:tc>
          <w:tcPr>
            <w:tcW w:w="7485"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527BABE9" w14:textId="77777777" w:rsidR="007C6854" w:rsidRDefault="00E0219E">
            <w:pPr>
              <w:rPr>
                <w:rFonts w:eastAsia="Arial" w:cs="Arial"/>
                <w:b/>
                <w:szCs w:val="24"/>
              </w:rPr>
            </w:pPr>
            <w:r>
              <w:rPr>
                <w:rFonts w:eastAsia="Arial" w:cs="Arial"/>
                <w:b/>
                <w:szCs w:val="24"/>
              </w:rPr>
              <w:t>List of Figures</w:t>
            </w:r>
          </w:p>
        </w:tc>
        <w:tc>
          <w:tcPr>
            <w:tcW w:w="1380"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6D7EDAB7" w14:textId="77777777" w:rsidR="007C6854" w:rsidRDefault="00E0219E">
            <w:pPr>
              <w:jc w:val="center"/>
              <w:rPr>
                <w:rFonts w:eastAsia="Arial" w:cs="Arial"/>
                <w:szCs w:val="24"/>
              </w:rPr>
            </w:pPr>
            <w:r>
              <w:rPr>
                <w:rFonts w:eastAsia="Arial" w:cs="Arial"/>
                <w:szCs w:val="24"/>
              </w:rPr>
              <w:t>xiii</w:t>
            </w:r>
          </w:p>
        </w:tc>
      </w:tr>
      <w:tr w:rsidR="007C6854" w14:paraId="46B6E6A6" w14:textId="77777777">
        <w:trPr>
          <w:trHeight w:val="485"/>
        </w:trPr>
        <w:tc>
          <w:tcPr>
            <w:tcW w:w="7485"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3BBD501A" w14:textId="77777777" w:rsidR="007C6854" w:rsidRDefault="00E0219E">
            <w:pPr>
              <w:rPr>
                <w:rFonts w:eastAsia="Arial" w:cs="Arial"/>
                <w:b/>
                <w:szCs w:val="24"/>
              </w:rPr>
            </w:pPr>
            <w:r>
              <w:rPr>
                <w:rFonts w:eastAsia="Arial" w:cs="Arial"/>
                <w:b/>
                <w:szCs w:val="24"/>
              </w:rPr>
              <w:t>List of Appendices</w:t>
            </w:r>
          </w:p>
        </w:tc>
        <w:tc>
          <w:tcPr>
            <w:tcW w:w="1380"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68B6C52B" w14:textId="77777777" w:rsidR="007C6854" w:rsidRDefault="00E0219E">
            <w:pPr>
              <w:jc w:val="center"/>
              <w:rPr>
                <w:rFonts w:eastAsia="Arial" w:cs="Arial"/>
                <w:szCs w:val="24"/>
              </w:rPr>
            </w:pPr>
            <w:r>
              <w:rPr>
                <w:rFonts w:eastAsia="Arial" w:cs="Arial"/>
                <w:szCs w:val="24"/>
              </w:rPr>
              <w:t xml:space="preserve"> xiv</w:t>
            </w:r>
          </w:p>
        </w:tc>
      </w:tr>
      <w:tr w:rsidR="007C6854" w14:paraId="11C8558F" w14:textId="77777777">
        <w:trPr>
          <w:trHeight w:val="485"/>
        </w:trPr>
        <w:tc>
          <w:tcPr>
            <w:tcW w:w="7485"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71BB5AF3" w14:textId="77777777" w:rsidR="007C6854" w:rsidRDefault="00E0219E">
            <w:pPr>
              <w:rPr>
                <w:rFonts w:eastAsia="Arial" w:cs="Arial"/>
                <w:b/>
                <w:szCs w:val="24"/>
              </w:rPr>
            </w:pPr>
            <w:r>
              <w:rPr>
                <w:rFonts w:eastAsia="Arial" w:cs="Arial"/>
                <w:b/>
                <w:szCs w:val="24"/>
              </w:rPr>
              <w:t>List of Acronyms and Abbreviations</w:t>
            </w:r>
          </w:p>
        </w:tc>
        <w:tc>
          <w:tcPr>
            <w:tcW w:w="1380"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3B9D04A7" w14:textId="77777777" w:rsidR="007C6854" w:rsidRDefault="00E0219E">
            <w:pPr>
              <w:jc w:val="center"/>
              <w:rPr>
                <w:rFonts w:eastAsia="Arial" w:cs="Arial"/>
                <w:szCs w:val="24"/>
              </w:rPr>
            </w:pPr>
            <w:r>
              <w:rPr>
                <w:rFonts w:eastAsia="Arial" w:cs="Arial"/>
                <w:szCs w:val="24"/>
              </w:rPr>
              <w:t xml:space="preserve"> xv</w:t>
            </w:r>
          </w:p>
        </w:tc>
      </w:tr>
      <w:tr w:rsidR="007C6854" w14:paraId="1E6ED4FB" w14:textId="77777777">
        <w:trPr>
          <w:trHeight w:val="485"/>
        </w:trPr>
        <w:tc>
          <w:tcPr>
            <w:tcW w:w="7485"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4D870F16" w14:textId="77777777" w:rsidR="007C6854" w:rsidRDefault="007C6854">
            <w:pPr>
              <w:rPr>
                <w:rFonts w:eastAsia="Arial" w:cs="Arial"/>
                <w:b/>
                <w:szCs w:val="24"/>
              </w:rPr>
            </w:pPr>
          </w:p>
        </w:tc>
        <w:tc>
          <w:tcPr>
            <w:tcW w:w="1380"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515AAB6A" w14:textId="77777777" w:rsidR="007C6854" w:rsidRDefault="007C6854">
            <w:pPr>
              <w:jc w:val="center"/>
              <w:rPr>
                <w:rFonts w:eastAsia="Arial" w:cs="Arial"/>
                <w:szCs w:val="24"/>
              </w:rPr>
            </w:pPr>
          </w:p>
        </w:tc>
      </w:tr>
    </w:tbl>
    <w:p w14:paraId="3A37F6CF" w14:textId="77777777" w:rsidR="007C6854" w:rsidRDefault="007C6854">
      <w:pPr>
        <w:spacing w:after="0" w:line="240" w:lineRule="auto"/>
        <w:rPr>
          <w:rFonts w:eastAsia="Arial" w:cs="Arial"/>
          <w:b/>
          <w:szCs w:val="24"/>
        </w:rPr>
        <w:sectPr w:rsidR="007C6854">
          <w:headerReference w:type="default" r:id="rId24"/>
          <w:footerReference w:type="default" r:id="rId25"/>
          <w:pgSz w:w="11906" w:h="16838"/>
          <w:pgMar w:top="1440" w:right="1440" w:bottom="1440" w:left="1440" w:header="0" w:footer="0" w:gutter="0"/>
          <w:cols w:space="720"/>
        </w:sectPr>
      </w:pPr>
    </w:p>
    <w:p w14:paraId="1004383F" w14:textId="77777777" w:rsidR="007C6854" w:rsidRDefault="00E0219E">
      <w:pPr>
        <w:spacing w:after="0" w:line="240" w:lineRule="auto"/>
        <w:jc w:val="center"/>
        <w:rPr>
          <w:rFonts w:eastAsia="Arial" w:cs="Arial"/>
          <w:b/>
          <w:szCs w:val="24"/>
        </w:rPr>
      </w:pPr>
      <w:r>
        <w:rPr>
          <w:rFonts w:eastAsia="Arial" w:cs="Arial"/>
          <w:b/>
          <w:szCs w:val="24"/>
        </w:rPr>
        <w:lastRenderedPageBreak/>
        <w:t>Tables of Contents</w:t>
      </w:r>
    </w:p>
    <w:p w14:paraId="0CEE8296" w14:textId="77777777" w:rsidR="007C6854" w:rsidRDefault="007C6854">
      <w:pPr>
        <w:spacing w:after="0" w:line="240" w:lineRule="auto"/>
        <w:jc w:val="center"/>
        <w:rPr>
          <w:rFonts w:eastAsia="Arial" w:cs="Arial"/>
          <w:b/>
          <w:szCs w:val="24"/>
        </w:rPr>
      </w:pPr>
    </w:p>
    <w:p w14:paraId="351462B9" w14:textId="77777777" w:rsidR="007C6854" w:rsidRDefault="007C6854">
      <w:pPr>
        <w:keepNext/>
        <w:keepLines/>
        <w:pBdr>
          <w:top w:val="nil"/>
          <w:left w:val="nil"/>
          <w:bottom w:val="nil"/>
          <w:right w:val="nil"/>
          <w:between w:val="nil"/>
        </w:pBdr>
        <w:spacing w:before="240" w:after="0" w:line="259" w:lineRule="auto"/>
        <w:rPr>
          <w:rFonts w:eastAsia="Arial" w:cs="Arial"/>
          <w:color w:val="2F5496"/>
          <w:szCs w:val="24"/>
        </w:rPr>
      </w:pPr>
    </w:p>
    <w:sdt>
      <w:sdtPr>
        <w:id w:val="1511486080"/>
        <w:docPartObj>
          <w:docPartGallery w:val="Table of Contents"/>
          <w:docPartUnique/>
        </w:docPartObj>
      </w:sdtPr>
      <w:sdtContent>
        <w:p w14:paraId="6A1C2FD1" w14:textId="77777777" w:rsidR="007C6854" w:rsidRDefault="00E0219E">
          <w:pPr>
            <w:pBdr>
              <w:top w:val="nil"/>
              <w:left w:val="nil"/>
              <w:bottom w:val="nil"/>
              <w:right w:val="nil"/>
              <w:between w:val="nil"/>
            </w:pBdr>
            <w:tabs>
              <w:tab w:val="right" w:pos="9350"/>
            </w:tabs>
            <w:spacing w:after="100"/>
            <w:rPr>
              <w:color w:val="000000"/>
              <w:szCs w:val="24"/>
            </w:rPr>
          </w:pPr>
          <w:r>
            <w:fldChar w:fldCharType="begin"/>
          </w:r>
          <w:r>
            <w:instrText xml:space="preserve"> TOC \h \u \z \t "Heading 1,1,Heading 2,2,Heading 3,3,"</w:instrText>
          </w:r>
          <w:r>
            <w:fldChar w:fldCharType="separate"/>
          </w:r>
          <w:hyperlink w:anchor="_heading=h.30j0zll">
            <w:r>
              <w:rPr>
                <w:rFonts w:eastAsia="Arial" w:cs="Arial"/>
                <w:b/>
                <w:color w:val="000000"/>
                <w:szCs w:val="24"/>
              </w:rPr>
              <w:t>Chapter I: THE RESEARCH PROBLEM</w:t>
            </w:r>
          </w:hyperlink>
          <w:hyperlink w:anchor="_heading=h.30j0zll">
            <w:r>
              <w:rPr>
                <w:color w:val="000000"/>
                <w:szCs w:val="24"/>
              </w:rPr>
              <w:tab/>
              <w:t>1</w:t>
            </w:r>
          </w:hyperlink>
        </w:p>
        <w:p w14:paraId="5663523F" w14:textId="77777777" w:rsidR="007C6854" w:rsidRDefault="00000000">
          <w:pPr>
            <w:pBdr>
              <w:top w:val="nil"/>
              <w:left w:val="nil"/>
              <w:bottom w:val="nil"/>
              <w:right w:val="nil"/>
              <w:between w:val="nil"/>
            </w:pBdr>
            <w:tabs>
              <w:tab w:val="right" w:pos="9016"/>
            </w:tabs>
            <w:spacing w:after="100" w:line="259" w:lineRule="auto"/>
            <w:ind w:left="220"/>
            <w:rPr>
              <w:color w:val="000000"/>
              <w:szCs w:val="24"/>
            </w:rPr>
          </w:pPr>
          <w:hyperlink w:anchor="_heading=h.3dy6vkm">
            <w:r w:rsidR="00E0219E">
              <w:rPr>
                <w:rFonts w:eastAsia="Arial" w:cs="Arial"/>
                <w:color w:val="000000"/>
                <w:szCs w:val="24"/>
              </w:rPr>
              <w:t>Background of the Study</w:t>
            </w:r>
          </w:hyperlink>
          <w:hyperlink w:anchor="_heading=h.3dy6vkm">
            <w:r w:rsidR="00E0219E">
              <w:rPr>
                <w:color w:val="000000"/>
                <w:szCs w:val="24"/>
              </w:rPr>
              <w:tab/>
              <w:t>1</w:t>
            </w:r>
          </w:hyperlink>
        </w:p>
        <w:p w14:paraId="3B571540" w14:textId="77777777" w:rsidR="007C6854" w:rsidRDefault="00000000">
          <w:pPr>
            <w:pBdr>
              <w:top w:val="nil"/>
              <w:left w:val="nil"/>
              <w:bottom w:val="nil"/>
              <w:right w:val="nil"/>
              <w:between w:val="nil"/>
            </w:pBdr>
            <w:tabs>
              <w:tab w:val="right" w:pos="9016"/>
            </w:tabs>
            <w:spacing w:after="100" w:line="259" w:lineRule="auto"/>
            <w:ind w:left="220"/>
            <w:rPr>
              <w:color w:val="000000"/>
              <w:szCs w:val="24"/>
            </w:rPr>
          </w:pPr>
          <w:hyperlink w:anchor="_heading=h.1t3h5sf">
            <w:r w:rsidR="00E0219E">
              <w:rPr>
                <w:rFonts w:eastAsia="Arial" w:cs="Arial"/>
                <w:color w:val="000000"/>
                <w:szCs w:val="24"/>
              </w:rPr>
              <w:t>Objectives of the Study</w:t>
            </w:r>
          </w:hyperlink>
          <w:hyperlink w:anchor="_heading=h.1t3h5sf">
            <w:r w:rsidR="00E0219E">
              <w:rPr>
                <w:color w:val="000000"/>
                <w:szCs w:val="24"/>
              </w:rPr>
              <w:tab/>
              <w:t>4</w:t>
            </w:r>
          </w:hyperlink>
        </w:p>
        <w:p w14:paraId="16D71457" w14:textId="77777777" w:rsidR="007C6854" w:rsidRDefault="00000000">
          <w:pPr>
            <w:pBdr>
              <w:top w:val="nil"/>
              <w:left w:val="nil"/>
              <w:bottom w:val="nil"/>
              <w:right w:val="nil"/>
              <w:between w:val="nil"/>
            </w:pBdr>
            <w:tabs>
              <w:tab w:val="right" w:pos="9016"/>
            </w:tabs>
            <w:spacing w:after="100" w:line="259" w:lineRule="auto"/>
            <w:ind w:left="220"/>
            <w:rPr>
              <w:color w:val="000000"/>
              <w:szCs w:val="24"/>
            </w:rPr>
          </w:pPr>
          <w:hyperlink w:anchor="_heading=h.3rdcrjn">
            <w:r w:rsidR="00E0219E">
              <w:rPr>
                <w:rFonts w:eastAsia="Arial" w:cs="Arial"/>
                <w:color w:val="000000"/>
                <w:szCs w:val="24"/>
              </w:rPr>
              <w:t>Significance of the Study</w:t>
            </w:r>
          </w:hyperlink>
          <w:hyperlink w:anchor="_heading=h.3rdcrjn">
            <w:r w:rsidR="00E0219E">
              <w:rPr>
                <w:color w:val="000000"/>
                <w:szCs w:val="24"/>
              </w:rPr>
              <w:tab/>
              <w:t>6</w:t>
            </w:r>
          </w:hyperlink>
        </w:p>
        <w:p w14:paraId="54340A26" w14:textId="77777777" w:rsidR="007C6854" w:rsidRDefault="00000000">
          <w:pPr>
            <w:pBdr>
              <w:top w:val="nil"/>
              <w:left w:val="nil"/>
              <w:bottom w:val="nil"/>
              <w:right w:val="nil"/>
              <w:between w:val="nil"/>
            </w:pBdr>
            <w:tabs>
              <w:tab w:val="right" w:pos="9016"/>
            </w:tabs>
            <w:spacing w:after="100" w:line="259" w:lineRule="auto"/>
            <w:ind w:left="220"/>
            <w:rPr>
              <w:color w:val="000000"/>
              <w:szCs w:val="24"/>
            </w:rPr>
          </w:pPr>
          <w:hyperlink w:anchor="_heading=h.26in1rg">
            <w:r w:rsidR="00E0219E">
              <w:rPr>
                <w:rFonts w:eastAsia="Arial" w:cs="Arial"/>
                <w:color w:val="000000"/>
                <w:szCs w:val="24"/>
              </w:rPr>
              <w:t>Scope and Limitations of the Study</w:t>
            </w:r>
          </w:hyperlink>
          <w:hyperlink w:anchor="_heading=h.26in1rg">
            <w:r w:rsidR="00E0219E">
              <w:rPr>
                <w:color w:val="000000"/>
                <w:szCs w:val="24"/>
              </w:rPr>
              <w:tab/>
              <w:t>8</w:t>
            </w:r>
          </w:hyperlink>
        </w:p>
        <w:p w14:paraId="6B7624A6" w14:textId="77777777" w:rsidR="007C6854" w:rsidRDefault="00000000">
          <w:pPr>
            <w:pBdr>
              <w:top w:val="nil"/>
              <w:left w:val="nil"/>
              <w:bottom w:val="nil"/>
              <w:right w:val="nil"/>
              <w:between w:val="nil"/>
            </w:pBdr>
            <w:tabs>
              <w:tab w:val="right" w:pos="9350"/>
            </w:tabs>
            <w:spacing w:after="100"/>
            <w:rPr>
              <w:color w:val="000000"/>
              <w:szCs w:val="24"/>
            </w:rPr>
          </w:pPr>
          <w:hyperlink w:anchor="_heading=h.lnxbz9">
            <w:r w:rsidR="00E0219E">
              <w:rPr>
                <w:rFonts w:eastAsia="Arial" w:cs="Arial"/>
                <w:b/>
                <w:color w:val="000000"/>
                <w:szCs w:val="24"/>
              </w:rPr>
              <w:t>Chapter II: THEORETICAL BACKGROUND</w:t>
            </w:r>
          </w:hyperlink>
          <w:hyperlink w:anchor="_heading=h.lnxbz9">
            <w:r w:rsidR="00E0219E">
              <w:rPr>
                <w:color w:val="000000"/>
                <w:szCs w:val="24"/>
              </w:rPr>
              <w:tab/>
              <w:t>9</w:t>
            </w:r>
          </w:hyperlink>
        </w:p>
        <w:p w14:paraId="2E68F422" w14:textId="77777777" w:rsidR="007C6854" w:rsidRDefault="00000000">
          <w:pPr>
            <w:pBdr>
              <w:top w:val="nil"/>
              <w:left w:val="nil"/>
              <w:bottom w:val="nil"/>
              <w:right w:val="nil"/>
              <w:between w:val="nil"/>
            </w:pBdr>
            <w:tabs>
              <w:tab w:val="right" w:pos="9016"/>
            </w:tabs>
            <w:spacing w:after="100" w:line="259" w:lineRule="auto"/>
            <w:ind w:left="220"/>
            <w:rPr>
              <w:color w:val="000000"/>
              <w:szCs w:val="24"/>
            </w:rPr>
          </w:pPr>
          <w:hyperlink w:anchor="_heading=h.1ksv4uv">
            <w:r w:rsidR="00E0219E">
              <w:rPr>
                <w:rFonts w:eastAsia="Arial" w:cs="Arial"/>
                <w:color w:val="000000"/>
                <w:szCs w:val="24"/>
              </w:rPr>
              <w:t>A Review of Literature</w:t>
            </w:r>
          </w:hyperlink>
          <w:hyperlink w:anchor="_heading=h.1ksv4uv">
            <w:r w:rsidR="00E0219E">
              <w:rPr>
                <w:color w:val="000000"/>
                <w:szCs w:val="24"/>
              </w:rPr>
              <w:tab/>
              <w:t>9</w:t>
            </w:r>
          </w:hyperlink>
        </w:p>
        <w:p w14:paraId="0B6A91B3" w14:textId="77777777" w:rsidR="007C6854" w:rsidRDefault="00000000">
          <w:pPr>
            <w:pBdr>
              <w:top w:val="nil"/>
              <w:left w:val="nil"/>
              <w:bottom w:val="nil"/>
              <w:right w:val="nil"/>
              <w:between w:val="nil"/>
            </w:pBdr>
            <w:tabs>
              <w:tab w:val="right" w:pos="9016"/>
            </w:tabs>
            <w:spacing w:after="100" w:line="259" w:lineRule="auto"/>
            <w:ind w:left="440"/>
            <w:rPr>
              <w:color w:val="000000"/>
              <w:szCs w:val="24"/>
            </w:rPr>
          </w:pPr>
          <w:hyperlink w:anchor="_heading=h.44sinio">
            <w:r w:rsidR="00E0219E">
              <w:rPr>
                <w:rFonts w:eastAsia="Arial" w:cs="Arial"/>
                <w:color w:val="000000"/>
                <w:szCs w:val="24"/>
              </w:rPr>
              <w:t>Demographic Profile</w:t>
            </w:r>
          </w:hyperlink>
          <w:hyperlink w:anchor="_heading=h.44sinio">
            <w:r w:rsidR="00E0219E">
              <w:rPr>
                <w:color w:val="000000"/>
                <w:szCs w:val="24"/>
              </w:rPr>
              <w:tab/>
              <w:t>9</w:t>
            </w:r>
          </w:hyperlink>
        </w:p>
        <w:p w14:paraId="12642F3C" w14:textId="77777777" w:rsidR="007C6854" w:rsidRDefault="00000000">
          <w:pPr>
            <w:pBdr>
              <w:top w:val="nil"/>
              <w:left w:val="nil"/>
              <w:bottom w:val="nil"/>
              <w:right w:val="nil"/>
              <w:between w:val="nil"/>
            </w:pBdr>
            <w:tabs>
              <w:tab w:val="right" w:pos="9016"/>
            </w:tabs>
            <w:spacing w:after="100" w:line="259" w:lineRule="auto"/>
            <w:ind w:left="440"/>
            <w:rPr>
              <w:color w:val="000000"/>
              <w:szCs w:val="24"/>
            </w:rPr>
          </w:pPr>
          <w:hyperlink w:anchor="_heading=h.2jxsxqh">
            <w:r w:rsidR="00E0219E">
              <w:rPr>
                <w:rFonts w:eastAsia="Arial" w:cs="Arial"/>
                <w:color w:val="000000"/>
                <w:szCs w:val="24"/>
              </w:rPr>
              <w:t>Hypertension</w:t>
            </w:r>
          </w:hyperlink>
          <w:hyperlink w:anchor="_heading=h.2jxsxqh">
            <w:r w:rsidR="00E0219E">
              <w:rPr>
                <w:color w:val="000000"/>
                <w:szCs w:val="24"/>
              </w:rPr>
              <w:tab/>
              <w:t>10</w:t>
            </w:r>
          </w:hyperlink>
        </w:p>
        <w:p w14:paraId="2874D4E9" w14:textId="77777777" w:rsidR="007C6854" w:rsidRDefault="00000000">
          <w:pPr>
            <w:pBdr>
              <w:top w:val="nil"/>
              <w:left w:val="nil"/>
              <w:bottom w:val="nil"/>
              <w:right w:val="nil"/>
              <w:between w:val="nil"/>
            </w:pBdr>
            <w:tabs>
              <w:tab w:val="right" w:pos="9016"/>
            </w:tabs>
            <w:spacing w:after="100" w:line="259" w:lineRule="auto"/>
            <w:ind w:left="440"/>
            <w:rPr>
              <w:color w:val="000000"/>
              <w:szCs w:val="24"/>
            </w:rPr>
          </w:pPr>
          <w:hyperlink w:anchor="_heading=h.z337ya">
            <w:r w:rsidR="00E0219E">
              <w:rPr>
                <w:rFonts w:eastAsia="Arial" w:cs="Arial"/>
                <w:color w:val="000000"/>
                <w:szCs w:val="24"/>
              </w:rPr>
              <w:t>Health Literacy</w:t>
            </w:r>
          </w:hyperlink>
          <w:hyperlink w:anchor="_heading=h.z337ya">
            <w:r w:rsidR="00E0219E">
              <w:rPr>
                <w:color w:val="000000"/>
                <w:szCs w:val="24"/>
              </w:rPr>
              <w:tab/>
              <w:t>13</w:t>
            </w:r>
          </w:hyperlink>
        </w:p>
        <w:p w14:paraId="2518A665" w14:textId="77777777" w:rsidR="007C6854" w:rsidRDefault="00000000">
          <w:pPr>
            <w:pBdr>
              <w:top w:val="nil"/>
              <w:left w:val="nil"/>
              <w:bottom w:val="nil"/>
              <w:right w:val="nil"/>
              <w:between w:val="nil"/>
            </w:pBdr>
            <w:tabs>
              <w:tab w:val="right" w:pos="9016"/>
            </w:tabs>
            <w:spacing w:after="100" w:line="259" w:lineRule="auto"/>
            <w:ind w:left="440"/>
            <w:rPr>
              <w:color w:val="000000"/>
              <w:szCs w:val="24"/>
            </w:rPr>
          </w:pPr>
          <w:hyperlink w:anchor="_heading=h.3j2qqm3">
            <w:r w:rsidR="00E0219E">
              <w:rPr>
                <w:rFonts w:eastAsia="Arial" w:cs="Arial"/>
                <w:color w:val="000000"/>
                <w:szCs w:val="24"/>
              </w:rPr>
              <w:t>Association of Health Literacy with Hypertension</w:t>
            </w:r>
          </w:hyperlink>
          <w:hyperlink w:anchor="_heading=h.3j2qqm3">
            <w:r w:rsidR="00E0219E">
              <w:rPr>
                <w:color w:val="000000"/>
                <w:szCs w:val="24"/>
              </w:rPr>
              <w:tab/>
              <w:t>15</w:t>
            </w:r>
          </w:hyperlink>
        </w:p>
        <w:p w14:paraId="3DB42990" w14:textId="77777777" w:rsidR="007C6854" w:rsidRDefault="00000000">
          <w:pPr>
            <w:pBdr>
              <w:top w:val="nil"/>
              <w:left w:val="nil"/>
              <w:bottom w:val="nil"/>
              <w:right w:val="nil"/>
              <w:between w:val="nil"/>
            </w:pBdr>
            <w:tabs>
              <w:tab w:val="right" w:pos="9016"/>
            </w:tabs>
            <w:spacing w:after="100" w:line="259" w:lineRule="auto"/>
            <w:ind w:left="220"/>
            <w:rPr>
              <w:color w:val="000000"/>
              <w:szCs w:val="24"/>
            </w:rPr>
          </w:pPr>
          <w:hyperlink w:anchor="_heading=h.4i7ojhp">
            <w:r w:rsidR="00E0219E">
              <w:rPr>
                <w:rFonts w:eastAsia="Arial" w:cs="Arial"/>
                <w:color w:val="000000"/>
                <w:szCs w:val="24"/>
              </w:rPr>
              <w:t>Synthesis</w:t>
            </w:r>
          </w:hyperlink>
          <w:hyperlink w:anchor="_heading=h.4i7ojhp">
            <w:r w:rsidR="00E0219E">
              <w:rPr>
                <w:color w:val="000000"/>
                <w:szCs w:val="24"/>
              </w:rPr>
              <w:tab/>
              <w:t>16</w:t>
            </w:r>
          </w:hyperlink>
        </w:p>
        <w:p w14:paraId="43AB4DFB" w14:textId="77777777" w:rsidR="007C6854" w:rsidRDefault="00000000">
          <w:pPr>
            <w:pBdr>
              <w:top w:val="nil"/>
              <w:left w:val="nil"/>
              <w:bottom w:val="nil"/>
              <w:right w:val="nil"/>
              <w:between w:val="nil"/>
            </w:pBdr>
            <w:tabs>
              <w:tab w:val="right" w:pos="9016"/>
            </w:tabs>
            <w:spacing w:after="100" w:line="259" w:lineRule="auto"/>
            <w:ind w:left="220"/>
            <w:rPr>
              <w:color w:val="000000"/>
              <w:szCs w:val="24"/>
            </w:rPr>
          </w:pPr>
          <w:hyperlink w:anchor="_heading=h.2xcytpi">
            <w:r w:rsidR="00E0219E">
              <w:rPr>
                <w:rFonts w:eastAsia="Arial" w:cs="Arial"/>
                <w:color w:val="000000"/>
                <w:szCs w:val="24"/>
              </w:rPr>
              <w:t>Conceptual Framework</w:t>
            </w:r>
          </w:hyperlink>
          <w:hyperlink w:anchor="_heading=h.2xcytpi">
            <w:r w:rsidR="00E0219E">
              <w:rPr>
                <w:color w:val="000000"/>
                <w:szCs w:val="24"/>
              </w:rPr>
              <w:tab/>
              <w:t>17</w:t>
            </w:r>
          </w:hyperlink>
        </w:p>
        <w:p w14:paraId="1DDB79C4" w14:textId="77777777" w:rsidR="007C6854" w:rsidRDefault="00000000">
          <w:pPr>
            <w:pBdr>
              <w:top w:val="nil"/>
              <w:left w:val="nil"/>
              <w:bottom w:val="nil"/>
              <w:right w:val="nil"/>
              <w:between w:val="nil"/>
            </w:pBdr>
            <w:tabs>
              <w:tab w:val="right" w:pos="9016"/>
            </w:tabs>
            <w:spacing w:after="100" w:line="259" w:lineRule="auto"/>
            <w:ind w:left="440"/>
            <w:rPr>
              <w:color w:val="000000"/>
              <w:szCs w:val="24"/>
            </w:rPr>
          </w:pPr>
          <w:hyperlink w:anchor="_heading=h.1ci93xb">
            <w:r w:rsidR="00E0219E">
              <w:rPr>
                <w:rFonts w:eastAsia="Arial" w:cs="Arial"/>
                <w:color w:val="000000"/>
                <w:szCs w:val="24"/>
              </w:rPr>
              <w:t>Socio-demographic Profile</w:t>
            </w:r>
          </w:hyperlink>
          <w:hyperlink w:anchor="_heading=h.1ci93xb">
            <w:r w:rsidR="00E0219E">
              <w:rPr>
                <w:color w:val="000000"/>
                <w:szCs w:val="24"/>
              </w:rPr>
              <w:tab/>
              <w:t>17</w:t>
            </w:r>
          </w:hyperlink>
        </w:p>
        <w:p w14:paraId="07DB170B" w14:textId="77777777" w:rsidR="007C6854" w:rsidRDefault="00000000">
          <w:pPr>
            <w:pBdr>
              <w:top w:val="nil"/>
              <w:left w:val="nil"/>
              <w:bottom w:val="nil"/>
              <w:right w:val="nil"/>
              <w:between w:val="nil"/>
            </w:pBdr>
            <w:tabs>
              <w:tab w:val="right" w:pos="9016"/>
            </w:tabs>
            <w:spacing w:after="100" w:line="259" w:lineRule="auto"/>
            <w:ind w:left="440"/>
            <w:rPr>
              <w:color w:val="000000"/>
              <w:szCs w:val="24"/>
            </w:rPr>
          </w:pPr>
          <w:hyperlink w:anchor="_heading=h.3whwml4">
            <w:r w:rsidR="00E0219E">
              <w:rPr>
                <w:rFonts w:eastAsia="Arial" w:cs="Arial"/>
                <w:color w:val="000000"/>
                <w:szCs w:val="24"/>
              </w:rPr>
              <w:t>Prevalence of Hypertension</w:t>
            </w:r>
          </w:hyperlink>
          <w:hyperlink w:anchor="_heading=h.3whwml4">
            <w:r w:rsidR="00E0219E">
              <w:rPr>
                <w:color w:val="000000"/>
                <w:szCs w:val="24"/>
              </w:rPr>
              <w:tab/>
              <w:t>17</w:t>
            </w:r>
          </w:hyperlink>
        </w:p>
        <w:p w14:paraId="7B0FB55E" w14:textId="77777777" w:rsidR="007C6854" w:rsidRDefault="00000000">
          <w:pPr>
            <w:pBdr>
              <w:top w:val="nil"/>
              <w:left w:val="nil"/>
              <w:bottom w:val="nil"/>
              <w:right w:val="nil"/>
              <w:between w:val="nil"/>
            </w:pBdr>
            <w:tabs>
              <w:tab w:val="right" w:pos="9016"/>
            </w:tabs>
            <w:spacing w:after="100" w:line="259" w:lineRule="auto"/>
            <w:ind w:left="440"/>
            <w:rPr>
              <w:color w:val="000000"/>
              <w:szCs w:val="24"/>
            </w:rPr>
          </w:pPr>
          <w:hyperlink w:anchor="_heading=h.2bn6wsx">
            <w:r w:rsidR="00E0219E">
              <w:rPr>
                <w:rFonts w:eastAsia="Arial" w:cs="Arial"/>
                <w:color w:val="000000"/>
                <w:szCs w:val="24"/>
              </w:rPr>
              <w:t>Health Literacy</w:t>
            </w:r>
          </w:hyperlink>
          <w:hyperlink w:anchor="_heading=h.2bn6wsx">
            <w:r w:rsidR="00E0219E">
              <w:rPr>
                <w:color w:val="000000"/>
                <w:szCs w:val="24"/>
              </w:rPr>
              <w:tab/>
              <w:t>18</w:t>
            </w:r>
          </w:hyperlink>
        </w:p>
        <w:p w14:paraId="24ADD614" w14:textId="77777777" w:rsidR="007C6854" w:rsidRDefault="00000000">
          <w:pPr>
            <w:pBdr>
              <w:top w:val="nil"/>
              <w:left w:val="nil"/>
              <w:bottom w:val="nil"/>
              <w:right w:val="nil"/>
              <w:between w:val="nil"/>
            </w:pBdr>
            <w:tabs>
              <w:tab w:val="right" w:pos="9016"/>
            </w:tabs>
            <w:spacing w:after="100" w:line="259" w:lineRule="auto"/>
            <w:ind w:left="220"/>
            <w:rPr>
              <w:color w:val="000000"/>
              <w:szCs w:val="24"/>
            </w:rPr>
          </w:pPr>
          <w:hyperlink w:anchor="_heading=h.qsh70q">
            <w:r w:rsidR="00E0219E">
              <w:rPr>
                <w:rFonts w:eastAsia="Arial" w:cs="Arial"/>
                <w:color w:val="000000"/>
                <w:szCs w:val="24"/>
              </w:rPr>
              <w:t>Operational Definition</w:t>
            </w:r>
          </w:hyperlink>
          <w:hyperlink w:anchor="_heading=h.qsh70q">
            <w:r w:rsidR="00E0219E">
              <w:rPr>
                <w:color w:val="000000"/>
                <w:szCs w:val="24"/>
              </w:rPr>
              <w:tab/>
              <w:t>21</w:t>
            </w:r>
          </w:hyperlink>
        </w:p>
        <w:p w14:paraId="3BFA8BB7" w14:textId="77777777" w:rsidR="007C6854" w:rsidRDefault="00000000">
          <w:pPr>
            <w:pBdr>
              <w:top w:val="nil"/>
              <w:left w:val="nil"/>
              <w:bottom w:val="nil"/>
              <w:right w:val="nil"/>
              <w:between w:val="nil"/>
            </w:pBdr>
            <w:tabs>
              <w:tab w:val="right" w:pos="9350"/>
            </w:tabs>
            <w:spacing w:after="100"/>
            <w:rPr>
              <w:color w:val="000000"/>
              <w:szCs w:val="24"/>
            </w:rPr>
          </w:pPr>
          <w:hyperlink w:anchor="_heading=h.3as4poj">
            <w:r w:rsidR="00E0219E">
              <w:rPr>
                <w:rFonts w:eastAsia="Arial" w:cs="Arial"/>
                <w:b/>
                <w:color w:val="000000"/>
                <w:szCs w:val="24"/>
              </w:rPr>
              <w:t>CHAPTER III: RESEARCH METHODOLOGY</w:t>
            </w:r>
          </w:hyperlink>
          <w:hyperlink w:anchor="_heading=h.3as4poj">
            <w:r w:rsidR="00E0219E">
              <w:rPr>
                <w:color w:val="000000"/>
                <w:szCs w:val="24"/>
              </w:rPr>
              <w:tab/>
              <w:t>23</w:t>
            </w:r>
          </w:hyperlink>
        </w:p>
        <w:p w14:paraId="15CECC24" w14:textId="77777777" w:rsidR="007C6854" w:rsidRDefault="00000000">
          <w:pPr>
            <w:pBdr>
              <w:top w:val="nil"/>
              <w:left w:val="nil"/>
              <w:bottom w:val="nil"/>
              <w:right w:val="nil"/>
              <w:between w:val="nil"/>
            </w:pBdr>
            <w:tabs>
              <w:tab w:val="right" w:pos="9016"/>
            </w:tabs>
            <w:spacing w:after="100" w:line="259" w:lineRule="auto"/>
            <w:ind w:left="220"/>
            <w:rPr>
              <w:color w:val="000000"/>
              <w:szCs w:val="24"/>
            </w:rPr>
          </w:pPr>
          <w:hyperlink w:anchor="_heading=h.49x2ik5">
            <w:r w:rsidR="00E0219E">
              <w:rPr>
                <w:rFonts w:eastAsia="Arial" w:cs="Arial"/>
                <w:color w:val="000000"/>
                <w:szCs w:val="24"/>
              </w:rPr>
              <w:t>Research Design</w:t>
            </w:r>
          </w:hyperlink>
          <w:hyperlink w:anchor="_heading=h.49x2ik5">
            <w:r w:rsidR="00E0219E">
              <w:rPr>
                <w:color w:val="000000"/>
                <w:szCs w:val="24"/>
              </w:rPr>
              <w:tab/>
              <w:t>23</w:t>
            </w:r>
          </w:hyperlink>
        </w:p>
        <w:p w14:paraId="397A40B1" w14:textId="77777777" w:rsidR="007C6854" w:rsidRDefault="00000000">
          <w:pPr>
            <w:pBdr>
              <w:top w:val="nil"/>
              <w:left w:val="nil"/>
              <w:bottom w:val="nil"/>
              <w:right w:val="nil"/>
              <w:between w:val="nil"/>
            </w:pBdr>
            <w:tabs>
              <w:tab w:val="right" w:pos="9016"/>
            </w:tabs>
            <w:spacing w:after="100" w:line="259" w:lineRule="auto"/>
            <w:ind w:left="220"/>
            <w:rPr>
              <w:color w:val="000000"/>
              <w:szCs w:val="24"/>
            </w:rPr>
          </w:pPr>
          <w:hyperlink w:anchor="_heading=h.2p2csry">
            <w:r w:rsidR="00E0219E">
              <w:rPr>
                <w:rFonts w:eastAsia="Arial" w:cs="Arial"/>
                <w:color w:val="000000"/>
                <w:szCs w:val="24"/>
              </w:rPr>
              <w:t>Sampling Technique</w:t>
            </w:r>
          </w:hyperlink>
          <w:hyperlink w:anchor="_heading=h.2p2csry">
            <w:r w:rsidR="00E0219E">
              <w:rPr>
                <w:color w:val="000000"/>
                <w:szCs w:val="24"/>
              </w:rPr>
              <w:tab/>
              <w:t>23</w:t>
            </w:r>
          </w:hyperlink>
        </w:p>
        <w:p w14:paraId="2210A84F" w14:textId="77777777" w:rsidR="007C6854" w:rsidRDefault="00000000">
          <w:pPr>
            <w:pBdr>
              <w:top w:val="nil"/>
              <w:left w:val="nil"/>
              <w:bottom w:val="nil"/>
              <w:right w:val="nil"/>
              <w:between w:val="nil"/>
            </w:pBdr>
            <w:tabs>
              <w:tab w:val="right" w:pos="9016"/>
            </w:tabs>
            <w:spacing w:after="100" w:line="259" w:lineRule="auto"/>
            <w:ind w:left="220"/>
            <w:rPr>
              <w:color w:val="000000"/>
              <w:szCs w:val="24"/>
            </w:rPr>
          </w:pPr>
          <w:hyperlink w:anchor="_heading=h.147n2zr">
            <w:r w:rsidR="00E0219E">
              <w:rPr>
                <w:rFonts w:eastAsia="Arial" w:cs="Arial"/>
                <w:color w:val="000000"/>
                <w:szCs w:val="24"/>
              </w:rPr>
              <w:t>Settings and Participants</w:t>
            </w:r>
          </w:hyperlink>
          <w:hyperlink w:anchor="_heading=h.147n2zr">
            <w:r w:rsidR="00E0219E">
              <w:rPr>
                <w:color w:val="000000"/>
                <w:szCs w:val="24"/>
              </w:rPr>
              <w:tab/>
              <w:t>24</w:t>
            </w:r>
          </w:hyperlink>
        </w:p>
        <w:p w14:paraId="7415A8A7" w14:textId="77777777" w:rsidR="007C6854" w:rsidRDefault="00000000">
          <w:pPr>
            <w:pBdr>
              <w:top w:val="nil"/>
              <w:left w:val="nil"/>
              <w:bottom w:val="nil"/>
              <w:right w:val="nil"/>
              <w:between w:val="nil"/>
            </w:pBdr>
            <w:tabs>
              <w:tab w:val="right" w:pos="9016"/>
            </w:tabs>
            <w:spacing w:after="100" w:line="259" w:lineRule="auto"/>
            <w:ind w:left="220"/>
            <w:rPr>
              <w:color w:val="000000"/>
              <w:szCs w:val="24"/>
            </w:rPr>
          </w:pPr>
          <w:hyperlink w:anchor="_heading=h.3o7alnk">
            <w:r w:rsidR="00E0219E">
              <w:rPr>
                <w:rFonts w:eastAsia="Arial" w:cs="Arial"/>
                <w:color w:val="000000"/>
                <w:szCs w:val="24"/>
              </w:rPr>
              <w:t>Data Collection</w:t>
            </w:r>
          </w:hyperlink>
          <w:hyperlink w:anchor="_heading=h.3o7alnk">
            <w:r w:rsidR="00E0219E">
              <w:rPr>
                <w:color w:val="000000"/>
                <w:szCs w:val="24"/>
              </w:rPr>
              <w:tab/>
              <w:t>25</w:t>
            </w:r>
          </w:hyperlink>
        </w:p>
        <w:p w14:paraId="7DF3F338" w14:textId="77777777" w:rsidR="007C6854" w:rsidRDefault="00000000">
          <w:pPr>
            <w:pBdr>
              <w:top w:val="nil"/>
              <w:left w:val="nil"/>
              <w:bottom w:val="nil"/>
              <w:right w:val="nil"/>
              <w:between w:val="nil"/>
            </w:pBdr>
            <w:tabs>
              <w:tab w:val="right" w:pos="9016"/>
            </w:tabs>
            <w:spacing w:after="100" w:line="259" w:lineRule="auto"/>
            <w:ind w:left="220"/>
            <w:rPr>
              <w:color w:val="000000"/>
              <w:szCs w:val="24"/>
            </w:rPr>
          </w:pPr>
          <w:hyperlink w:anchor="_heading=h.ihv636">
            <w:r w:rsidR="00E0219E">
              <w:rPr>
                <w:rFonts w:eastAsia="Arial" w:cs="Arial"/>
                <w:color w:val="000000"/>
                <w:szCs w:val="24"/>
              </w:rPr>
              <w:t>Statistical Analysis and Interpretation of Results</w:t>
            </w:r>
          </w:hyperlink>
          <w:hyperlink w:anchor="_heading=h.ihv636">
            <w:r w:rsidR="00E0219E">
              <w:rPr>
                <w:color w:val="000000"/>
                <w:szCs w:val="24"/>
              </w:rPr>
              <w:tab/>
              <w:t>27</w:t>
            </w:r>
          </w:hyperlink>
        </w:p>
        <w:p w14:paraId="12C6A28F" w14:textId="77777777" w:rsidR="007C6854" w:rsidRDefault="00000000">
          <w:pPr>
            <w:pBdr>
              <w:top w:val="nil"/>
              <w:left w:val="nil"/>
              <w:bottom w:val="nil"/>
              <w:right w:val="nil"/>
              <w:between w:val="nil"/>
            </w:pBdr>
            <w:tabs>
              <w:tab w:val="right" w:pos="9016"/>
            </w:tabs>
            <w:spacing w:after="100" w:line="259" w:lineRule="auto"/>
            <w:ind w:left="220"/>
            <w:rPr>
              <w:color w:val="000000"/>
              <w:szCs w:val="24"/>
            </w:rPr>
          </w:pPr>
          <w:hyperlink w:anchor="_heading=h.32hioqz">
            <w:r w:rsidR="00E0219E">
              <w:rPr>
                <w:rFonts w:eastAsia="Arial" w:cs="Arial"/>
                <w:color w:val="000000"/>
                <w:szCs w:val="24"/>
              </w:rPr>
              <w:t>Data Management</w:t>
            </w:r>
          </w:hyperlink>
          <w:hyperlink w:anchor="_heading=h.32hioqz">
            <w:r w:rsidR="00E0219E">
              <w:rPr>
                <w:color w:val="000000"/>
                <w:szCs w:val="24"/>
              </w:rPr>
              <w:tab/>
              <w:t>28</w:t>
            </w:r>
          </w:hyperlink>
        </w:p>
        <w:p w14:paraId="6956FB20" w14:textId="77777777" w:rsidR="007C6854" w:rsidRDefault="00000000">
          <w:pPr>
            <w:pBdr>
              <w:top w:val="nil"/>
              <w:left w:val="nil"/>
              <w:bottom w:val="nil"/>
              <w:right w:val="nil"/>
              <w:between w:val="nil"/>
            </w:pBdr>
            <w:tabs>
              <w:tab w:val="right" w:pos="9016"/>
            </w:tabs>
            <w:spacing w:after="100" w:line="259" w:lineRule="auto"/>
            <w:ind w:left="220"/>
            <w:rPr>
              <w:color w:val="000000"/>
              <w:szCs w:val="24"/>
            </w:rPr>
          </w:pPr>
          <w:hyperlink w:anchor="_heading=h.1hmsyys">
            <w:r w:rsidR="00E0219E">
              <w:rPr>
                <w:rFonts w:eastAsia="Arial" w:cs="Arial"/>
                <w:color w:val="000000"/>
                <w:szCs w:val="24"/>
              </w:rPr>
              <w:t>Ethical Consideration</w:t>
            </w:r>
          </w:hyperlink>
          <w:hyperlink w:anchor="_heading=h.1hmsyys">
            <w:r w:rsidR="00E0219E">
              <w:rPr>
                <w:color w:val="000000"/>
                <w:szCs w:val="24"/>
              </w:rPr>
              <w:tab/>
              <w:t>30</w:t>
            </w:r>
          </w:hyperlink>
        </w:p>
        <w:p w14:paraId="48ECD6C9" w14:textId="77777777" w:rsidR="007C6854" w:rsidRDefault="00000000">
          <w:pPr>
            <w:pBdr>
              <w:top w:val="nil"/>
              <w:left w:val="nil"/>
              <w:bottom w:val="nil"/>
              <w:right w:val="nil"/>
              <w:between w:val="nil"/>
            </w:pBdr>
            <w:tabs>
              <w:tab w:val="right" w:pos="9016"/>
            </w:tabs>
            <w:spacing w:after="100" w:line="259" w:lineRule="auto"/>
            <w:ind w:left="440"/>
            <w:rPr>
              <w:color w:val="000000"/>
              <w:szCs w:val="24"/>
            </w:rPr>
          </w:pPr>
          <w:hyperlink w:anchor="_heading=h.41mghml">
            <w:r w:rsidR="00E0219E">
              <w:rPr>
                <w:rFonts w:eastAsia="Arial" w:cs="Arial"/>
                <w:color w:val="000000"/>
                <w:szCs w:val="24"/>
              </w:rPr>
              <w:t>Risks and Inconveniences</w:t>
            </w:r>
          </w:hyperlink>
          <w:hyperlink w:anchor="_heading=h.41mghml">
            <w:r w:rsidR="00E0219E">
              <w:rPr>
                <w:color w:val="000000"/>
                <w:szCs w:val="24"/>
              </w:rPr>
              <w:tab/>
              <w:t>30</w:t>
            </w:r>
          </w:hyperlink>
        </w:p>
        <w:p w14:paraId="40F8C6E5" w14:textId="77777777" w:rsidR="007C6854" w:rsidRDefault="00000000">
          <w:pPr>
            <w:pBdr>
              <w:top w:val="nil"/>
              <w:left w:val="nil"/>
              <w:bottom w:val="nil"/>
              <w:right w:val="nil"/>
              <w:between w:val="nil"/>
            </w:pBdr>
            <w:tabs>
              <w:tab w:val="right" w:pos="9016"/>
            </w:tabs>
            <w:spacing w:after="100" w:line="259" w:lineRule="auto"/>
            <w:ind w:left="440"/>
            <w:rPr>
              <w:color w:val="000000"/>
              <w:szCs w:val="24"/>
            </w:rPr>
          </w:pPr>
          <w:hyperlink w:anchor="_heading=h.2grqrue">
            <w:r w:rsidR="00E0219E">
              <w:rPr>
                <w:rFonts w:eastAsia="Arial" w:cs="Arial"/>
                <w:color w:val="000000"/>
                <w:szCs w:val="24"/>
              </w:rPr>
              <w:t>Possible Benefits to the Participants and the Community</w:t>
            </w:r>
          </w:hyperlink>
          <w:hyperlink w:anchor="_heading=h.2grqrue">
            <w:r w:rsidR="00E0219E">
              <w:rPr>
                <w:color w:val="000000"/>
                <w:szCs w:val="24"/>
              </w:rPr>
              <w:tab/>
              <w:t>30</w:t>
            </w:r>
          </w:hyperlink>
        </w:p>
        <w:p w14:paraId="22F30BEC" w14:textId="77777777" w:rsidR="007C6854" w:rsidRDefault="00000000">
          <w:pPr>
            <w:pBdr>
              <w:top w:val="nil"/>
              <w:left w:val="nil"/>
              <w:bottom w:val="nil"/>
              <w:right w:val="nil"/>
              <w:between w:val="nil"/>
            </w:pBdr>
            <w:tabs>
              <w:tab w:val="right" w:pos="9016"/>
            </w:tabs>
            <w:spacing w:after="100" w:line="259" w:lineRule="auto"/>
            <w:ind w:left="440"/>
            <w:rPr>
              <w:color w:val="000000"/>
              <w:szCs w:val="24"/>
            </w:rPr>
          </w:pPr>
          <w:hyperlink w:anchor="_heading=h.vx1227">
            <w:r w:rsidR="00E0219E">
              <w:rPr>
                <w:rFonts w:eastAsia="Arial" w:cs="Arial"/>
                <w:color w:val="000000"/>
                <w:szCs w:val="24"/>
              </w:rPr>
              <w:t>Compensation</w:t>
            </w:r>
          </w:hyperlink>
          <w:hyperlink w:anchor="_heading=h.vx1227">
            <w:r w:rsidR="00E0219E">
              <w:rPr>
                <w:color w:val="000000"/>
                <w:szCs w:val="24"/>
              </w:rPr>
              <w:tab/>
              <w:t>30</w:t>
            </w:r>
          </w:hyperlink>
        </w:p>
        <w:p w14:paraId="611D1035" w14:textId="77777777" w:rsidR="007C6854" w:rsidRDefault="00000000">
          <w:pPr>
            <w:pBdr>
              <w:top w:val="nil"/>
              <w:left w:val="nil"/>
              <w:bottom w:val="nil"/>
              <w:right w:val="nil"/>
              <w:between w:val="nil"/>
            </w:pBdr>
            <w:tabs>
              <w:tab w:val="right" w:pos="9016"/>
            </w:tabs>
            <w:spacing w:after="100" w:line="259" w:lineRule="auto"/>
            <w:ind w:left="440"/>
            <w:rPr>
              <w:color w:val="000000"/>
              <w:szCs w:val="24"/>
            </w:rPr>
          </w:pPr>
          <w:hyperlink w:anchor="_heading=h.3fwokq0">
            <w:r w:rsidR="00E0219E">
              <w:rPr>
                <w:rFonts w:eastAsia="Arial" w:cs="Arial"/>
                <w:color w:val="000000"/>
                <w:szCs w:val="24"/>
              </w:rPr>
              <w:t>Respondents or Participants</w:t>
            </w:r>
          </w:hyperlink>
          <w:hyperlink w:anchor="_heading=h.3fwokq0">
            <w:r w:rsidR="00E0219E">
              <w:rPr>
                <w:color w:val="000000"/>
                <w:szCs w:val="24"/>
              </w:rPr>
              <w:tab/>
              <w:t>31</w:t>
            </w:r>
          </w:hyperlink>
        </w:p>
        <w:p w14:paraId="3303B94A" w14:textId="77777777" w:rsidR="007C6854" w:rsidRDefault="00000000">
          <w:pPr>
            <w:pBdr>
              <w:top w:val="nil"/>
              <w:left w:val="nil"/>
              <w:bottom w:val="nil"/>
              <w:right w:val="nil"/>
              <w:between w:val="nil"/>
            </w:pBdr>
            <w:tabs>
              <w:tab w:val="right" w:pos="9016"/>
            </w:tabs>
            <w:spacing w:after="100" w:line="259" w:lineRule="auto"/>
            <w:ind w:left="440"/>
            <w:rPr>
              <w:color w:val="000000"/>
              <w:szCs w:val="24"/>
            </w:rPr>
          </w:pPr>
          <w:hyperlink w:anchor="_heading=h.1v1yuxt">
            <w:r w:rsidR="00E0219E">
              <w:rPr>
                <w:rFonts w:eastAsia="Arial" w:cs="Arial"/>
                <w:color w:val="000000"/>
                <w:szCs w:val="24"/>
              </w:rPr>
              <w:t>Research Assistant / Enumerator(s)</w:t>
            </w:r>
          </w:hyperlink>
          <w:hyperlink w:anchor="_heading=h.1v1yuxt">
            <w:r w:rsidR="00E0219E">
              <w:rPr>
                <w:color w:val="000000"/>
                <w:szCs w:val="24"/>
              </w:rPr>
              <w:tab/>
              <w:t>31</w:t>
            </w:r>
          </w:hyperlink>
        </w:p>
        <w:p w14:paraId="30E82546" w14:textId="77777777" w:rsidR="007C6854" w:rsidRDefault="00000000">
          <w:pPr>
            <w:pBdr>
              <w:top w:val="nil"/>
              <w:left w:val="nil"/>
              <w:bottom w:val="nil"/>
              <w:right w:val="nil"/>
              <w:between w:val="nil"/>
            </w:pBdr>
            <w:tabs>
              <w:tab w:val="right" w:pos="9016"/>
            </w:tabs>
            <w:spacing w:after="100" w:line="259" w:lineRule="auto"/>
            <w:ind w:left="440"/>
            <w:rPr>
              <w:color w:val="000000"/>
              <w:szCs w:val="24"/>
            </w:rPr>
          </w:pPr>
          <w:hyperlink w:anchor="_heading=h.4f1mdlm">
            <w:r w:rsidR="00E0219E">
              <w:rPr>
                <w:rFonts w:eastAsia="Arial" w:cs="Arial"/>
                <w:color w:val="000000"/>
                <w:szCs w:val="24"/>
              </w:rPr>
              <w:t>Provision for Injury or Related illnesses</w:t>
            </w:r>
          </w:hyperlink>
          <w:r w:rsidR="00E0219E">
            <w:t xml:space="preserve"> </w:t>
          </w:r>
          <w:hyperlink w:anchor="_heading=h.4f1mdlm">
            <w:r w:rsidR="00E0219E">
              <w:rPr>
                <w:color w:val="000000"/>
                <w:szCs w:val="24"/>
              </w:rPr>
              <w:tab/>
              <w:t>31</w:t>
            </w:r>
          </w:hyperlink>
        </w:p>
        <w:p w14:paraId="33C58663" w14:textId="77777777" w:rsidR="00E77ABE" w:rsidRDefault="00E77ABE">
          <w:pPr>
            <w:pBdr>
              <w:top w:val="nil"/>
              <w:left w:val="nil"/>
              <w:bottom w:val="nil"/>
              <w:right w:val="nil"/>
              <w:between w:val="nil"/>
            </w:pBdr>
            <w:tabs>
              <w:tab w:val="right" w:pos="9016"/>
            </w:tabs>
            <w:spacing w:after="100" w:line="259" w:lineRule="auto"/>
            <w:ind w:left="440"/>
            <w:sectPr w:rsidR="00E77ABE">
              <w:headerReference w:type="default" r:id="rId26"/>
              <w:footerReference w:type="default" r:id="rId27"/>
              <w:pgSz w:w="11906" w:h="16838"/>
              <w:pgMar w:top="1440" w:right="1440" w:bottom="1440" w:left="1440" w:header="0" w:footer="0" w:gutter="0"/>
              <w:cols w:space="720"/>
            </w:sectPr>
          </w:pPr>
        </w:p>
        <w:p w14:paraId="3BC14F0B" w14:textId="77777777" w:rsidR="007C6854" w:rsidRDefault="00000000">
          <w:pPr>
            <w:pBdr>
              <w:top w:val="nil"/>
              <w:left w:val="nil"/>
              <w:bottom w:val="nil"/>
              <w:right w:val="nil"/>
              <w:between w:val="nil"/>
            </w:pBdr>
            <w:tabs>
              <w:tab w:val="right" w:pos="9016"/>
            </w:tabs>
            <w:spacing w:after="100" w:line="259" w:lineRule="auto"/>
            <w:ind w:left="440"/>
            <w:rPr>
              <w:color w:val="000000"/>
              <w:szCs w:val="24"/>
            </w:rPr>
          </w:pPr>
          <w:hyperlink w:anchor="_heading=h.2u6wntf">
            <w:r w:rsidR="00E0219E">
              <w:rPr>
                <w:rFonts w:eastAsia="Arial" w:cs="Arial"/>
                <w:color w:val="000000"/>
                <w:szCs w:val="24"/>
              </w:rPr>
              <w:t>Voluntariness of Participants</w:t>
            </w:r>
          </w:hyperlink>
          <w:hyperlink w:anchor="_heading=h.2u6wntf">
            <w:r w:rsidR="00E0219E">
              <w:rPr>
                <w:color w:val="000000"/>
                <w:szCs w:val="24"/>
              </w:rPr>
              <w:tab/>
              <w:t>31</w:t>
            </w:r>
          </w:hyperlink>
        </w:p>
        <w:p w14:paraId="020232FD" w14:textId="77777777" w:rsidR="007C6854" w:rsidRDefault="00000000">
          <w:pPr>
            <w:pBdr>
              <w:top w:val="nil"/>
              <w:left w:val="nil"/>
              <w:bottom w:val="nil"/>
              <w:right w:val="nil"/>
              <w:between w:val="nil"/>
            </w:pBdr>
            <w:tabs>
              <w:tab w:val="right" w:pos="9016"/>
            </w:tabs>
            <w:spacing w:after="100" w:line="259" w:lineRule="auto"/>
            <w:ind w:left="440"/>
            <w:rPr>
              <w:color w:val="000000"/>
              <w:szCs w:val="24"/>
            </w:rPr>
          </w:pPr>
          <w:hyperlink w:anchor="_heading=h.19c6y18">
            <w:r w:rsidR="00E0219E">
              <w:rPr>
                <w:rFonts w:eastAsia="Arial" w:cs="Arial"/>
                <w:color w:val="000000"/>
                <w:szCs w:val="24"/>
              </w:rPr>
              <w:t>Confidentiality</w:t>
            </w:r>
          </w:hyperlink>
          <w:hyperlink w:anchor="_heading=h.19c6y18">
            <w:r w:rsidR="00E0219E">
              <w:rPr>
                <w:color w:val="000000"/>
                <w:szCs w:val="24"/>
              </w:rPr>
              <w:tab/>
              <w:t>32</w:t>
            </w:r>
          </w:hyperlink>
        </w:p>
        <w:p w14:paraId="296ACD28" w14:textId="77777777" w:rsidR="007C6854" w:rsidRDefault="00000000">
          <w:pPr>
            <w:pBdr>
              <w:top w:val="nil"/>
              <w:left w:val="nil"/>
              <w:bottom w:val="nil"/>
              <w:right w:val="nil"/>
              <w:between w:val="nil"/>
            </w:pBdr>
            <w:tabs>
              <w:tab w:val="right" w:pos="9016"/>
            </w:tabs>
            <w:spacing w:after="100" w:line="259" w:lineRule="auto"/>
            <w:ind w:left="440"/>
            <w:rPr>
              <w:color w:val="000000"/>
              <w:szCs w:val="24"/>
            </w:rPr>
          </w:pPr>
          <w:hyperlink w:anchor="_heading=h.3tbugp1">
            <w:r w:rsidR="00E0219E">
              <w:rPr>
                <w:rFonts w:eastAsia="Arial" w:cs="Arial"/>
                <w:color w:val="000000"/>
                <w:szCs w:val="24"/>
              </w:rPr>
              <w:t>Funding Source</w:t>
            </w:r>
          </w:hyperlink>
          <w:hyperlink w:anchor="_heading=h.3tbugp1">
            <w:r w:rsidR="00E0219E">
              <w:rPr>
                <w:color w:val="000000"/>
                <w:szCs w:val="24"/>
              </w:rPr>
              <w:tab/>
              <w:t>34</w:t>
            </w:r>
          </w:hyperlink>
        </w:p>
        <w:p w14:paraId="014D48AF" w14:textId="77777777" w:rsidR="007C6854" w:rsidRDefault="00000000">
          <w:pPr>
            <w:pBdr>
              <w:top w:val="nil"/>
              <w:left w:val="nil"/>
              <w:bottom w:val="nil"/>
              <w:right w:val="nil"/>
              <w:between w:val="nil"/>
            </w:pBdr>
            <w:tabs>
              <w:tab w:val="right" w:pos="9016"/>
            </w:tabs>
            <w:spacing w:after="100" w:line="259" w:lineRule="auto"/>
            <w:ind w:left="440"/>
            <w:rPr>
              <w:color w:val="000000"/>
              <w:szCs w:val="24"/>
            </w:rPr>
          </w:pPr>
          <w:hyperlink w:anchor="_heading=h.28h4qwu">
            <w:r w:rsidR="00E0219E">
              <w:rPr>
                <w:rFonts w:eastAsia="Arial" w:cs="Arial"/>
                <w:color w:val="000000"/>
                <w:szCs w:val="24"/>
              </w:rPr>
              <w:t>Conflict of Interest</w:t>
            </w:r>
          </w:hyperlink>
          <w:hyperlink w:anchor="_heading=h.28h4qwu">
            <w:r w:rsidR="00E0219E">
              <w:rPr>
                <w:color w:val="000000"/>
                <w:szCs w:val="24"/>
              </w:rPr>
              <w:tab/>
              <w:t>34</w:t>
            </w:r>
          </w:hyperlink>
        </w:p>
        <w:p w14:paraId="0CEA2131" w14:textId="77777777" w:rsidR="007C6854" w:rsidRDefault="00000000">
          <w:pPr>
            <w:pBdr>
              <w:top w:val="nil"/>
              <w:left w:val="nil"/>
              <w:bottom w:val="nil"/>
              <w:right w:val="nil"/>
              <w:between w:val="nil"/>
            </w:pBdr>
            <w:tabs>
              <w:tab w:val="right" w:pos="9350"/>
            </w:tabs>
            <w:spacing w:after="100"/>
            <w:rPr>
              <w:color w:val="000000"/>
              <w:szCs w:val="24"/>
            </w:rPr>
          </w:pPr>
          <w:hyperlink w:anchor="_heading=h.nmf14n">
            <w:r w:rsidR="00E0219E">
              <w:rPr>
                <w:rFonts w:eastAsia="Arial" w:cs="Arial"/>
                <w:b/>
                <w:color w:val="000000"/>
                <w:szCs w:val="24"/>
              </w:rPr>
              <w:t>CHAPTER IV: RESULTS AND DISCUSSION</w:t>
            </w:r>
          </w:hyperlink>
          <w:hyperlink w:anchor="_heading=h.nmf14n">
            <w:r w:rsidR="00E0219E">
              <w:rPr>
                <w:color w:val="000000"/>
                <w:szCs w:val="24"/>
              </w:rPr>
              <w:tab/>
              <w:t>35</w:t>
            </w:r>
          </w:hyperlink>
        </w:p>
        <w:p w14:paraId="0D081073" w14:textId="77777777" w:rsidR="007C6854" w:rsidRDefault="00000000">
          <w:pPr>
            <w:pBdr>
              <w:top w:val="nil"/>
              <w:left w:val="nil"/>
              <w:bottom w:val="nil"/>
              <w:right w:val="nil"/>
              <w:between w:val="nil"/>
            </w:pBdr>
            <w:tabs>
              <w:tab w:val="right" w:pos="9016"/>
            </w:tabs>
            <w:spacing w:after="100" w:line="259" w:lineRule="auto"/>
            <w:ind w:left="220"/>
            <w:rPr>
              <w:color w:val="000000"/>
              <w:szCs w:val="24"/>
            </w:rPr>
          </w:pPr>
          <w:hyperlink w:anchor="_heading=h.1mrcu09">
            <w:r w:rsidR="00E0219E">
              <w:rPr>
                <w:rFonts w:eastAsia="Arial" w:cs="Arial"/>
                <w:color w:val="000000"/>
                <w:szCs w:val="24"/>
              </w:rPr>
              <w:t>Socio-demographic Profile of Urban Poor Settlers</w:t>
            </w:r>
          </w:hyperlink>
          <w:hyperlink w:anchor="_heading=h.1mrcu09">
            <w:r w:rsidR="00E0219E">
              <w:rPr>
                <w:color w:val="000000"/>
                <w:szCs w:val="24"/>
              </w:rPr>
              <w:tab/>
              <w:t>35</w:t>
            </w:r>
          </w:hyperlink>
        </w:p>
        <w:p w14:paraId="096BBAE0" w14:textId="77777777" w:rsidR="007C6854" w:rsidRDefault="00000000">
          <w:pPr>
            <w:pBdr>
              <w:top w:val="nil"/>
              <w:left w:val="nil"/>
              <w:bottom w:val="nil"/>
              <w:right w:val="nil"/>
              <w:between w:val="nil"/>
            </w:pBdr>
            <w:tabs>
              <w:tab w:val="right" w:pos="9016"/>
            </w:tabs>
            <w:spacing w:after="100" w:line="259" w:lineRule="auto"/>
            <w:ind w:left="220"/>
            <w:rPr>
              <w:color w:val="000000"/>
              <w:szCs w:val="24"/>
            </w:rPr>
          </w:pPr>
          <w:hyperlink w:anchor="_heading=h.2lwamvv">
            <w:r w:rsidR="00E0219E">
              <w:rPr>
                <w:rFonts w:eastAsia="Arial" w:cs="Arial"/>
                <w:color w:val="000000"/>
                <w:szCs w:val="24"/>
              </w:rPr>
              <w:t>Prevalence of Hypertension among urban poor settlers</w:t>
            </w:r>
          </w:hyperlink>
          <w:hyperlink w:anchor="_heading=h.2lwamvv">
            <w:r w:rsidR="00E0219E">
              <w:rPr>
                <w:color w:val="000000"/>
                <w:szCs w:val="24"/>
              </w:rPr>
              <w:tab/>
              <w:t>38</w:t>
            </w:r>
          </w:hyperlink>
        </w:p>
        <w:p w14:paraId="04ECC9DB" w14:textId="77777777" w:rsidR="007C6854" w:rsidRDefault="00000000">
          <w:pPr>
            <w:pBdr>
              <w:top w:val="nil"/>
              <w:left w:val="nil"/>
              <w:bottom w:val="nil"/>
              <w:right w:val="nil"/>
              <w:between w:val="nil"/>
            </w:pBdr>
            <w:tabs>
              <w:tab w:val="right" w:pos="9016"/>
            </w:tabs>
            <w:spacing w:after="100" w:line="259" w:lineRule="auto"/>
            <w:ind w:left="220"/>
            <w:rPr>
              <w:color w:val="000000"/>
              <w:szCs w:val="24"/>
            </w:rPr>
          </w:pPr>
          <w:hyperlink w:anchor="_heading=h.3l18frh">
            <w:r w:rsidR="00E0219E">
              <w:rPr>
                <w:rFonts w:eastAsia="Arial" w:cs="Arial"/>
                <w:color w:val="000000"/>
                <w:szCs w:val="24"/>
              </w:rPr>
              <w:t>Health Literacy of Urban Poor Settlers</w:t>
            </w:r>
          </w:hyperlink>
          <w:hyperlink w:anchor="_heading=h.3l18frh">
            <w:r w:rsidR="00E0219E">
              <w:rPr>
                <w:color w:val="000000"/>
                <w:szCs w:val="24"/>
              </w:rPr>
              <w:tab/>
              <w:t>41</w:t>
            </w:r>
          </w:hyperlink>
        </w:p>
        <w:p w14:paraId="0B08814F" w14:textId="77777777" w:rsidR="007C6854" w:rsidRDefault="00000000">
          <w:pPr>
            <w:pBdr>
              <w:top w:val="nil"/>
              <w:left w:val="nil"/>
              <w:bottom w:val="nil"/>
              <w:right w:val="nil"/>
              <w:between w:val="nil"/>
            </w:pBdr>
            <w:tabs>
              <w:tab w:val="right" w:pos="9016"/>
            </w:tabs>
            <w:spacing w:after="100" w:line="259" w:lineRule="auto"/>
            <w:ind w:left="440"/>
            <w:rPr>
              <w:color w:val="000000"/>
              <w:szCs w:val="24"/>
            </w:rPr>
          </w:pPr>
          <w:hyperlink w:anchor="_heading=h.206ipza">
            <w:r w:rsidR="00E0219E">
              <w:rPr>
                <w:rFonts w:eastAsia="Arial" w:cs="Arial"/>
                <w:color w:val="000000"/>
                <w:szCs w:val="24"/>
              </w:rPr>
              <w:t>Basic or Functional Health Literacy</w:t>
            </w:r>
          </w:hyperlink>
          <w:hyperlink w:anchor="_heading=h.206ipza">
            <w:r w:rsidR="00E0219E">
              <w:rPr>
                <w:color w:val="000000"/>
                <w:szCs w:val="24"/>
              </w:rPr>
              <w:tab/>
              <w:t>41</w:t>
            </w:r>
          </w:hyperlink>
        </w:p>
        <w:p w14:paraId="60556C02" w14:textId="77777777" w:rsidR="007C6854" w:rsidRDefault="00000000">
          <w:pPr>
            <w:pBdr>
              <w:top w:val="nil"/>
              <w:left w:val="nil"/>
              <w:bottom w:val="nil"/>
              <w:right w:val="nil"/>
              <w:between w:val="nil"/>
            </w:pBdr>
            <w:tabs>
              <w:tab w:val="right" w:pos="9016"/>
            </w:tabs>
            <w:spacing w:after="100" w:line="259" w:lineRule="auto"/>
            <w:ind w:left="440"/>
            <w:rPr>
              <w:color w:val="000000"/>
              <w:szCs w:val="24"/>
            </w:rPr>
          </w:pPr>
          <w:hyperlink w:anchor="_heading=h.4k668n3">
            <w:r w:rsidR="00E0219E">
              <w:rPr>
                <w:rFonts w:eastAsia="Arial" w:cs="Arial"/>
                <w:color w:val="000000"/>
                <w:szCs w:val="24"/>
              </w:rPr>
              <w:t>Communicative or Interactive Health Literacy</w:t>
            </w:r>
          </w:hyperlink>
          <w:hyperlink w:anchor="_heading=h.4k668n3">
            <w:r w:rsidR="00E0219E">
              <w:rPr>
                <w:color w:val="000000"/>
                <w:szCs w:val="24"/>
              </w:rPr>
              <w:tab/>
              <w:t>43</w:t>
            </w:r>
          </w:hyperlink>
        </w:p>
        <w:p w14:paraId="481D62AE" w14:textId="77777777" w:rsidR="007C6854" w:rsidRDefault="00000000">
          <w:pPr>
            <w:pBdr>
              <w:top w:val="nil"/>
              <w:left w:val="nil"/>
              <w:bottom w:val="nil"/>
              <w:right w:val="nil"/>
              <w:between w:val="nil"/>
            </w:pBdr>
            <w:tabs>
              <w:tab w:val="right" w:pos="9016"/>
            </w:tabs>
            <w:spacing w:after="100" w:line="259" w:lineRule="auto"/>
            <w:ind w:left="440"/>
            <w:rPr>
              <w:color w:val="000000"/>
              <w:szCs w:val="24"/>
            </w:rPr>
          </w:pPr>
          <w:hyperlink w:anchor="_heading=h.2zbgiuw">
            <w:r w:rsidR="00E0219E">
              <w:rPr>
                <w:rFonts w:eastAsia="Arial" w:cs="Arial"/>
                <w:color w:val="000000"/>
                <w:szCs w:val="24"/>
              </w:rPr>
              <w:t>Critical Health Literacy</w:t>
            </w:r>
          </w:hyperlink>
          <w:hyperlink w:anchor="_heading=h.2zbgiuw">
            <w:r w:rsidR="00E0219E">
              <w:rPr>
                <w:color w:val="000000"/>
                <w:szCs w:val="24"/>
              </w:rPr>
              <w:tab/>
              <w:t>45</w:t>
            </w:r>
          </w:hyperlink>
        </w:p>
        <w:p w14:paraId="2A5F7631" w14:textId="77777777" w:rsidR="007C6854" w:rsidRDefault="00000000">
          <w:pPr>
            <w:pBdr>
              <w:top w:val="nil"/>
              <w:left w:val="nil"/>
              <w:bottom w:val="nil"/>
              <w:right w:val="nil"/>
              <w:between w:val="nil"/>
            </w:pBdr>
            <w:tabs>
              <w:tab w:val="right" w:pos="9016"/>
            </w:tabs>
            <w:spacing w:after="100" w:line="259" w:lineRule="auto"/>
            <w:ind w:left="440"/>
            <w:rPr>
              <w:color w:val="000000"/>
              <w:szCs w:val="24"/>
            </w:rPr>
          </w:pPr>
          <w:hyperlink w:anchor="_heading=h.1egqt2p">
            <w:r w:rsidR="00E0219E">
              <w:rPr>
                <w:rFonts w:eastAsia="Arial" w:cs="Arial"/>
                <w:color w:val="000000"/>
                <w:szCs w:val="24"/>
                <w:highlight w:val="white"/>
              </w:rPr>
              <w:t>Overall or Total Health Literacy Score</w:t>
            </w:r>
          </w:hyperlink>
          <w:hyperlink w:anchor="_heading=h.1egqt2p">
            <w:r w:rsidR="00E0219E">
              <w:rPr>
                <w:color w:val="000000"/>
                <w:szCs w:val="24"/>
              </w:rPr>
              <w:tab/>
              <w:t>47</w:t>
            </w:r>
          </w:hyperlink>
        </w:p>
        <w:p w14:paraId="2B460C7F" w14:textId="77777777" w:rsidR="007C6854" w:rsidRDefault="00000000">
          <w:pPr>
            <w:pBdr>
              <w:top w:val="nil"/>
              <w:left w:val="nil"/>
              <w:bottom w:val="nil"/>
              <w:right w:val="nil"/>
              <w:between w:val="nil"/>
            </w:pBdr>
            <w:tabs>
              <w:tab w:val="right" w:pos="9016"/>
            </w:tabs>
            <w:spacing w:after="100" w:line="259" w:lineRule="auto"/>
            <w:ind w:left="220"/>
            <w:rPr>
              <w:color w:val="000000"/>
              <w:szCs w:val="24"/>
            </w:rPr>
          </w:pPr>
          <w:hyperlink w:anchor="_heading=h.3ygebqi">
            <w:r w:rsidR="00E0219E">
              <w:rPr>
                <w:rFonts w:eastAsia="Arial" w:cs="Arial"/>
                <w:color w:val="000000"/>
                <w:szCs w:val="24"/>
              </w:rPr>
              <w:t>Association of Socio-demographic variables of Urban Poor settler groups with Hypertension and Health Literacy</w:t>
            </w:r>
          </w:hyperlink>
          <w:hyperlink w:anchor="_heading=h.3ygebqi">
            <w:r w:rsidR="00E0219E">
              <w:rPr>
                <w:color w:val="000000"/>
                <w:szCs w:val="24"/>
              </w:rPr>
              <w:tab/>
              <w:t>48</w:t>
            </w:r>
          </w:hyperlink>
        </w:p>
        <w:p w14:paraId="395A1DAF" w14:textId="77777777" w:rsidR="007C6854" w:rsidRDefault="00000000">
          <w:pPr>
            <w:pBdr>
              <w:top w:val="nil"/>
              <w:left w:val="nil"/>
              <w:bottom w:val="nil"/>
              <w:right w:val="nil"/>
              <w:between w:val="nil"/>
            </w:pBdr>
            <w:tabs>
              <w:tab w:val="right" w:pos="9350"/>
            </w:tabs>
            <w:spacing w:after="100"/>
            <w:rPr>
              <w:color w:val="000000"/>
              <w:szCs w:val="24"/>
            </w:rPr>
          </w:pPr>
          <w:hyperlink w:anchor="_heading=h.2dlolyb">
            <w:r w:rsidR="00E0219E">
              <w:rPr>
                <w:rFonts w:eastAsia="Arial" w:cs="Arial"/>
                <w:b/>
                <w:color w:val="000000"/>
                <w:szCs w:val="24"/>
              </w:rPr>
              <w:t>CHAPTER V: CONCLUSION AND RECOMMENDATIONS</w:t>
            </w:r>
          </w:hyperlink>
          <w:hyperlink w:anchor="_heading=h.2dlolyb">
            <w:r w:rsidR="00E0219E">
              <w:rPr>
                <w:color w:val="000000"/>
                <w:szCs w:val="24"/>
              </w:rPr>
              <w:tab/>
              <w:t>53</w:t>
            </w:r>
          </w:hyperlink>
        </w:p>
        <w:p w14:paraId="5131893B" w14:textId="77777777" w:rsidR="007C6854" w:rsidRDefault="00000000">
          <w:pPr>
            <w:pBdr>
              <w:top w:val="nil"/>
              <w:left w:val="nil"/>
              <w:bottom w:val="nil"/>
              <w:right w:val="nil"/>
              <w:between w:val="nil"/>
            </w:pBdr>
            <w:tabs>
              <w:tab w:val="right" w:pos="9016"/>
            </w:tabs>
            <w:spacing w:after="100" w:line="259" w:lineRule="auto"/>
            <w:ind w:left="220"/>
            <w:rPr>
              <w:color w:val="000000"/>
              <w:szCs w:val="24"/>
            </w:rPr>
          </w:pPr>
          <w:hyperlink w:anchor="_heading=h.3cqmetx">
            <w:r w:rsidR="00E0219E">
              <w:rPr>
                <w:rFonts w:eastAsia="Arial" w:cs="Arial"/>
                <w:color w:val="000000"/>
                <w:szCs w:val="24"/>
              </w:rPr>
              <w:t>Recommendations</w:t>
            </w:r>
          </w:hyperlink>
          <w:hyperlink w:anchor="_heading=h.3cqmetx">
            <w:r w:rsidR="00E0219E">
              <w:rPr>
                <w:color w:val="000000"/>
                <w:szCs w:val="24"/>
              </w:rPr>
              <w:tab/>
              <w:t>54</w:t>
            </w:r>
          </w:hyperlink>
        </w:p>
        <w:p w14:paraId="746A8149" w14:textId="77777777" w:rsidR="007C6854" w:rsidRDefault="00000000">
          <w:pPr>
            <w:pBdr>
              <w:top w:val="nil"/>
              <w:left w:val="nil"/>
              <w:bottom w:val="nil"/>
              <w:right w:val="nil"/>
              <w:between w:val="nil"/>
            </w:pBdr>
            <w:tabs>
              <w:tab w:val="right" w:pos="9016"/>
            </w:tabs>
            <w:spacing w:after="100" w:line="259" w:lineRule="auto"/>
            <w:ind w:left="440"/>
            <w:rPr>
              <w:color w:val="000000"/>
              <w:szCs w:val="24"/>
            </w:rPr>
          </w:pPr>
          <w:hyperlink w:anchor="_heading=h.1rvwp1q">
            <w:r w:rsidR="00E0219E">
              <w:rPr>
                <w:rFonts w:eastAsia="Arial" w:cs="Arial"/>
                <w:color w:val="000000"/>
                <w:szCs w:val="24"/>
              </w:rPr>
              <w:t>Department of Health</w:t>
            </w:r>
          </w:hyperlink>
          <w:hyperlink w:anchor="_heading=h.1rvwp1q">
            <w:r w:rsidR="00E0219E">
              <w:rPr>
                <w:color w:val="000000"/>
                <w:szCs w:val="24"/>
              </w:rPr>
              <w:tab/>
              <w:t>54</w:t>
            </w:r>
          </w:hyperlink>
        </w:p>
        <w:p w14:paraId="34EEBA17" w14:textId="77777777" w:rsidR="007C6854" w:rsidRDefault="00000000">
          <w:pPr>
            <w:pBdr>
              <w:top w:val="nil"/>
              <w:left w:val="nil"/>
              <w:bottom w:val="nil"/>
              <w:right w:val="nil"/>
              <w:between w:val="nil"/>
            </w:pBdr>
            <w:tabs>
              <w:tab w:val="right" w:pos="9016"/>
            </w:tabs>
            <w:spacing w:after="100" w:line="259" w:lineRule="auto"/>
            <w:ind w:left="440"/>
            <w:rPr>
              <w:color w:val="000000"/>
              <w:szCs w:val="24"/>
            </w:rPr>
          </w:pPr>
          <w:hyperlink w:anchor="_heading=h.4bvk7pj">
            <w:r w:rsidR="00E0219E">
              <w:rPr>
                <w:rFonts w:eastAsia="Arial" w:cs="Arial"/>
                <w:color w:val="000000"/>
                <w:szCs w:val="24"/>
              </w:rPr>
              <w:t>Department of Education and Commission on Higher Education</w:t>
            </w:r>
          </w:hyperlink>
          <w:hyperlink w:anchor="_heading=h.4bvk7pj">
            <w:r w:rsidR="00E0219E">
              <w:rPr>
                <w:color w:val="000000"/>
                <w:szCs w:val="24"/>
              </w:rPr>
              <w:tab/>
              <w:t>54</w:t>
            </w:r>
          </w:hyperlink>
        </w:p>
        <w:p w14:paraId="4565E5D6" w14:textId="77777777" w:rsidR="007C6854" w:rsidRDefault="00000000">
          <w:pPr>
            <w:pBdr>
              <w:top w:val="nil"/>
              <w:left w:val="nil"/>
              <w:bottom w:val="nil"/>
              <w:right w:val="nil"/>
              <w:between w:val="nil"/>
            </w:pBdr>
            <w:tabs>
              <w:tab w:val="right" w:pos="9016"/>
            </w:tabs>
            <w:spacing w:after="100" w:line="259" w:lineRule="auto"/>
            <w:ind w:left="440"/>
            <w:rPr>
              <w:color w:val="000000"/>
              <w:szCs w:val="24"/>
            </w:rPr>
          </w:pPr>
          <w:hyperlink w:anchor="_heading=h.2r0uhxc">
            <w:r w:rsidR="00E0219E">
              <w:rPr>
                <w:rFonts w:eastAsia="Arial" w:cs="Arial"/>
                <w:color w:val="000000"/>
                <w:szCs w:val="24"/>
              </w:rPr>
              <w:t>Municipality of Pateros, Health Department</w:t>
            </w:r>
          </w:hyperlink>
          <w:hyperlink w:anchor="_heading=h.2r0uhxc">
            <w:r w:rsidR="00E0219E">
              <w:rPr>
                <w:color w:val="000000"/>
                <w:szCs w:val="24"/>
              </w:rPr>
              <w:tab/>
              <w:t>55</w:t>
            </w:r>
          </w:hyperlink>
        </w:p>
        <w:p w14:paraId="712F28A4" w14:textId="77777777" w:rsidR="007C6854" w:rsidRDefault="00000000">
          <w:pPr>
            <w:pBdr>
              <w:top w:val="nil"/>
              <w:left w:val="nil"/>
              <w:bottom w:val="nil"/>
              <w:right w:val="nil"/>
              <w:between w:val="nil"/>
            </w:pBdr>
            <w:tabs>
              <w:tab w:val="right" w:pos="9016"/>
            </w:tabs>
            <w:spacing w:after="100" w:line="259" w:lineRule="auto"/>
            <w:ind w:left="440"/>
            <w:rPr>
              <w:color w:val="000000"/>
              <w:szCs w:val="24"/>
            </w:rPr>
          </w:pPr>
          <w:hyperlink w:anchor="_heading=h.1664s55">
            <w:r w:rsidR="00E0219E">
              <w:rPr>
                <w:rFonts w:eastAsia="Arial" w:cs="Arial"/>
                <w:color w:val="000000"/>
                <w:szCs w:val="24"/>
              </w:rPr>
              <w:t>Future Researchers</w:t>
            </w:r>
          </w:hyperlink>
          <w:hyperlink w:anchor="_heading=h.1664s55">
            <w:r w:rsidR="00E0219E">
              <w:rPr>
                <w:color w:val="000000"/>
                <w:szCs w:val="24"/>
              </w:rPr>
              <w:tab/>
              <w:t>56</w:t>
            </w:r>
          </w:hyperlink>
        </w:p>
        <w:p w14:paraId="39371CFB" w14:textId="77777777" w:rsidR="007C6854" w:rsidRDefault="00000000">
          <w:pPr>
            <w:pBdr>
              <w:top w:val="nil"/>
              <w:left w:val="nil"/>
              <w:bottom w:val="nil"/>
              <w:right w:val="nil"/>
              <w:between w:val="nil"/>
            </w:pBdr>
            <w:tabs>
              <w:tab w:val="right" w:pos="9350"/>
            </w:tabs>
            <w:spacing w:after="100"/>
            <w:rPr>
              <w:color w:val="000000"/>
              <w:szCs w:val="24"/>
            </w:rPr>
          </w:pPr>
          <w:hyperlink w:anchor="_heading=h.3q5sasy">
            <w:r w:rsidR="00E0219E">
              <w:rPr>
                <w:rFonts w:eastAsia="Arial" w:cs="Arial"/>
                <w:b/>
                <w:color w:val="000000"/>
                <w:szCs w:val="24"/>
              </w:rPr>
              <w:t>REFERENCES</w:t>
            </w:r>
          </w:hyperlink>
          <w:hyperlink w:anchor="_heading=h.3q5sasy">
            <w:r w:rsidR="00E0219E">
              <w:rPr>
                <w:color w:val="000000"/>
                <w:szCs w:val="24"/>
              </w:rPr>
              <w:tab/>
              <w:t>57</w:t>
            </w:r>
          </w:hyperlink>
        </w:p>
        <w:p w14:paraId="125F9756" w14:textId="77777777" w:rsidR="007C6854" w:rsidRDefault="00000000">
          <w:pPr>
            <w:pBdr>
              <w:top w:val="nil"/>
              <w:left w:val="nil"/>
              <w:bottom w:val="nil"/>
              <w:right w:val="nil"/>
              <w:between w:val="nil"/>
            </w:pBdr>
            <w:tabs>
              <w:tab w:val="right" w:pos="9350"/>
            </w:tabs>
            <w:spacing w:after="100"/>
            <w:rPr>
              <w:color w:val="000000"/>
              <w:szCs w:val="24"/>
            </w:rPr>
          </w:pPr>
          <w:hyperlink w:anchor="_heading=h.25b2l0r">
            <w:r w:rsidR="00E0219E">
              <w:rPr>
                <w:rFonts w:eastAsia="Arial" w:cs="Arial"/>
                <w:b/>
                <w:color w:val="000000"/>
                <w:szCs w:val="24"/>
              </w:rPr>
              <w:t>APPENDICES</w:t>
            </w:r>
          </w:hyperlink>
          <w:hyperlink w:anchor="_heading=h.25b2l0r">
            <w:r w:rsidR="00E0219E">
              <w:rPr>
                <w:color w:val="000000"/>
                <w:szCs w:val="24"/>
              </w:rPr>
              <w:tab/>
              <w:t>79</w:t>
            </w:r>
          </w:hyperlink>
        </w:p>
        <w:p w14:paraId="783D8306" w14:textId="77777777" w:rsidR="007C6854" w:rsidRDefault="00000000">
          <w:pPr>
            <w:pBdr>
              <w:top w:val="nil"/>
              <w:left w:val="nil"/>
              <w:bottom w:val="nil"/>
              <w:right w:val="nil"/>
              <w:between w:val="nil"/>
            </w:pBdr>
            <w:tabs>
              <w:tab w:val="right" w:pos="9016"/>
            </w:tabs>
            <w:spacing w:after="100" w:line="259" w:lineRule="auto"/>
            <w:ind w:left="220"/>
            <w:rPr>
              <w:color w:val="000000"/>
              <w:szCs w:val="24"/>
            </w:rPr>
          </w:pPr>
          <w:hyperlink w:anchor="_heading=h.kgcv8k">
            <w:r w:rsidR="00E0219E">
              <w:rPr>
                <w:rFonts w:eastAsia="Arial" w:cs="Arial"/>
                <w:color w:val="000000"/>
                <w:szCs w:val="24"/>
              </w:rPr>
              <w:t>Appendix A: Curriculum Vitae of the Student</w:t>
            </w:r>
          </w:hyperlink>
          <w:hyperlink w:anchor="_heading=h.kgcv8k">
            <w:r w:rsidR="00E0219E">
              <w:rPr>
                <w:color w:val="000000"/>
                <w:szCs w:val="24"/>
              </w:rPr>
              <w:tab/>
              <w:t>80</w:t>
            </w:r>
          </w:hyperlink>
        </w:p>
        <w:p w14:paraId="6AD873A4" w14:textId="77777777" w:rsidR="007C6854" w:rsidRDefault="00000000">
          <w:pPr>
            <w:pBdr>
              <w:top w:val="nil"/>
              <w:left w:val="nil"/>
              <w:bottom w:val="nil"/>
              <w:right w:val="nil"/>
              <w:between w:val="nil"/>
            </w:pBdr>
            <w:tabs>
              <w:tab w:val="right" w:pos="9016"/>
            </w:tabs>
            <w:spacing w:after="100" w:line="259" w:lineRule="auto"/>
            <w:ind w:left="220"/>
            <w:rPr>
              <w:color w:val="000000"/>
              <w:szCs w:val="24"/>
            </w:rPr>
          </w:pPr>
          <w:hyperlink w:anchor="_heading=h.34g0dwd">
            <w:r w:rsidR="00E0219E">
              <w:rPr>
                <w:rFonts w:eastAsia="Arial" w:cs="Arial"/>
                <w:color w:val="000000"/>
                <w:szCs w:val="24"/>
              </w:rPr>
              <w:t>Appendix B: UPOU-IREC Certificate of Approval</w:t>
            </w:r>
          </w:hyperlink>
          <w:hyperlink w:anchor="_heading=h.34g0dwd">
            <w:r w:rsidR="00E0219E">
              <w:rPr>
                <w:color w:val="000000"/>
                <w:szCs w:val="24"/>
              </w:rPr>
              <w:tab/>
              <w:t>88</w:t>
            </w:r>
          </w:hyperlink>
        </w:p>
        <w:p w14:paraId="0CD93B2A" w14:textId="77777777" w:rsidR="007C6854" w:rsidRDefault="00000000">
          <w:pPr>
            <w:pBdr>
              <w:top w:val="nil"/>
              <w:left w:val="nil"/>
              <w:bottom w:val="nil"/>
              <w:right w:val="nil"/>
              <w:between w:val="nil"/>
            </w:pBdr>
            <w:tabs>
              <w:tab w:val="right" w:pos="9016"/>
            </w:tabs>
            <w:spacing w:after="100" w:line="259" w:lineRule="auto"/>
            <w:ind w:left="220"/>
            <w:rPr>
              <w:color w:val="000000"/>
              <w:szCs w:val="24"/>
            </w:rPr>
          </w:pPr>
          <w:hyperlink w:anchor="_heading=h.1jlao46">
            <w:r w:rsidR="00E0219E">
              <w:rPr>
                <w:rFonts w:eastAsia="Arial" w:cs="Arial"/>
                <w:color w:val="000000"/>
                <w:szCs w:val="24"/>
              </w:rPr>
              <w:t>Appendix C. Memorandum of Understanding between the researcher and the Barangay Health Center</w:t>
            </w:r>
          </w:hyperlink>
          <w:hyperlink w:anchor="_heading=h.1jlao46">
            <w:r w:rsidR="00E0219E">
              <w:rPr>
                <w:color w:val="000000"/>
                <w:szCs w:val="24"/>
              </w:rPr>
              <w:tab/>
              <w:t>89</w:t>
            </w:r>
          </w:hyperlink>
        </w:p>
        <w:p w14:paraId="04BF72FC" w14:textId="77777777" w:rsidR="007C6854" w:rsidRDefault="00000000">
          <w:pPr>
            <w:pBdr>
              <w:top w:val="nil"/>
              <w:left w:val="nil"/>
              <w:bottom w:val="nil"/>
              <w:right w:val="nil"/>
              <w:between w:val="nil"/>
            </w:pBdr>
            <w:tabs>
              <w:tab w:val="right" w:pos="9016"/>
            </w:tabs>
            <w:spacing w:after="100" w:line="259" w:lineRule="auto"/>
            <w:ind w:left="220"/>
            <w:rPr>
              <w:color w:val="000000"/>
              <w:szCs w:val="24"/>
            </w:rPr>
          </w:pPr>
          <w:hyperlink w:anchor="_heading=h.43ky6rz">
            <w:r w:rsidR="00E0219E">
              <w:rPr>
                <w:rFonts w:eastAsia="Arial" w:cs="Arial"/>
                <w:color w:val="000000"/>
                <w:szCs w:val="24"/>
              </w:rPr>
              <w:t>Appendix D: Assessment and ICF Agreement</w:t>
            </w:r>
          </w:hyperlink>
          <w:hyperlink w:anchor="_heading=h.43ky6rz">
            <w:r w:rsidR="00E0219E">
              <w:rPr>
                <w:color w:val="000000"/>
                <w:szCs w:val="24"/>
              </w:rPr>
              <w:tab/>
              <w:t>93</w:t>
            </w:r>
          </w:hyperlink>
        </w:p>
        <w:p w14:paraId="3FAACDEB" w14:textId="77777777" w:rsidR="007C6854" w:rsidRDefault="00000000">
          <w:pPr>
            <w:pBdr>
              <w:top w:val="nil"/>
              <w:left w:val="nil"/>
              <w:bottom w:val="nil"/>
              <w:right w:val="nil"/>
              <w:between w:val="nil"/>
            </w:pBdr>
            <w:tabs>
              <w:tab w:val="right" w:pos="9016"/>
            </w:tabs>
            <w:spacing w:after="100" w:line="259" w:lineRule="auto"/>
            <w:ind w:left="220"/>
            <w:rPr>
              <w:color w:val="000000"/>
              <w:szCs w:val="24"/>
            </w:rPr>
          </w:pPr>
          <w:hyperlink w:anchor="_heading=h.2iq8gzs">
            <w:r w:rsidR="00E0219E">
              <w:rPr>
                <w:rFonts w:eastAsia="Arial" w:cs="Arial"/>
                <w:color w:val="000000"/>
                <w:szCs w:val="24"/>
              </w:rPr>
              <w:t>Appendix E: Survey Questionnaire</w:t>
            </w:r>
          </w:hyperlink>
          <w:hyperlink w:anchor="_heading=h.2iq8gzs">
            <w:r w:rsidR="00E0219E">
              <w:rPr>
                <w:color w:val="000000"/>
                <w:szCs w:val="24"/>
              </w:rPr>
              <w:tab/>
              <w:t>93</w:t>
            </w:r>
          </w:hyperlink>
        </w:p>
        <w:p w14:paraId="16AA75D5" w14:textId="77777777" w:rsidR="007C6854" w:rsidRDefault="00000000">
          <w:pPr>
            <w:pBdr>
              <w:top w:val="nil"/>
              <w:left w:val="nil"/>
              <w:bottom w:val="nil"/>
              <w:right w:val="nil"/>
              <w:between w:val="nil"/>
            </w:pBdr>
            <w:tabs>
              <w:tab w:val="right" w:pos="9016"/>
            </w:tabs>
            <w:spacing w:after="100" w:line="259" w:lineRule="auto"/>
            <w:ind w:left="220"/>
            <w:rPr>
              <w:color w:val="000000"/>
              <w:szCs w:val="24"/>
            </w:rPr>
          </w:pPr>
          <w:hyperlink w:anchor="_heading=h.xvir7l">
            <w:r w:rsidR="00E0219E">
              <w:rPr>
                <w:rFonts w:eastAsia="Arial" w:cs="Arial"/>
                <w:color w:val="000000"/>
                <w:szCs w:val="24"/>
              </w:rPr>
              <w:t>Appendix F: International Society of Hypertension Guidelines</w:t>
            </w:r>
          </w:hyperlink>
          <w:hyperlink w:anchor="_heading=h.xvir7l">
            <w:r w:rsidR="00E0219E">
              <w:rPr>
                <w:color w:val="000000"/>
                <w:szCs w:val="24"/>
              </w:rPr>
              <w:tab/>
              <w:t>94</w:t>
            </w:r>
          </w:hyperlink>
        </w:p>
        <w:p w14:paraId="24772E78" w14:textId="77777777" w:rsidR="007C6854" w:rsidRDefault="00000000">
          <w:pPr>
            <w:pBdr>
              <w:top w:val="nil"/>
              <w:left w:val="nil"/>
              <w:bottom w:val="nil"/>
              <w:right w:val="nil"/>
              <w:between w:val="nil"/>
            </w:pBdr>
            <w:tabs>
              <w:tab w:val="right" w:pos="9016"/>
            </w:tabs>
            <w:spacing w:after="100" w:line="259" w:lineRule="auto"/>
            <w:ind w:left="220"/>
            <w:rPr>
              <w:color w:val="000000"/>
              <w:szCs w:val="24"/>
            </w:rPr>
          </w:pPr>
          <w:hyperlink w:anchor="_heading=h.3hv69ve">
            <w:r w:rsidR="00E0219E">
              <w:rPr>
                <w:rFonts w:eastAsia="Arial" w:cs="Arial"/>
                <w:color w:val="000000"/>
                <w:szCs w:val="24"/>
              </w:rPr>
              <w:t>Appendix G: Sample Size Computation</w:t>
            </w:r>
          </w:hyperlink>
          <w:hyperlink w:anchor="_heading=h.3hv69ve">
            <w:r w:rsidR="00E0219E">
              <w:rPr>
                <w:color w:val="000000"/>
                <w:szCs w:val="24"/>
              </w:rPr>
              <w:tab/>
              <w:t>95</w:t>
            </w:r>
          </w:hyperlink>
        </w:p>
        <w:p w14:paraId="0B3E6D04" w14:textId="77777777" w:rsidR="007C6854" w:rsidRDefault="00000000">
          <w:pPr>
            <w:pBdr>
              <w:top w:val="nil"/>
              <w:left w:val="nil"/>
              <w:bottom w:val="nil"/>
              <w:right w:val="nil"/>
              <w:between w:val="nil"/>
            </w:pBdr>
            <w:tabs>
              <w:tab w:val="right" w:pos="9016"/>
            </w:tabs>
            <w:spacing w:after="100" w:line="259" w:lineRule="auto"/>
            <w:ind w:left="220"/>
            <w:rPr>
              <w:color w:val="000000"/>
              <w:szCs w:val="24"/>
            </w:rPr>
          </w:pPr>
          <w:hyperlink w:anchor="_heading=h.1x0gk37">
            <w:r w:rsidR="00E0219E">
              <w:rPr>
                <w:rFonts w:eastAsia="Arial" w:cs="Arial"/>
                <w:color w:val="000000"/>
                <w:szCs w:val="24"/>
              </w:rPr>
              <w:t>Appendix H: Estimation of the Adult Population, 20 years old and above</w:t>
            </w:r>
          </w:hyperlink>
          <w:hyperlink w:anchor="_heading=h.1x0gk37">
            <w:r w:rsidR="00E0219E">
              <w:rPr>
                <w:color w:val="000000"/>
                <w:szCs w:val="24"/>
              </w:rPr>
              <w:tab/>
              <w:t>97</w:t>
            </w:r>
          </w:hyperlink>
        </w:p>
        <w:p w14:paraId="74E8E780" w14:textId="77777777" w:rsidR="007C6854" w:rsidRDefault="00000000">
          <w:pPr>
            <w:pBdr>
              <w:top w:val="nil"/>
              <w:left w:val="nil"/>
              <w:bottom w:val="nil"/>
              <w:right w:val="nil"/>
              <w:between w:val="nil"/>
            </w:pBdr>
            <w:tabs>
              <w:tab w:val="right" w:pos="9016"/>
            </w:tabs>
            <w:spacing w:after="100" w:line="259" w:lineRule="auto"/>
            <w:ind w:left="220"/>
            <w:rPr>
              <w:color w:val="000000"/>
              <w:szCs w:val="24"/>
            </w:rPr>
          </w:pPr>
          <w:hyperlink w:anchor="_heading=h.4h042r0">
            <w:r w:rsidR="00E0219E">
              <w:rPr>
                <w:rFonts w:eastAsia="Arial" w:cs="Arial"/>
                <w:color w:val="000000"/>
                <w:szCs w:val="24"/>
              </w:rPr>
              <w:t>Appendix I. Summary of the Research Construct</w:t>
            </w:r>
          </w:hyperlink>
          <w:hyperlink w:anchor="_heading=h.4h042r0">
            <w:r w:rsidR="00E0219E">
              <w:rPr>
                <w:color w:val="000000"/>
                <w:szCs w:val="24"/>
              </w:rPr>
              <w:tab/>
              <w:t>98</w:t>
            </w:r>
          </w:hyperlink>
        </w:p>
        <w:p w14:paraId="26060A6B" w14:textId="77777777" w:rsidR="007C6854" w:rsidRDefault="00000000">
          <w:pPr>
            <w:pBdr>
              <w:top w:val="nil"/>
              <w:left w:val="nil"/>
              <w:bottom w:val="nil"/>
              <w:right w:val="nil"/>
              <w:between w:val="nil"/>
            </w:pBdr>
            <w:tabs>
              <w:tab w:val="right" w:pos="9016"/>
            </w:tabs>
            <w:spacing w:after="100" w:line="259" w:lineRule="auto"/>
            <w:ind w:left="220"/>
            <w:rPr>
              <w:color w:val="000000"/>
              <w:szCs w:val="24"/>
            </w:rPr>
          </w:pPr>
          <w:hyperlink w:anchor="_heading=h.2w5ecyt">
            <w:r w:rsidR="00E0219E">
              <w:rPr>
                <w:rFonts w:eastAsia="Arial" w:cs="Arial"/>
                <w:color w:val="000000"/>
                <w:szCs w:val="24"/>
              </w:rPr>
              <w:t>Appendix J: Database and Rscript file on Data Analysis</w:t>
            </w:r>
          </w:hyperlink>
          <w:hyperlink w:anchor="_heading=h.2w5ecyt">
            <w:r w:rsidR="00E0219E">
              <w:rPr>
                <w:color w:val="000000"/>
                <w:szCs w:val="24"/>
              </w:rPr>
              <w:tab/>
              <w:t>100</w:t>
            </w:r>
          </w:hyperlink>
        </w:p>
        <w:p w14:paraId="50CA7A85" w14:textId="77777777" w:rsidR="007C6854" w:rsidRDefault="00E0219E">
          <w:pPr>
            <w:pBdr>
              <w:top w:val="nil"/>
              <w:left w:val="nil"/>
              <w:bottom w:val="nil"/>
              <w:right w:val="nil"/>
              <w:between w:val="nil"/>
            </w:pBdr>
            <w:tabs>
              <w:tab w:val="right" w:pos="9350"/>
            </w:tabs>
            <w:spacing w:after="100" w:line="259" w:lineRule="auto"/>
            <w:ind w:left="220"/>
            <w:rPr>
              <w:color w:val="000000"/>
            </w:rPr>
          </w:pPr>
          <w:r>
            <w:fldChar w:fldCharType="end"/>
          </w:r>
        </w:p>
      </w:sdtContent>
    </w:sdt>
    <w:p w14:paraId="4B476795" w14:textId="77777777" w:rsidR="00E77ABE" w:rsidRDefault="00E77ABE">
      <w:pPr>
        <w:shd w:val="clear" w:color="auto" w:fill="FFFFFF"/>
        <w:spacing w:after="0" w:line="360" w:lineRule="auto"/>
        <w:jc w:val="center"/>
        <w:rPr>
          <w:rFonts w:eastAsia="Arial" w:cs="Arial"/>
          <w:b/>
          <w:szCs w:val="24"/>
        </w:rPr>
        <w:sectPr w:rsidR="00E77ABE">
          <w:footerReference w:type="default" r:id="rId28"/>
          <w:pgSz w:w="11906" w:h="16838"/>
          <w:pgMar w:top="1440" w:right="1440" w:bottom="1440" w:left="1440" w:header="0" w:footer="0" w:gutter="0"/>
          <w:cols w:space="720"/>
        </w:sectPr>
      </w:pPr>
    </w:p>
    <w:p w14:paraId="0D5D8E1B" w14:textId="77777777" w:rsidR="007C6854" w:rsidRDefault="00E0219E">
      <w:pPr>
        <w:shd w:val="clear" w:color="auto" w:fill="FFFFFF"/>
        <w:spacing w:after="0" w:line="360" w:lineRule="auto"/>
        <w:jc w:val="center"/>
        <w:rPr>
          <w:rFonts w:eastAsia="Arial" w:cs="Arial"/>
          <w:szCs w:val="24"/>
        </w:rPr>
      </w:pPr>
      <w:r>
        <w:rPr>
          <w:rFonts w:eastAsia="Arial" w:cs="Arial"/>
          <w:b/>
          <w:szCs w:val="24"/>
        </w:rPr>
        <w:lastRenderedPageBreak/>
        <w:t>List of Tables</w:t>
      </w:r>
      <w:r>
        <w:rPr>
          <w:rFonts w:eastAsia="Arial" w:cs="Arial"/>
          <w:szCs w:val="24"/>
        </w:rPr>
        <w:t xml:space="preserve"> </w:t>
      </w:r>
    </w:p>
    <w:p w14:paraId="59216684" w14:textId="77777777" w:rsidR="007C6854" w:rsidRDefault="007C6854">
      <w:pPr>
        <w:shd w:val="clear" w:color="auto" w:fill="FFFFFF"/>
        <w:spacing w:after="0" w:line="360" w:lineRule="auto"/>
        <w:jc w:val="center"/>
        <w:rPr>
          <w:rFonts w:eastAsia="Arial" w:cs="Arial"/>
          <w:szCs w:val="24"/>
        </w:rPr>
      </w:pPr>
    </w:p>
    <w:p w14:paraId="7166C572" w14:textId="77777777" w:rsidR="007C6854" w:rsidRDefault="00E0219E">
      <w:pPr>
        <w:shd w:val="clear" w:color="auto" w:fill="FFFFFF"/>
        <w:spacing w:after="0" w:line="360" w:lineRule="auto"/>
        <w:jc w:val="both"/>
        <w:rPr>
          <w:rFonts w:eastAsia="Arial" w:cs="Arial"/>
          <w:szCs w:val="24"/>
        </w:rPr>
      </w:pPr>
      <w:r>
        <w:rPr>
          <w:rFonts w:eastAsia="Arial" w:cs="Arial"/>
          <w:b/>
          <w:szCs w:val="24"/>
        </w:rPr>
        <w:t xml:space="preserve">Table 1: </w:t>
      </w:r>
      <w:r>
        <w:rPr>
          <w:rFonts w:eastAsia="Arial" w:cs="Arial"/>
          <w:szCs w:val="24"/>
        </w:rPr>
        <w:t>Age-specific hypertension prevalence in high-income, ………………….</w:t>
      </w:r>
      <w:r>
        <w:rPr>
          <w:rFonts w:eastAsia="Arial" w:cs="Arial"/>
          <w:szCs w:val="24"/>
        </w:rPr>
        <w:tab/>
        <w:t>13</w:t>
      </w:r>
    </w:p>
    <w:p w14:paraId="0EB18B0C" w14:textId="77777777" w:rsidR="007C6854" w:rsidRDefault="00E0219E">
      <w:pPr>
        <w:shd w:val="clear" w:color="auto" w:fill="FFFFFF"/>
        <w:spacing w:after="0" w:line="360" w:lineRule="auto"/>
        <w:jc w:val="both"/>
        <w:rPr>
          <w:rFonts w:eastAsia="Arial" w:cs="Arial"/>
          <w:szCs w:val="24"/>
        </w:rPr>
      </w:pPr>
      <w:r>
        <w:rPr>
          <w:rFonts w:eastAsia="Arial" w:cs="Arial"/>
          <w:szCs w:val="24"/>
        </w:rPr>
        <w:t xml:space="preserve">and low- and middle-income countries, 2010 </w:t>
      </w:r>
    </w:p>
    <w:p w14:paraId="4C2FFCBD" w14:textId="77777777" w:rsidR="007C6854" w:rsidRDefault="00E0219E">
      <w:pPr>
        <w:shd w:val="clear" w:color="auto" w:fill="FFFFFF"/>
        <w:spacing w:after="0" w:line="360" w:lineRule="auto"/>
        <w:jc w:val="both"/>
        <w:rPr>
          <w:rFonts w:eastAsia="Arial" w:cs="Arial"/>
          <w:szCs w:val="24"/>
        </w:rPr>
      </w:pPr>
      <w:r>
        <w:rPr>
          <w:rFonts w:eastAsia="Arial" w:cs="Arial"/>
          <w:b/>
          <w:szCs w:val="24"/>
        </w:rPr>
        <w:t>Table 2:</w:t>
      </w:r>
      <w:r>
        <w:rPr>
          <w:rFonts w:eastAsia="Arial" w:cs="Arial"/>
          <w:szCs w:val="24"/>
        </w:rPr>
        <w:t xml:space="preserve"> Hypertension Cases Seen at the Primary Health Facilities, …………</w:t>
      </w:r>
      <w:proofErr w:type="gramStart"/>
      <w:r>
        <w:rPr>
          <w:rFonts w:eastAsia="Arial" w:cs="Arial"/>
          <w:szCs w:val="24"/>
        </w:rPr>
        <w:t>…..</w:t>
      </w:r>
      <w:proofErr w:type="gramEnd"/>
      <w:r>
        <w:rPr>
          <w:rFonts w:eastAsia="Arial" w:cs="Arial"/>
          <w:szCs w:val="24"/>
        </w:rPr>
        <w:tab/>
        <w:t>14</w:t>
      </w:r>
    </w:p>
    <w:p w14:paraId="67FFAD08" w14:textId="77777777" w:rsidR="007C6854" w:rsidRDefault="00E0219E">
      <w:pPr>
        <w:shd w:val="clear" w:color="auto" w:fill="FFFFFF"/>
        <w:spacing w:after="0" w:line="360" w:lineRule="auto"/>
        <w:jc w:val="both"/>
        <w:rPr>
          <w:rFonts w:eastAsia="Arial" w:cs="Arial"/>
          <w:szCs w:val="24"/>
        </w:rPr>
      </w:pPr>
      <w:r>
        <w:rPr>
          <w:rFonts w:eastAsia="Arial" w:cs="Arial"/>
          <w:szCs w:val="24"/>
        </w:rPr>
        <w:t xml:space="preserve">Pateros, 2015-2018 </w:t>
      </w:r>
    </w:p>
    <w:p w14:paraId="569E0BF5" w14:textId="77777777" w:rsidR="007C6854" w:rsidRDefault="00E0219E">
      <w:pPr>
        <w:shd w:val="clear" w:color="auto" w:fill="FFFFFF"/>
        <w:spacing w:after="0" w:line="360" w:lineRule="auto"/>
        <w:jc w:val="both"/>
        <w:rPr>
          <w:rFonts w:eastAsia="Arial" w:cs="Arial"/>
          <w:szCs w:val="24"/>
        </w:rPr>
      </w:pPr>
      <w:r>
        <w:rPr>
          <w:rFonts w:eastAsia="Arial" w:cs="Arial"/>
          <w:b/>
          <w:szCs w:val="24"/>
        </w:rPr>
        <w:t>Table 3:</w:t>
      </w:r>
      <w:r>
        <w:rPr>
          <w:rFonts w:eastAsia="Arial" w:cs="Arial"/>
          <w:szCs w:val="24"/>
        </w:rPr>
        <w:t xml:space="preserve"> </w:t>
      </w:r>
      <w:proofErr w:type="spellStart"/>
      <w:r>
        <w:rPr>
          <w:rFonts w:eastAsia="Arial" w:cs="Arial"/>
          <w:szCs w:val="24"/>
        </w:rPr>
        <w:t>Nutbeam</w:t>
      </w:r>
      <w:proofErr w:type="spellEnd"/>
      <w:r>
        <w:rPr>
          <w:rFonts w:eastAsia="Arial" w:cs="Arial"/>
          <w:szCs w:val="24"/>
        </w:rPr>
        <w:t xml:space="preserve"> Schema and Health Literacy Questionnaire </w:t>
      </w:r>
    </w:p>
    <w:p w14:paraId="083DA01B" w14:textId="77777777" w:rsidR="007C6854" w:rsidRDefault="00E0219E">
      <w:pPr>
        <w:shd w:val="clear" w:color="auto" w:fill="FFFFFF"/>
        <w:spacing w:after="0" w:line="360" w:lineRule="auto"/>
        <w:jc w:val="both"/>
        <w:rPr>
          <w:rFonts w:eastAsia="Arial" w:cs="Arial"/>
          <w:szCs w:val="24"/>
        </w:rPr>
      </w:pPr>
      <w:r>
        <w:rPr>
          <w:rFonts w:eastAsia="Arial" w:cs="Arial"/>
          <w:szCs w:val="24"/>
        </w:rPr>
        <w:t>Domain Categorization ………………………………………………………………….</w:t>
      </w:r>
      <w:r>
        <w:rPr>
          <w:rFonts w:eastAsia="Arial" w:cs="Arial"/>
          <w:szCs w:val="24"/>
        </w:rPr>
        <w:tab/>
        <w:t>20</w:t>
      </w:r>
    </w:p>
    <w:p w14:paraId="3F33E714" w14:textId="77777777" w:rsidR="007C6854" w:rsidRDefault="00E0219E">
      <w:pPr>
        <w:shd w:val="clear" w:color="auto" w:fill="FFFFFF"/>
        <w:spacing w:after="0" w:line="360" w:lineRule="auto"/>
        <w:jc w:val="both"/>
        <w:rPr>
          <w:rFonts w:eastAsia="Arial" w:cs="Arial"/>
          <w:szCs w:val="24"/>
        </w:rPr>
      </w:pPr>
      <w:r>
        <w:rPr>
          <w:rFonts w:eastAsia="Arial" w:cs="Arial"/>
          <w:b/>
          <w:szCs w:val="24"/>
        </w:rPr>
        <w:t xml:space="preserve">Table 4: </w:t>
      </w:r>
      <w:r>
        <w:rPr>
          <w:rFonts w:eastAsia="Arial" w:cs="Arial"/>
          <w:szCs w:val="24"/>
        </w:rPr>
        <w:t xml:space="preserve">Distribution of Frequency and Percentage </w:t>
      </w:r>
    </w:p>
    <w:p w14:paraId="4534B7BE" w14:textId="77777777" w:rsidR="007C6854" w:rsidRDefault="00E0219E">
      <w:pPr>
        <w:shd w:val="clear" w:color="auto" w:fill="FFFFFF"/>
        <w:spacing w:after="0" w:line="360" w:lineRule="auto"/>
        <w:jc w:val="both"/>
        <w:rPr>
          <w:rFonts w:eastAsia="Arial" w:cs="Arial"/>
          <w:szCs w:val="24"/>
        </w:rPr>
      </w:pPr>
      <w:r>
        <w:rPr>
          <w:rFonts w:eastAsia="Arial" w:cs="Arial"/>
          <w:szCs w:val="24"/>
        </w:rPr>
        <w:t xml:space="preserve">Socio-demographic Profiles (Sex, Age Group, Marital Status, </w:t>
      </w:r>
    </w:p>
    <w:p w14:paraId="1279C6D3" w14:textId="77777777" w:rsidR="007C6854" w:rsidRDefault="00E0219E">
      <w:pPr>
        <w:shd w:val="clear" w:color="auto" w:fill="FFFFFF"/>
        <w:spacing w:after="0" w:line="360" w:lineRule="auto"/>
        <w:jc w:val="both"/>
        <w:rPr>
          <w:rFonts w:eastAsia="Arial" w:cs="Arial"/>
          <w:szCs w:val="24"/>
        </w:rPr>
      </w:pPr>
      <w:r>
        <w:rPr>
          <w:rFonts w:eastAsia="Arial" w:cs="Arial"/>
          <w:szCs w:val="24"/>
        </w:rPr>
        <w:t xml:space="preserve">Religious Affiliation, Ethnic or Cultural Sub-group, </w:t>
      </w:r>
    </w:p>
    <w:p w14:paraId="64CD351D" w14:textId="77777777" w:rsidR="007C6854" w:rsidRDefault="00E0219E">
      <w:pPr>
        <w:shd w:val="clear" w:color="auto" w:fill="FFFFFF"/>
        <w:spacing w:after="0" w:line="360" w:lineRule="auto"/>
        <w:jc w:val="both"/>
        <w:rPr>
          <w:rFonts w:eastAsia="Arial" w:cs="Arial"/>
          <w:szCs w:val="24"/>
        </w:rPr>
      </w:pPr>
      <w:r>
        <w:rPr>
          <w:rFonts w:eastAsia="Arial" w:cs="Arial"/>
          <w:szCs w:val="24"/>
        </w:rPr>
        <w:t>Health Insurance Status and Wealth Status) of Urban Poor Settlers …………......</w:t>
      </w:r>
      <w:r>
        <w:rPr>
          <w:rFonts w:eastAsia="Arial" w:cs="Arial"/>
          <w:szCs w:val="24"/>
        </w:rPr>
        <w:tab/>
        <w:t>38</w:t>
      </w:r>
    </w:p>
    <w:p w14:paraId="2F7B76AC" w14:textId="77777777" w:rsidR="007C6854" w:rsidRDefault="00E0219E">
      <w:pPr>
        <w:shd w:val="clear" w:color="auto" w:fill="FFFFFF"/>
        <w:spacing w:after="0" w:line="360" w:lineRule="auto"/>
        <w:jc w:val="both"/>
        <w:rPr>
          <w:rFonts w:eastAsia="Arial" w:cs="Arial"/>
          <w:szCs w:val="24"/>
        </w:rPr>
      </w:pPr>
      <w:r>
        <w:rPr>
          <w:rFonts w:eastAsia="Arial" w:cs="Arial"/>
          <w:b/>
          <w:szCs w:val="24"/>
        </w:rPr>
        <w:t xml:space="preserve">Table 5: </w:t>
      </w:r>
      <w:r>
        <w:rPr>
          <w:rFonts w:eastAsia="Arial" w:cs="Arial"/>
          <w:szCs w:val="24"/>
        </w:rPr>
        <w:t xml:space="preserve">Distribution of Frequency and Percentage of </w:t>
      </w:r>
    </w:p>
    <w:p w14:paraId="2E8475DC" w14:textId="77777777" w:rsidR="007C6854" w:rsidRDefault="00E0219E">
      <w:pPr>
        <w:shd w:val="clear" w:color="auto" w:fill="FFFFFF"/>
        <w:spacing w:after="0" w:line="360" w:lineRule="auto"/>
        <w:jc w:val="both"/>
        <w:rPr>
          <w:rFonts w:eastAsia="Arial" w:cs="Arial"/>
          <w:szCs w:val="24"/>
        </w:rPr>
      </w:pPr>
      <w:r>
        <w:rPr>
          <w:rFonts w:eastAsia="Arial" w:cs="Arial"/>
          <w:szCs w:val="24"/>
        </w:rPr>
        <w:t xml:space="preserve">Respondents with and without Hypertension based on </w:t>
      </w:r>
    </w:p>
    <w:p w14:paraId="2AAA3671" w14:textId="77777777" w:rsidR="007C6854" w:rsidRDefault="00E0219E">
      <w:pPr>
        <w:shd w:val="clear" w:color="auto" w:fill="FFFFFF"/>
        <w:spacing w:after="0" w:line="360" w:lineRule="auto"/>
        <w:jc w:val="both"/>
        <w:rPr>
          <w:rFonts w:eastAsia="Arial" w:cs="Arial"/>
          <w:szCs w:val="24"/>
        </w:rPr>
      </w:pPr>
      <w:r>
        <w:rPr>
          <w:rFonts w:eastAsia="Arial" w:cs="Arial"/>
          <w:szCs w:val="24"/>
        </w:rPr>
        <w:t xml:space="preserve">the International Society of Hypertension </w:t>
      </w:r>
      <w:r>
        <w:rPr>
          <w:rFonts w:eastAsia="Arial" w:cs="Arial"/>
          <w:i/>
          <w:szCs w:val="24"/>
        </w:rPr>
        <w:t>(N = 151)</w:t>
      </w:r>
      <w:r>
        <w:rPr>
          <w:rFonts w:eastAsia="Arial" w:cs="Arial"/>
          <w:szCs w:val="24"/>
        </w:rPr>
        <w:t xml:space="preserve"> …………………………………</w:t>
      </w:r>
      <w:r>
        <w:rPr>
          <w:rFonts w:eastAsia="Arial" w:cs="Arial"/>
          <w:szCs w:val="24"/>
        </w:rPr>
        <w:tab/>
        <w:t>41</w:t>
      </w:r>
    </w:p>
    <w:p w14:paraId="5EF74565" w14:textId="77777777" w:rsidR="007C6854" w:rsidRDefault="00E0219E">
      <w:pPr>
        <w:shd w:val="clear" w:color="auto" w:fill="FFFFFF"/>
        <w:spacing w:after="0" w:line="360" w:lineRule="auto"/>
        <w:jc w:val="both"/>
        <w:rPr>
          <w:rFonts w:eastAsia="Arial" w:cs="Arial"/>
          <w:szCs w:val="24"/>
        </w:rPr>
      </w:pPr>
      <w:r>
        <w:rPr>
          <w:rFonts w:eastAsia="Arial" w:cs="Arial"/>
          <w:b/>
          <w:szCs w:val="24"/>
        </w:rPr>
        <w:t>Table 6:</w:t>
      </w:r>
      <w:r>
        <w:rPr>
          <w:rFonts w:eastAsia="Arial" w:cs="Arial"/>
          <w:szCs w:val="24"/>
        </w:rPr>
        <w:t xml:space="preserve"> Frequency and Percentage Distribution of Reported </w:t>
      </w:r>
    </w:p>
    <w:p w14:paraId="4F2E244F" w14:textId="77777777" w:rsidR="007C6854" w:rsidRDefault="00E0219E">
      <w:pPr>
        <w:shd w:val="clear" w:color="auto" w:fill="FFFFFF"/>
        <w:spacing w:after="0" w:line="360" w:lineRule="auto"/>
        <w:jc w:val="both"/>
        <w:rPr>
          <w:rFonts w:eastAsia="Arial" w:cs="Arial"/>
          <w:szCs w:val="24"/>
        </w:rPr>
      </w:pPr>
      <w:r>
        <w:rPr>
          <w:rFonts w:eastAsia="Arial" w:cs="Arial"/>
          <w:szCs w:val="24"/>
        </w:rPr>
        <w:t>History of Blood Pressure Taken in the Past among Respondents</w:t>
      </w:r>
    </w:p>
    <w:p w14:paraId="3833C4C4" w14:textId="77777777" w:rsidR="007C6854" w:rsidRDefault="00E0219E">
      <w:pPr>
        <w:shd w:val="clear" w:color="auto" w:fill="FFFFFF"/>
        <w:spacing w:after="0" w:line="360" w:lineRule="auto"/>
        <w:jc w:val="both"/>
        <w:rPr>
          <w:rFonts w:eastAsia="Arial" w:cs="Arial"/>
          <w:szCs w:val="24"/>
        </w:rPr>
      </w:pPr>
      <w:r>
        <w:rPr>
          <w:rFonts w:eastAsia="Arial" w:cs="Arial"/>
          <w:szCs w:val="24"/>
        </w:rPr>
        <w:t xml:space="preserve">by Blood Pressure Classification According to the International </w:t>
      </w:r>
    </w:p>
    <w:p w14:paraId="3510536B" w14:textId="77777777" w:rsidR="007C6854" w:rsidRDefault="00E0219E">
      <w:pPr>
        <w:shd w:val="clear" w:color="auto" w:fill="FFFFFF"/>
        <w:spacing w:after="0" w:line="360" w:lineRule="auto"/>
        <w:jc w:val="both"/>
        <w:rPr>
          <w:rFonts w:eastAsia="Arial" w:cs="Arial"/>
          <w:szCs w:val="24"/>
        </w:rPr>
      </w:pPr>
      <w:r>
        <w:rPr>
          <w:rFonts w:eastAsia="Arial" w:cs="Arial"/>
          <w:szCs w:val="24"/>
        </w:rPr>
        <w:t xml:space="preserve">Society of Hypertension </w:t>
      </w:r>
      <w:r>
        <w:rPr>
          <w:rFonts w:eastAsia="Arial" w:cs="Arial"/>
          <w:i/>
          <w:szCs w:val="24"/>
        </w:rPr>
        <w:t>(N = 151)</w:t>
      </w:r>
      <w:r>
        <w:rPr>
          <w:rFonts w:eastAsia="Arial" w:cs="Arial"/>
          <w:szCs w:val="24"/>
        </w:rPr>
        <w:t xml:space="preserve"> …………………………………………………….</w:t>
      </w:r>
      <w:r>
        <w:rPr>
          <w:rFonts w:eastAsia="Arial" w:cs="Arial"/>
          <w:szCs w:val="24"/>
        </w:rPr>
        <w:tab/>
        <w:t>41</w:t>
      </w:r>
    </w:p>
    <w:p w14:paraId="4E5CFCE6" w14:textId="77777777" w:rsidR="007C6854" w:rsidRDefault="00E0219E">
      <w:pPr>
        <w:shd w:val="clear" w:color="auto" w:fill="FFFFFF"/>
        <w:spacing w:after="0" w:line="360" w:lineRule="auto"/>
        <w:jc w:val="both"/>
        <w:rPr>
          <w:rFonts w:eastAsia="Arial" w:cs="Arial"/>
          <w:szCs w:val="24"/>
        </w:rPr>
      </w:pPr>
      <w:r>
        <w:rPr>
          <w:rFonts w:eastAsia="Arial" w:cs="Arial"/>
          <w:b/>
          <w:szCs w:val="24"/>
        </w:rPr>
        <w:t xml:space="preserve">Table 7: </w:t>
      </w:r>
      <w:r>
        <w:rPr>
          <w:rFonts w:eastAsia="Arial" w:cs="Arial"/>
          <w:szCs w:val="24"/>
        </w:rPr>
        <w:t xml:space="preserve">Median and Interquartile Range Health Literacy Score </w:t>
      </w:r>
    </w:p>
    <w:p w14:paraId="605ED2E7" w14:textId="77777777" w:rsidR="007C6854" w:rsidRDefault="00E0219E">
      <w:pPr>
        <w:shd w:val="clear" w:color="auto" w:fill="FFFFFF"/>
        <w:spacing w:after="0" w:line="360" w:lineRule="auto"/>
        <w:jc w:val="both"/>
        <w:rPr>
          <w:rFonts w:eastAsia="Arial" w:cs="Arial"/>
          <w:szCs w:val="24"/>
        </w:rPr>
      </w:pPr>
      <w:r>
        <w:rPr>
          <w:rFonts w:eastAsia="Arial" w:cs="Arial"/>
          <w:szCs w:val="24"/>
        </w:rPr>
        <w:t xml:space="preserve">of the Respondents by Basic Health Literacy </w:t>
      </w:r>
      <w:proofErr w:type="gramStart"/>
      <w:r>
        <w:rPr>
          <w:rFonts w:eastAsia="Arial" w:cs="Arial"/>
          <w:szCs w:val="24"/>
        </w:rPr>
        <w:t>Domains  …</w:t>
      </w:r>
      <w:proofErr w:type="gramEnd"/>
      <w:r>
        <w:rPr>
          <w:rFonts w:eastAsia="Arial" w:cs="Arial"/>
          <w:szCs w:val="24"/>
        </w:rPr>
        <w:t>………………………….</w:t>
      </w:r>
      <w:r>
        <w:rPr>
          <w:rFonts w:eastAsia="Arial" w:cs="Arial"/>
          <w:szCs w:val="24"/>
        </w:rPr>
        <w:tab/>
        <w:t>44</w:t>
      </w:r>
    </w:p>
    <w:p w14:paraId="30CDCF78" w14:textId="77777777" w:rsidR="007C6854" w:rsidRDefault="00E0219E">
      <w:pPr>
        <w:shd w:val="clear" w:color="auto" w:fill="FFFFFF"/>
        <w:spacing w:after="0" w:line="360" w:lineRule="auto"/>
        <w:jc w:val="both"/>
        <w:rPr>
          <w:rFonts w:eastAsia="Arial" w:cs="Arial"/>
          <w:szCs w:val="24"/>
        </w:rPr>
      </w:pPr>
      <w:r>
        <w:rPr>
          <w:rFonts w:eastAsia="Arial" w:cs="Arial"/>
          <w:b/>
          <w:szCs w:val="24"/>
        </w:rPr>
        <w:t xml:space="preserve">Table 8: </w:t>
      </w:r>
      <w:r>
        <w:rPr>
          <w:rFonts w:eastAsia="Arial" w:cs="Arial"/>
          <w:szCs w:val="24"/>
        </w:rPr>
        <w:t xml:space="preserve">Median and Interquartile Range Health Literacy Score </w:t>
      </w:r>
    </w:p>
    <w:p w14:paraId="629D097B" w14:textId="77777777" w:rsidR="007C6854" w:rsidRDefault="00E0219E">
      <w:pPr>
        <w:shd w:val="clear" w:color="auto" w:fill="FFFFFF"/>
        <w:spacing w:after="0" w:line="360" w:lineRule="auto"/>
        <w:jc w:val="both"/>
        <w:rPr>
          <w:rFonts w:eastAsia="Arial" w:cs="Arial"/>
          <w:szCs w:val="24"/>
        </w:rPr>
      </w:pPr>
      <w:r>
        <w:rPr>
          <w:rFonts w:eastAsia="Arial" w:cs="Arial"/>
          <w:szCs w:val="24"/>
        </w:rPr>
        <w:t xml:space="preserve">of the Respondents by Communicative or Functional Health Literacy Domain </w:t>
      </w:r>
      <w:proofErr w:type="gramStart"/>
      <w:r>
        <w:rPr>
          <w:rFonts w:eastAsia="Arial" w:cs="Arial"/>
          <w:szCs w:val="24"/>
        </w:rPr>
        <w:t>…..</w:t>
      </w:r>
      <w:proofErr w:type="gramEnd"/>
      <w:r>
        <w:rPr>
          <w:rFonts w:eastAsia="Arial" w:cs="Arial"/>
          <w:szCs w:val="24"/>
        </w:rPr>
        <w:tab/>
        <w:t>46</w:t>
      </w:r>
    </w:p>
    <w:p w14:paraId="3D819A30" w14:textId="77777777" w:rsidR="007C6854" w:rsidRDefault="00E0219E">
      <w:pPr>
        <w:shd w:val="clear" w:color="auto" w:fill="FFFFFF"/>
        <w:spacing w:after="0" w:line="360" w:lineRule="auto"/>
        <w:jc w:val="both"/>
        <w:rPr>
          <w:rFonts w:eastAsia="Arial" w:cs="Arial"/>
          <w:szCs w:val="24"/>
        </w:rPr>
      </w:pPr>
      <w:r>
        <w:rPr>
          <w:rFonts w:eastAsia="Arial" w:cs="Arial"/>
          <w:b/>
          <w:szCs w:val="24"/>
        </w:rPr>
        <w:t xml:space="preserve">Table 9: </w:t>
      </w:r>
      <w:r>
        <w:rPr>
          <w:rFonts w:eastAsia="Arial" w:cs="Arial"/>
          <w:szCs w:val="24"/>
        </w:rPr>
        <w:t xml:space="preserve">Median and Interquartile Health Literacy Score of the </w:t>
      </w:r>
    </w:p>
    <w:p w14:paraId="3004E97F" w14:textId="77777777" w:rsidR="007C6854" w:rsidRDefault="00E0219E">
      <w:pPr>
        <w:shd w:val="clear" w:color="auto" w:fill="FFFFFF"/>
        <w:spacing w:after="0" w:line="360" w:lineRule="auto"/>
        <w:jc w:val="both"/>
        <w:rPr>
          <w:rFonts w:eastAsia="Arial" w:cs="Arial"/>
          <w:szCs w:val="24"/>
        </w:rPr>
      </w:pPr>
      <w:r>
        <w:rPr>
          <w:rFonts w:eastAsia="Arial" w:cs="Arial"/>
          <w:szCs w:val="24"/>
        </w:rPr>
        <w:t>Respondents by Critical Health Literacy Domain …………………………………….</w:t>
      </w:r>
      <w:r>
        <w:rPr>
          <w:rFonts w:eastAsia="Arial" w:cs="Arial"/>
          <w:szCs w:val="24"/>
        </w:rPr>
        <w:tab/>
        <w:t xml:space="preserve">47 </w:t>
      </w:r>
    </w:p>
    <w:p w14:paraId="477E809B" w14:textId="77777777" w:rsidR="007C6854" w:rsidRDefault="00E0219E">
      <w:pPr>
        <w:shd w:val="clear" w:color="auto" w:fill="FFFFFF"/>
        <w:spacing w:after="0" w:line="360" w:lineRule="auto"/>
        <w:jc w:val="both"/>
        <w:rPr>
          <w:rFonts w:eastAsia="Arial" w:cs="Arial"/>
          <w:szCs w:val="24"/>
        </w:rPr>
      </w:pPr>
      <w:r>
        <w:rPr>
          <w:rFonts w:eastAsia="Arial" w:cs="Arial"/>
          <w:b/>
          <w:szCs w:val="24"/>
        </w:rPr>
        <w:t xml:space="preserve">Table 10: </w:t>
      </w:r>
      <w:r>
        <w:rPr>
          <w:rFonts w:eastAsia="Arial" w:cs="Arial"/>
          <w:szCs w:val="24"/>
        </w:rPr>
        <w:t xml:space="preserve">Median and Interquartile Range Health Literacy Score </w:t>
      </w:r>
    </w:p>
    <w:p w14:paraId="5B18A17C" w14:textId="77777777" w:rsidR="007C6854" w:rsidRDefault="00E0219E">
      <w:pPr>
        <w:shd w:val="clear" w:color="auto" w:fill="FFFFFF"/>
        <w:spacing w:after="0" w:line="360" w:lineRule="auto"/>
        <w:jc w:val="both"/>
        <w:rPr>
          <w:rFonts w:eastAsia="Arial" w:cs="Arial"/>
          <w:szCs w:val="24"/>
        </w:rPr>
      </w:pPr>
      <w:r>
        <w:rPr>
          <w:rFonts w:eastAsia="Arial" w:cs="Arial"/>
          <w:szCs w:val="24"/>
        </w:rPr>
        <w:t xml:space="preserve">of the Respondents by Total Health Literacy and Health Literacy </w:t>
      </w:r>
    </w:p>
    <w:p w14:paraId="5AF7F075" w14:textId="77777777" w:rsidR="007C6854" w:rsidRDefault="00E0219E">
      <w:pPr>
        <w:shd w:val="clear" w:color="auto" w:fill="FFFFFF"/>
        <w:spacing w:after="0" w:line="360" w:lineRule="auto"/>
        <w:jc w:val="both"/>
        <w:rPr>
          <w:rFonts w:eastAsia="Arial" w:cs="Arial"/>
          <w:szCs w:val="24"/>
        </w:rPr>
      </w:pPr>
      <w:r>
        <w:rPr>
          <w:rFonts w:eastAsia="Arial" w:cs="Arial"/>
          <w:szCs w:val="24"/>
        </w:rPr>
        <w:t xml:space="preserve">Domain (Basic health literacy, Communicative / Functional health literacy, </w:t>
      </w:r>
    </w:p>
    <w:p w14:paraId="74D08D3F" w14:textId="77777777" w:rsidR="007C6854" w:rsidRDefault="00E0219E">
      <w:pPr>
        <w:shd w:val="clear" w:color="auto" w:fill="FFFFFF"/>
        <w:spacing w:after="0" w:line="360" w:lineRule="auto"/>
        <w:jc w:val="both"/>
        <w:rPr>
          <w:rFonts w:eastAsia="Arial" w:cs="Arial"/>
          <w:szCs w:val="24"/>
        </w:rPr>
      </w:pPr>
      <w:r>
        <w:rPr>
          <w:rFonts w:eastAsia="Arial" w:cs="Arial"/>
          <w:szCs w:val="24"/>
        </w:rPr>
        <w:t>and Critical health literacy) …………………………………………………………….</w:t>
      </w:r>
      <w:r>
        <w:rPr>
          <w:rFonts w:eastAsia="Arial" w:cs="Arial"/>
          <w:szCs w:val="24"/>
        </w:rPr>
        <w:tab/>
        <w:t>48</w:t>
      </w:r>
    </w:p>
    <w:p w14:paraId="7FC7946E" w14:textId="77777777" w:rsidR="007C6854" w:rsidRDefault="00E0219E">
      <w:pPr>
        <w:shd w:val="clear" w:color="auto" w:fill="FFFFFF"/>
        <w:spacing w:after="0" w:line="360" w:lineRule="auto"/>
        <w:jc w:val="both"/>
        <w:rPr>
          <w:rFonts w:eastAsia="Arial" w:cs="Arial"/>
          <w:szCs w:val="24"/>
        </w:rPr>
      </w:pPr>
      <w:r>
        <w:rPr>
          <w:rFonts w:eastAsia="Arial" w:cs="Arial"/>
          <w:b/>
          <w:szCs w:val="24"/>
        </w:rPr>
        <w:t xml:space="preserve">Table 11: </w:t>
      </w:r>
      <w:r>
        <w:rPr>
          <w:rFonts w:eastAsia="Arial" w:cs="Arial"/>
          <w:szCs w:val="24"/>
        </w:rPr>
        <w:t xml:space="preserve">Measure of Strength of Association of Socio-demographic Variables </w:t>
      </w:r>
    </w:p>
    <w:p w14:paraId="3A53AF1A" w14:textId="77777777" w:rsidR="007C6854" w:rsidRDefault="00E0219E">
      <w:pPr>
        <w:shd w:val="clear" w:color="auto" w:fill="FFFFFF"/>
        <w:spacing w:after="0" w:line="360" w:lineRule="auto"/>
        <w:jc w:val="both"/>
        <w:rPr>
          <w:rFonts w:eastAsia="Arial" w:cs="Arial"/>
          <w:szCs w:val="24"/>
        </w:rPr>
        <w:sectPr w:rsidR="007C6854">
          <w:footerReference w:type="default" r:id="rId29"/>
          <w:pgSz w:w="11906" w:h="16838"/>
          <w:pgMar w:top="1440" w:right="1440" w:bottom="1440" w:left="1440" w:header="0" w:footer="0" w:gutter="0"/>
          <w:cols w:space="720"/>
        </w:sectPr>
      </w:pPr>
      <w:r>
        <w:rPr>
          <w:rFonts w:eastAsia="Arial" w:cs="Arial"/>
          <w:szCs w:val="24"/>
        </w:rPr>
        <w:t xml:space="preserve">among Urban Poor Settlers who have HPN with Low Health </w:t>
      </w:r>
      <w:proofErr w:type="gramStart"/>
      <w:r>
        <w:rPr>
          <w:rFonts w:eastAsia="Arial" w:cs="Arial"/>
          <w:szCs w:val="24"/>
        </w:rPr>
        <w:t>Literacy  …</w:t>
      </w:r>
      <w:proofErr w:type="gramEnd"/>
      <w:r>
        <w:rPr>
          <w:rFonts w:eastAsia="Arial" w:cs="Arial"/>
          <w:szCs w:val="24"/>
        </w:rPr>
        <w:t>………...</w:t>
      </w:r>
      <w:r>
        <w:rPr>
          <w:rFonts w:eastAsia="Arial" w:cs="Arial"/>
          <w:szCs w:val="24"/>
        </w:rPr>
        <w:tab/>
        <w:t>53</w:t>
      </w:r>
    </w:p>
    <w:p w14:paraId="37715548" w14:textId="77777777" w:rsidR="007C6854" w:rsidRDefault="00E0219E">
      <w:pPr>
        <w:spacing w:after="160" w:line="259" w:lineRule="auto"/>
        <w:jc w:val="center"/>
        <w:rPr>
          <w:rFonts w:eastAsia="Arial" w:cs="Arial"/>
          <w:b/>
          <w:color w:val="000000"/>
          <w:szCs w:val="24"/>
        </w:rPr>
      </w:pPr>
      <w:r>
        <w:rPr>
          <w:rFonts w:eastAsia="Arial" w:cs="Arial"/>
          <w:b/>
          <w:szCs w:val="24"/>
        </w:rPr>
        <w:lastRenderedPageBreak/>
        <w:t>List of Figures</w:t>
      </w:r>
    </w:p>
    <w:p w14:paraId="11E18705" w14:textId="77777777" w:rsidR="007C6854" w:rsidRDefault="00E0219E">
      <w:pPr>
        <w:pBdr>
          <w:top w:val="nil"/>
          <w:left w:val="nil"/>
          <w:bottom w:val="nil"/>
          <w:right w:val="nil"/>
          <w:between w:val="nil"/>
        </w:pBdr>
        <w:spacing w:after="160" w:line="240" w:lineRule="auto"/>
        <w:rPr>
          <w:rFonts w:eastAsia="Arial" w:cs="Arial"/>
          <w:color w:val="000000"/>
          <w:szCs w:val="24"/>
        </w:rPr>
      </w:pPr>
      <w:r>
        <w:rPr>
          <w:rFonts w:eastAsia="Arial" w:cs="Arial"/>
          <w:b/>
          <w:color w:val="000000"/>
          <w:szCs w:val="24"/>
        </w:rPr>
        <w:t xml:space="preserve">Figure 1: </w:t>
      </w:r>
      <w:r>
        <w:rPr>
          <w:rFonts w:eastAsia="Arial" w:cs="Arial"/>
          <w:color w:val="000000"/>
          <w:szCs w:val="24"/>
        </w:rPr>
        <w:t xml:space="preserve">Association of other factors affecting urban poor settlers </w:t>
      </w:r>
    </w:p>
    <w:p w14:paraId="140598D2" w14:textId="77777777" w:rsidR="007C6854" w:rsidRDefault="00E0219E">
      <w:pPr>
        <w:pBdr>
          <w:top w:val="nil"/>
          <w:left w:val="nil"/>
          <w:bottom w:val="nil"/>
          <w:right w:val="nil"/>
          <w:between w:val="nil"/>
        </w:pBdr>
        <w:spacing w:after="160" w:line="240" w:lineRule="auto"/>
        <w:rPr>
          <w:rFonts w:eastAsia="Arial" w:cs="Arial"/>
          <w:color w:val="000000"/>
          <w:szCs w:val="24"/>
        </w:rPr>
      </w:pPr>
      <w:r>
        <w:rPr>
          <w:rFonts w:eastAsia="Arial" w:cs="Arial"/>
          <w:color w:val="000000"/>
          <w:szCs w:val="24"/>
        </w:rPr>
        <w:t>having Hypertension ……………………………………………………………………</w:t>
      </w:r>
      <w:r>
        <w:rPr>
          <w:rFonts w:eastAsia="Arial" w:cs="Arial"/>
          <w:color w:val="000000"/>
          <w:szCs w:val="24"/>
        </w:rPr>
        <w:tab/>
        <w:t>21</w:t>
      </w:r>
    </w:p>
    <w:p w14:paraId="35C46723" w14:textId="77777777" w:rsidR="007C6854" w:rsidRDefault="00E0219E">
      <w:pPr>
        <w:spacing w:line="360" w:lineRule="auto"/>
        <w:rPr>
          <w:rFonts w:eastAsia="Arial" w:cs="Arial"/>
          <w:b/>
          <w:szCs w:val="24"/>
        </w:rPr>
      </w:pPr>
      <w:r>
        <w:rPr>
          <w:rFonts w:eastAsia="Arial" w:cs="Arial"/>
          <w:b/>
          <w:szCs w:val="24"/>
        </w:rPr>
        <w:t>Figure 2:</w:t>
      </w:r>
      <w:r>
        <w:rPr>
          <w:rFonts w:eastAsia="Arial" w:cs="Arial"/>
          <w:szCs w:val="24"/>
        </w:rPr>
        <w:t xml:space="preserve"> Research Workflow, Data Collection, and Data Storage ………………</w:t>
      </w:r>
      <w:r>
        <w:rPr>
          <w:rFonts w:eastAsia="Arial" w:cs="Arial"/>
          <w:szCs w:val="24"/>
        </w:rPr>
        <w:tab/>
        <w:t>27</w:t>
      </w:r>
    </w:p>
    <w:p w14:paraId="2489CD6A" w14:textId="77777777" w:rsidR="007C6854" w:rsidRDefault="00E0219E">
      <w:pPr>
        <w:spacing w:after="160" w:line="259" w:lineRule="auto"/>
        <w:rPr>
          <w:rFonts w:eastAsia="Arial" w:cs="Arial"/>
          <w:b/>
          <w:szCs w:val="24"/>
        </w:rPr>
        <w:sectPr w:rsidR="007C6854">
          <w:headerReference w:type="default" r:id="rId30"/>
          <w:footerReference w:type="default" r:id="rId31"/>
          <w:pgSz w:w="11906" w:h="16838"/>
          <w:pgMar w:top="1440" w:right="1440" w:bottom="1440" w:left="1440" w:header="0" w:footer="0" w:gutter="0"/>
          <w:cols w:space="720"/>
        </w:sectPr>
      </w:pPr>
      <w:r>
        <w:rPr>
          <w:rFonts w:eastAsia="Arial" w:cs="Arial"/>
          <w:b/>
          <w:szCs w:val="24"/>
        </w:rPr>
        <w:t xml:space="preserve">  </w:t>
      </w:r>
    </w:p>
    <w:p w14:paraId="559A1DE5" w14:textId="77777777" w:rsidR="007C6854" w:rsidRDefault="00E0219E">
      <w:pPr>
        <w:spacing w:after="160" w:line="259" w:lineRule="auto"/>
        <w:jc w:val="center"/>
        <w:rPr>
          <w:rFonts w:eastAsia="Arial" w:cs="Arial"/>
          <w:b/>
          <w:szCs w:val="24"/>
        </w:rPr>
      </w:pPr>
      <w:r>
        <w:rPr>
          <w:rFonts w:eastAsia="Arial" w:cs="Arial"/>
          <w:b/>
          <w:szCs w:val="24"/>
        </w:rPr>
        <w:lastRenderedPageBreak/>
        <w:t>List of Appendices</w:t>
      </w:r>
    </w:p>
    <w:p w14:paraId="1479B17C" w14:textId="77777777" w:rsidR="007C6854" w:rsidRDefault="007C6854">
      <w:pPr>
        <w:spacing w:after="160" w:line="259" w:lineRule="auto"/>
        <w:rPr>
          <w:rFonts w:eastAsia="Arial" w:cs="Arial"/>
          <w:b/>
          <w:szCs w:val="24"/>
        </w:rPr>
      </w:pPr>
    </w:p>
    <w:p w14:paraId="1B9AACFA" w14:textId="77777777" w:rsidR="007C6854" w:rsidRDefault="00E0219E">
      <w:pPr>
        <w:spacing w:after="160" w:line="259" w:lineRule="auto"/>
        <w:rPr>
          <w:rFonts w:eastAsia="Arial" w:cs="Arial"/>
          <w:szCs w:val="24"/>
        </w:rPr>
      </w:pPr>
      <w:r>
        <w:rPr>
          <w:rFonts w:eastAsia="Arial" w:cs="Arial"/>
          <w:b/>
          <w:szCs w:val="24"/>
        </w:rPr>
        <w:t xml:space="preserve">Appendix A: </w:t>
      </w:r>
      <w:r>
        <w:rPr>
          <w:rFonts w:eastAsia="Arial" w:cs="Arial"/>
          <w:szCs w:val="24"/>
        </w:rPr>
        <w:t xml:space="preserve">Curriculum Vitae of the </w:t>
      </w:r>
      <w:proofErr w:type="gramStart"/>
      <w:r>
        <w:rPr>
          <w:rFonts w:eastAsia="Arial" w:cs="Arial"/>
          <w:szCs w:val="24"/>
        </w:rPr>
        <w:t>Student .</w:t>
      </w:r>
      <w:proofErr w:type="gramEnd"/>
      <w:r>
        <w:rPr>
          <w:rFonts w:eastAsia="Arial" w:cs="Arial"/>
          <w:szCs w:val="24"/>
        </w:rPr>
        <w:t>………………………………………</w:t>
      </w:r>
      <w:r>
        <w:rPr>
          <w:rFonts w:eastAsia="Arial" w:cs="Arial"/>
          <w:szCs w:val="24"/>
        </w:rPr>
        <w:tab/>
        <w:t>80</w:t>
      </w:r>
    </w:p>
    <w:p w14:paraId="17EABEE0" w14:textId="77777777" w:rsidR="007C6854" w:rsidRDefault="00E0219E">
      <w:pPr>
        <w:spacing w:after="160" w:line="259" w:lineRule="auto"/>
        <w:rPr>
          <w:rFonts w:eastAsia="Arial" w:cs="Arial"/>
          <w:szCs w:val="24"/>
        </w:rPr>
      </w:pPr>
      <w:r>
        <w:rPr>
          <w:rFonts w:eastAsia="Arial" w:cs="Arial"/>
          <w:b/>
          <w:szCs w:val="24"/>
        </w:rPr>
        <w:t xml:space="preserve">Appendix B: </w:t>
      </w:r>
      <w:r>
        <w:rPr>
          <w:rFonts w:eastAsia="Arial" w:cs="Arial"/>
          <w:szCs w:val="24"/>
        </w:rPr>
        <w:t>UPOU-IREC Certification of Approval …</w:t>
      </w:r>
      <w:proofErr w:type="gramStart"/>
      <w:r>
        <w:rPr>
          <w:rFonts w:eastAsia="Arial" w:cs="Arial"/>
          <w:szCs w:val="24"/>
        </w:rPr>
        <w:t>…..</w:t>
      </w:r>
      <w:proofErr w:type="gramEnd"/>
      <w:r>
        <w:rPr>
          <w:rFonts w:eastAsia="Arial" w:cs="Arial"/>
          <w:szCs w:val="24"/>
        </w:rPr>
        <w:t>…………………………</w:t>
      </w:r>
      <w:r>
        <w:rPr>
          <w:rFonts w:eastAsia="Arial" w:cs="Arial"/>
          <w:szCs w:val="24"/>
        </w:rPr>
        <w:tab/>
        <w:t>88</w:t>
      </w:r>
    </w:p>
    <w:p w14:paraId="23A958DD" w14:textId="77777777" w:rsidR="007C6854" w:rsidRDefault="00E0219E">
      <w:pPr>
        <w:spacing w:after="160" w:line="259" w:lineRule="auto"/>
        <w:rPr>
          <w:rFonts w:eastAsia="Arial" w:cs="Arial"/>
          <w:szCs w:val="24"/>
        </w:rPr>
      </w:pPr>
      <w:r>
        <w:rPr>
          <w:rFonts w:eastAsia="Arial" w:cs="Arial"/>
          <w:b/>
          <w:szCs w:val="24"/>
        </w:rPr>
        <w:t xml:space="preserve">Appendix C: </w:t>
      </w:r>
      <w:r>
        <w:rPr>
          <w:rFonts w:eastAsia="Arial" w:cs="Arial"/>
          <w:szCs w:val="24"/>
        </w:rPr>
        <w:t>Memorandum of Understanding between the</w:t>
      </w:r>
    </w:p>
    <w:p w14:paraId="32C2E6AF" w14:textId="77777777" w:rsidR="007C6854" w:rsidRDefault="00E0219E">
      <w:pPr>
        <w:spacing w:after="160" w:line="259" w:lineRule="auto"/>
        <w:rPr>
          <w:rFonts w:eastAsia="Arial" w:cs="Arial"/>
          <w:szCs w:val="24"/>
        </w:rPr>
      </w:pPr>
      <w:r>
        <w:rPr>
          <w:rFonts w:eastAsia="Arial" w:cs="Arial"/>
          <w:szCs w:val="24"/>
        </w:rPr>
        <w:tab/>
      </w:r>
      <w:r>
        <w:rPr>
          <w:rFonts w:eastAsia="Arial" w:cs="Arial"/>
          <w:szCs w:val="24"/>
        </w:rPr>
        <w:tab/>
        <w:t>The researcher and the Barangay Health Center ……………………</w:t>
      </w:r>
      <w:r>
        <w:rPr>
          <w:rFonts w:eastAsia="Arial" w:cs="Arial"/>
          <w:szCs w:val="24"/>
        </w:rPr>
        <w:tab/>
        <w:t xml:space="preserve">89 </w:t>
      </w:r>
    </w:p>
    <w:p w14:paraId="7A189D97" w14:textId="77777777" w:rsidR="007C6854" w:rsidRDefault="00E0219E">
      <w:pPr>
        <w:spacing w:after="160" w:line="259" w:lineRule="auto"/>
        <w:rPr>
          <w:rFonts w:eastAsia="Arial" w:cs="Arial"/>
          <w:szCs w:val="24"/>
        </w:rPr>
      </w:pPr>
      <w:r>
        <w:rPr>
          <w:rFonts w:eastAsia="Arial" w:cs="Arial"/>
          <w:b/>
          <w:szCs w:val="24"/>
        </w:rPr>
        <w:t xml:space="preserve">Appendix D: </w:t>
      </w:r>
      <w:r>
        <w:rPr>
          <w:rFonts w:eastAsia="Arial" w:cs="Arial"/>
          <w:szCs w:val="24"/>
        </w:rPr>
        <w:t>Assessment and ICF Agreement ………………………………………</w:t>
      </w:r>
      <w:r>
        <w:rPr>
          <w:rFonts w:eastAsia="Arial" w:cs="Arial"/>
          <w:szCs w:val="24"/>
        </w:rPr>
        <w:tab/>
        <w:t>93</w:t>
      </w:r>
    </w:p>
    <w:p w14:paraId="1D6297C7" w14:textId="77777777" w:rsidR="007C6854" w:rsidRDefault="00E0219E">
      <w:pPr>
        <w:spacing w:after="160" w:line="259" w:lineRule="auto"/>
        <w:rPr>
          <w:rFonts w:eastAsia="Arial" w:cs="Arial"/>
          <w:szCs w:val="24"/>
        </w:rPr>
      </w:pPr>
      <w:r>
        <w:rPr>
          <w:rFonts w:eastAsia="Arial" w:cs="Arial"/>
          <w:b/>
          <w:szCs w:val="24"/>
        </w:rPr>
        <w:t>Appendix E:</w:t>
      </w:r>
      <w:r>
        <w:rPr>
          <w:rFonts w:eastAsia="Arial" w:cs="Arial"/>
          <w:szCs w:val="24"/>
        </w:rPr>
        <w:t xml:space="preserve"> Survey Questionnaire ……………………………………………………93</w:t>
      </w:r>
    </w:p>
    <w:p w14:paraId="6A6572C0" w14:textId="77777777" w:rsidR="007C6854" w:rsidRDefault="00E0219E">
      <w:pPr>
        <w:spacing w:after="160" w:line="259" w:lineRule="auto"/>
        <w:rPr>
          <w:rFonts w:eastAsia="Arial" w:cs="Arial"/>
          <w:szCs w:val="24"/>
        </w:rPr>
      </w:pPr>
      <w:r>
        <w:rPr>
          <w:rFonts w:eastAsia="Arial" w:cs="Arial"/>
          <w:b/>
          <w:szCs w:val="24"/>
        </w:rPr>
        <w:t xml:space="preserve">Appendix F: </w:t>
      </w:r>
      <w:r>
        <w:rPr>
          <w:rFonts w:eastAsia="Arial" w:cs="Arial"/>
          <w:szCs w:val="24"/>
        </w:rPr>
        <w:t>International Society of Hypertension Guidelines ……………………</w:t>
      </w:r>
      <w:r>
        <w:rPr>
          <w:rFonts w:eastAsia="Arial" w:cs="Arial"/>
          <w:szCs w:val="24"/>
        </w:rPr>
        <w:tab/>
        <w:t>94</w:t>
      </w:r>
    </w:p>
    <w:p w14:paraId="50F01833" w14:textId="77777777" w:rsidR="007C6854" w:rsidRDefault="00E0219E">
      <w:pPr>
        <w:spacing w:after="160" w:line="259" w:lineRule="auto"/>
        <w:rPr>
          <w:rFonts w:eastAsia="Arial" w:cs="Arial"/>
          <w:szCs w:val="24"/>
        </w:rPr>
      </w:pPr>
      <w:r>
        <w:rPr>
          <w:rFonts w:eastAsia="Arial" w:cs="Arial"/>
          <w:b/>
          <w:szCs w:val="24"/>
        </w:rPr>
        <w:t xml:space="preserve">Appendix G: </w:t>
      </w:r>
      <w:r>
        <w:rPr>
          <w:rFonts w:eastAsia="Arial" w:cs="Arial"/>
          <w:szCs w:val="24"/>
        </w:rPr>
        <w:t>Sample Size Computation …………………………………………</w:t>
      </w:r>
      <w:proofErr w:type="gramStart"/>
      <w:r>
        <w:rPr>
          <w:rFonts w:eastAsia="Arial" w:cs="Arial"/>
          <w:szCs w:val="24"/>
        </w:rPr>
        <w:t>…..</w:t>
      </w:r>
      <w:proofErr w:type="gramEnd"/>
      <w:r>
        <w:rPr>
          <w:rFonts w:eastAsia="Arial" w:cs="Arial"/>
          <w:szCs w:val="24"/>
        </w:rPr>
        <w:tab/>
        <w:t>95</w:t>
      </w:r>
    </w:p>
    <w:p w14:paraId="25DD3E50" w14:textId="77777777" w:rsidR="007C6854" w:rsidRDefault="00E0219E">
      <w:pPr>
        <w:spacing w:after="160" w:line="259" w:lineRule="auto"/>
        <w:rPr>
          <w:rFonts w:eastAsia="Arial" w:cs="Arial"/>
          <w:szCs w:val="24"/>
        </w:rPr>
      </w:pPr>
      <w:r>
        <w:rPr>
          <w:rFonts w:eastAsia="Arial" w:cs="Arial"/>
          <w:b/>
          <w:szCs w:val="24"/>
        </w:rPr>
        <w:t xml:space="preserve">Appendix H: </w:t>
      </w:r>
      <w:r>
        <w:rPr>
          <w:rFonts w:eastAsia="Arial" w:cs="Arial"/>
          <w:szCs w:val="24"/>
        </w:rPr>
        <w:t>Estimation of the Adult Population, 20 years old and above ……….</w:t>
      </w:r>
      <w:r>
        <w:rPr>
          <w:rFonts w:eastAsia="Arial" w:cs="Arial"/>
          <w:szCs w:val="24"/>
        </w:rPr>
        <w:tab/>
        <w:t>97</w:t>
      </w:r>
    </w:p>
    <w:p w14:paraId="33AC381D" w14:textId="77777777" w:rsidR="007C6854" w:rsidRDefault="00E0219E">
      <w:pPr>
        <w:spacing w:after="160" w:line="259" w:lineRule="auto"/>
        <w:rPr>
          <w:rFonts w:eastAsia="Arial" w:cs="Arial"/>
          <w:szCs w:val="24"/>
        </w:rPr>
      </w:pPr>
      <w:r>
        <w:rPr>
          <w:rFonts w:eastAsia="Arial" w:cs="Arial"/>
          <w:b/>
          <w:szCs w:val="24"/>
        </w:rPr>
        <w:t xml:space="preserve">Appendix I: </w:t>
      </w:r>
      <w:r>
        <w:rPr>
          <w:rFonts w:eastAsia="Arial" w:cs="Arial"/>
          <w:szCs w:val="24"/>
        </w:rPr>
        <w:t>Summary of the Research Construct ………………………………</w:t>
      </w:r>
      <w:proofErr w:type="gramStart"/>
      <w:r>
        <w:rPr>
          <w:rFonts w:eastAsia="Arial" w:cs="Arial"/>
          <w:szCs w:val="24"/>
        </w:rPr>
        <w:t>…..</w:t>
      </w:r>
      <w:proofErr w:type="gramEnd"/>
      <w:r>
        <w:rPr>
          <w:rFonts w:eastAsia="Arial" w:cs="Arial"/>
          <w:szCs w:val="24"/>
        </w:rPr>
        <w:tab/>
        <w:t>98</w:t>
      </w:r>
    </w:p>
    <w:p w14:paraId="7F394942" w14:textId="77777777" w:rsidR="007C6854" w:rsidRDefault="00E0219E">
      <w:pPr>
        <w:spacing w:after="160" w:line="259" w:lineRule="auto"/>
        <w:rPr>
          <w:rFonts w:eastAsia="Arial" w:cs="Arial"/>
          <w:szCs w:val="24"/>
        </w:rPr>
        <w:sectPr w:rsidR="007C6854">
          <w:headerReference w:type="default" r:id="rId32"/>
          <w:footerReference w:type="default" r:id="rId33"/>
          <w:pgSz w:w="11906" w:h="16838"/>
          <w:pgMar w:top="1440" w:right="1440" w:bottom="1440" w:left="1440" w:header="0" w:footer="0" w:gutter="0"/>
          <w:cols w:space="720"/>
        </w:sectPr>
      </w:pPr>
      <w:r>
        <w:rPr>
          <w:rFonts w:eastAsia="Arial" w:cs="Arial"/>
          <w:b/>
          <w:szCs w:val="24"/>
        </w:rPr>
        <w:t xml:space="preserve">Appendix I: </w:t>
      </w:r>
      <w:r>
        <w:rPr>
          <w:rFonts w:eastAsia="Arial" w:cs="Arial"/>
          <w:szCs w:val="24"/>
        </w:rPr>
        <w:t xml:space="preserve">Database and </w:t>
      </w:r>
      <w:proofErr w:type="spellStart"/>
      <w:r>
        <w:rPr>
          <w:rFonts w:eastAsia="Arial" w:cs="Arial"/>
          <w:szCs w:val="24"/>
        </w:rPr>
        <w:t>Rscript</w:t>
      </w:r>
      <w:proofErr w:type="spellEnd"/>
      <w:r>
        <w:rPr>
          <w:rFonts w:eastAsia="Arial" w:cs="Arial"/>
          <w:szCs w:val="24"/>
        </w:rPr>
        <w:t xml:space="preserve"> on Data Analysis ……………………………….100</w:t>
      </w:r>
    </w:p>
    <w:p w14:paraId="53BC6B0D" w14:textId="77777777" w:rsidR="007C6854" w:rsidRDefault="00E0219E">
      <w:pPr>
        <w:spacing w:after="160" w:line="259" w:lineRule="auto"/>
        <w:jc w:val="center"/>
        <w:rPr>
          <w:rFonts w:eastAsia="Arial" w:cs="Arial"/>
          <w:color w:val="000000"/>
          <w:szCs w:val="24"/>
        </w:rPr>
      </w:pPr>
      <w:r>
        <w:rPr>
          <w:rFonts w:eastAsia="Arial" w:cs="Arial"/>
          <w:b/>
          <w:color w:val="000000"/>
          <w:szCs w:val="24"/>
        </w:rPr>
        <w:lastRenderedPageBreak/>
        <w:t>L</w:t>
      </w:r>
      <w:r>
        <w:rPr>
          <w:rFonts w:eastAsia="Arial" w:cs="Arial"/>
          <w:b/>
          <w:szCs w:val="24"/>
        </w:rPr>
        <w:t>ist of Acronyms and Abbreviations</w:t>
      </w:r>
    </w:p>
    <w:tbl>
      <w:tblPr>
        <w:tblStyle w:val="afff"/>
        <w:tblW w:w="8865" w:type="dxa"/>
        <w:tblBorders>
          <w:top w:val="nil"/>
          <w:left w:val="nil"/>
          <w:bottom w:val="nil"/>
          <w:right w:val="nil"/>
          <w:insideH w:val="nil"/>
          <w:insideV w:val="nil"/>
        </w:tblBorders>
        <w:tblLayout w:type="fixed"/>
        <w:tblLook w:val="0600" w:firstRow="0" w:lastRow="0" w:firstColumn="0" w:lastColumn="0" w:noHBand="1" w:noVBand="1"/>
      </w:tblPr>
      <w:tblGrid>
        <w:gridCol w:w="2262"/>
        <w:gridCol w:w="6603"/>
      </w:tblGrid>
      <w:tr w:rsidR="007C6854" w14:paraId="56650EB7" w14:textId="77777777">
        <w:trPr>
          <w:trHeight w:val="495"/>
        </w:trPr>
        <w:tc>
          <w:tcPr>
            <w:tcW w:w="2262"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7E63B825" w14:textId="77777777" w:rsidR="007C6854" w:rsidRDefault="00E0219E">
            <w:pPr>
              <w:spacing w:line="360" w:lineRule="auto"/>
              <w:rPr>
                <w:rFonts w:eastAsia="Arial" w:cs="Arial"/>
                <w:b/>
                <w:szCs w:val="24"/>
              </w:rPr>
            </w:pPr>
            <w:r>
              <w:rPr>
                <w:rFonts w:eastAsia="Arial" w:cs="Arial"/>
                <w:b/>
                <w:szCs w:val="24"/>
              </w:rPr>
              <w:t>BP</w:t>
            </w:r>
          </w:p>
        </w:tc>
        <w:tc>
          <w:tcPr>
            <w:tcW w:w="6603"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529C6F42" w14:textId="77777777" w:rsidR="007C6854" w:rsidRDefault="00E0219E">
            <w:pPr>
              <w:spacing w:line="360" w:lineRule="auto"/>
              <w:rPr>
                <w:rFonts w:eastAsia="Arial" w:cs="Arial"/>
                <w:szCs w:val="24"/>
              </w:rPr>
            </w:pPr>
            <w:r>
              <w:rPr>
                <w:rFonts w:eastAsia="Arial" w:cs="Arial"/>
                <w:szCs w:val="24"/>
              </w:rPr>
              <w:t>Blood Pressure</w:t>
            </w:r>
          </w:p>
        </w:tc>
      </w:tr>
      <w:tr w:rsidR="007C6854" w14:paraId="47341214" w14:textId="77777777">
        <w:trPr>
          <w:trHeight w:val="495"/>
        </w:trPr>
        <w:tc>
          <w:tcPr>
            <w:tcW w:w="2262"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7DF27737" w14:textId="77777777" w:rsidR="007C6854" w:rsidRDefault="00E0219E">
            <w:pPr>
              <w:spacing w:line="360" w:lineRule="auto"/>
              <w:rPr>
                <w:rFonts w:eastAsia="Arial" w:cs="Arial"/>
                <w:b/>
                <w:szCs w:val="24"/>
              </w:rPr>
            </w:pPr>
            <w:r>
              <w:rPr>
                <w:rFonts w:eastAsia="Arial" w:cs="Arial"/>
                <w:b/>
                <w:szCs w:val="24"/>
              </w:rPr>
              <w:t>COVID-19</w:t>
            </w:r>
          </w:p>
        </w:tc>
        <w:tc>
          <w:tcPr>
            <w:tcW w:w="6603"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59D47908" w14:textId="77777777" w:rsidR="007C6854" w:rsidRDefault="00E0219E">
            <w:pPr>
              <w:spacing w:line="360" w:lineRule="auto"/>
              <w:rPr>
                <w:rFonts w:eastAsia="Arial" w:cs="Arial"/>
                <w:szCs w:val="24"/>
              </w:rPr>
            </w:pPr>
            <w:r>
              <w:rPr>
                <w:rFonts w:eastAsia="Arial" w:cs="Arial"/>
                <w:szCs w:val="24"/>
              </w:rPr>
              <w:t>Coronavirus Disease 2019</w:t>
            </w:r>
          </w:p>
        </w:tc>
      </w:tr>
      <w:tr w:rsidR="007C6854" w14:paraId="0EF7C889" w14:textId="77777777">
        <w:trPr>
          <w:trHeight w:val="495"/>
        </w:trPr>
        <w:tc>
          <w:tcPr>
            <w:tcW w:w="2262"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33A671DE" w14:textId="77777777" w:rsidR="007C6854" w:rsidRDefault="00E0219E">
            <w:pPr>
              <w:spacing w:line="360" w:lineRule="auto"/>
              <w:rPr>
                <w:rFonts w:eastAsia="Arial" w:cs="Arial"/>
                <w:b/>
                <w:szCs w:val="24"/>
              </w:rPr>
            </w:pPr>
            <w:r>
              <w:rPr>
                <w:rFonts w:eastAsia="Arial" w:cs="Arial"/>
                <w:b/>
                <w:szCs w:val="24"/>
              </w:rPr>
              <w:t>DBP</w:t>
            </w:r>
          </w:p>
        </w:tc>
        <w:tc>
          <w:tcPr>
            <w:tcW w:w="6603"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136B1B02" w14:textId="77777777" w:rsidR="007C6854" w:rsidRDefault="00E0219E">
            <w:pPr>
              <w:spacing w:line="360" w:lineRule="auto"/>
              <w:rPr>
                <w:rFonts w:eastAsia="Arial" w:cs="Arial"/>
                <w:szCs w:val="24"/>
              </w:rPr>
            </w:pPr>
            <w:r>
              <w:rPr>
                <w:rFonts w:eastAsia="Arial" w:cs="Arial"/>
                <w:szCs w:val="24"/>
              </w:rPr>
              <w:t>Diastolic Blood Pressure</w:t>
            </w:r>
          </w:p>
        </w:tc>
      </w:tr>
      <w:tr w:rsidR="007C6854" w14:paraId="4D390592" w14:textId="77777777">
        <w:trPr>
          <w:trHeight w:val="495"/>
        </w:trPr>
        <w:tc>
          <w:tcPr>
            <w:tcW w:w="2262"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52D4FB12" w14:textId="77777777" w:rsidR="007C6854" w:rsidRDefault="00E0219E">
            <w:pPr>
              <w:spacing w:line="360" w:lineRule="auto"/>
              <w:rPr>
                <w:rFonts w:eastAsia="Arial" w:cs="Arial"/>
                <w:b/>
                <w:szCs w:val="24"/>
              </w:rPr>
            </w:pPr>
            <w:r>
              <w:rPr>
                <w:rFonts w:eastAsia="Arial" w:cs="Arial"/>
                <w:b/>
                <w:szCs w:val="24"/>
              </w:rPr>
              <w:t>HL</w:t>
            </w:r>
          </w:p>
        </w:tc>
        <w:tc>
          <w:tcPr>
            <w:tcW w:w="6603"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4FB0D06F" w14:textId="77777777" w:rsidR="007C6854" w:rsidRDefault="00E0219E">
            <w:pPr>
              <w:spacing w:line="360" w:lineRule="auto"/>
              <w:rPr>
                <w:rFonts w:eastAsia="Arial" w:cs="Arial"/>
                <w:szCs w:val="24"/>
              </w:rPr>
            </w:pPr>
            <w:r>
              <w:rPr>
                <w:rFonts w:eastAsia="Arial" w:cs="Arial"/>
                <w:szCs w:val="24"/>
              </w:rPr>
              <w:t>Health Literacy</w:t>
            </w:r>
          </w:p>
        </w:tc>
      </w:tr>
      <w:tr w:rsidR="007C6854" w14:paraId="462DB694" w14:textId="77777777">
        <w:trPr>
          <w:trHeight w:val="495"/>
        </w:trPr>
        <w:tc>
          <w:tcPr>
            <w:tcW w:w="2262"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1F978450" w14:textId="77777777" w:rsidR="007C6854" w:rsidRDefault="00E0219E">
            <w:pPr>
              <w:spacing w:line="360" w:lineRule="auto"/>
              <w:rPr>
                <w:rFonts w:eastAsia="Arial" w:cs="Arial"/>
                <w:b/>
                <w:szCs w:val="24"/>
              </w:rPr>
            </w:pPr>
            <w:r>
              <w:rPr>
                <w:rFonts w:eastAsia="Arial" w:cs="Arial"/>
                <w:b/>
                <w:szCs w:val="24"/>
              </w:rPr>
              <w:t>HLQ</w:t>
            </w:r>
          </w:p>
        </w:tc>
        <w:tc>
          <w:tcPr>
            <w:tcW w:w="6603"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12BBB57A" w14:textId="77777777" w:rsidR="007C6854" w:rsidRDefault="00E0219E">
            <w:pPr>
              <w:spacing w:line="360" w:lineRule="auto"/>
              <w:rPr>
                <w:rFonts w:eastAsia="Arial" w:cs="Arial"/>
                <w:szCs w:val="24"/>
              </w:rPr>
            </w:pPr>
            <w:r>
              <w:rPr>
                <w:rFonts w:eastAsia="Arial" w:cs="Arial"/>
                <w:szCs w:val="24"/>
              </w:rPr>
              <w:t>Health Literacy Questionnaire</w:t>
            </w:r>
          </w:p>
        </w:tc>
      </w:tr>
      <w:tr w:rsidR="007C6854" w14:paraId="0AF74AC2" w14:textId="77777777">
        <w:trPr>
          <w:trHeight w:val="495"/>
        </w:trPr>
        <w:tc>
          <w:tcPr>
            <w:tcW w:w="2262"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62C21A83" w14:textId="77777777" w:rsidR="007C6854" w:rsidRDefault="00E0219E">
            <w:pPr>
              <w:spacing w:line="360" w:lineRule="auto"/>
              <w:rPr>
                <w:rFonts w:eastAsia="Arial" w:cs="Arial"/>
                <w:b/>
                <w:szCs w:val="24"/>
              </w:rPr>
            </w:pPr>
            <w:r>
              <w:rPr>
                <w:rFonts w:eastAsia="Arial" w:cs="Arial"/>
                <w:b/>
                <w:szCs w:val="24"/>
              </w:rPr>
              <w:t>HMO</w:t>
            </w:r>
          </w:p>
        </w:tc>
        <w:tc>
          <w:tcPr>
            <w:tcW w:w="6603"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4B80101F" w14:textId="77777777" w:rsidR="007C6854" w:rsidRDefault="00E0219E">
            <w:pPr>
              <w:spacing w:line="360" w:lineRule="auto"/>
              <w:rPr>
                <w:rFonts w:eastAsia="Arial" w:cs="Arial"/>
                <w:szCs w:val="24"/>
              </w:rPr>
            </w:pPr>
            <w:r>
              <w:rPr>
                <w:rFonts w:eastAsia="Arial" w:cs="Arial"/>
                <w:szCs w:val="24"/>
              </w:rPr>
              <w:t>Health Maintenance Organization</w:t>
            </w:r>
          </w:p>
        </w:tc>
      </w:tr>
      <w:tr w:rsidR="007C6854" w14:paraId="6DF1EB58" w14:textId="77777777">
        <w:trPr>
          <w:trHeight w:val="495"/>
        </w:trPr>
        <w:tc>
          <w:tcPr>
            <w:tcW w:w="2262"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4BFBB19E" w14:textId="77777777" w:rsidR="007C6854" w:rsidRDefault="00E0219E">
            <w:pPr>
              <w:spacing w:line="360" w:lineRule="auto"/>
              <w:rPr>
                <w:rFonts w:eastAsia="Arial" w:cs="Arial"/>
                <w:b/>
                <w:szCs w:val="24"/>
              </w:rPr>
            </w:pPr>
            <w:r>
              <w:rPr>
                <w:rFonts w:eastAsia="Arial" w:cs="Arial"/>
                <w:b/>
                <w:szCs w:val="24"/>
              </w:rPr>
              <w:t>HPN</w:t>
            </w:r>
          </w:p>
        </w:tc>
        <w:tc>
          <w:tcPr>
            <w:tcW w:w="6603"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11D9DCA2" w14:textId="77777777" w:rsidR="007C6854" w:rsidRDefault="00E0219E">
            <w:pPr>
              <w:spacing w:line="360" w:lineRule="auto"/>
              <w:rPr>
                <w:rFonts w:eastAsia="Arial" w:cs="Arial"/>
                <w:szCs w:val="24"/>
              </w:rPr>
            </w:pPr>
            <w:r>
              <w:rPr>
                <w:rFonts w:eastAsia="Arial" w:cs="Arial"/>
                <w:szCs w:val="24"/>
              </w:rPr>
              <w:t>Hypertension</w:t>
            </w:r>
          </w:p>
        </w:tc>
      </w:tr>
      <w:tr w:rsidR="007C6854" w14:paraId="1C1038C6" w14:textId="77777777">
        <w:trPr>
          <w:trHeight w:val="495"/>
        </w:trPr>
        <w:tc>
          <w:tcPr>
            <w:tcW w:w="2262"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74DE8D85" w14:textId="77777777" w:rsidR="007C6854" w:rsidRDefault="00E0219E">
            <w:pPr>
              <w:spacing w:line="360" w:lineRule="auto"/>
              <w:rPr>
                <w:rFonts w:eastAsia="Arial" w:cs="Arial"/>
                <w:b/>
                <w:szCs w:val="24"/>
              </w:rPr>
            </w:pPr>
            <w:r>
              <w:rPr>
                <w:rFonts w:eastAsia="Arial" w:cs="Arial"/>
                <w:b/>
                <w:szCs w:val="24"/>
              </w:rPr>
              <w:t>ISH</w:t>
            </w:r>
          </w:p>
        </w:tc>
        <w:tc>
          <w:tcPr>
            <w:tcW w:w="6603"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18E81F94" w14:textId="77777777" w:rsidR="007C6854" w:rsidRDefault="00E0219E">
            <w:pPr>
              <w:spacing w:line="360" w:lineRule="auto"/>
              <w:rPr>
                <w:rFonts w:eastAsia="Arial" w:cs="Arial"/>
                <w:szCs w:val="24"/>
              </w:rPr>
            </w:pPr>
            <w:r>
              <w:rPr>
                <w:rFonts w:eastAsia="Arial" w:cs="Arial"/>
                <w:szCs w:val="24"/>
              </w:rPr>
              <w:t>International Society of Hypertension</w:t>
            </w:r>
          </w:p>
        </w:tc>
      </w:tr>
      <w:tr w:rsidR="007C6854" w14:paraId="4D96385E" w14:textId="77777777">
        <w:trPr>
          <w:trHeight w:val="495"/>
        </w:trPr>
        <w:tc>
          <w:tcPr>
            <w:tcW w:w="2262"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355ECCC3" w14:textId="77777777" w:rsidR="007C6854" w:rsidRDefault="00E0219E">
            <w:pPr>
              <w:spacing w:line="360" w:lineRule="auto"/>
              <w:rPr>
                <w:rFonts w:eastAsia="Arial" w:cs="Arial"/>
                <w:b/>
                <w:szCs w:val="24"/>
              </w:rPr>
            </w:pPr>
            <w:r>
              <w:rPr>
                <w:rFonts w:eastAsia="Arial" w:cs="Arial"/>
                <w:b/>
                <w:szCs w:val="24"/>
              </w:rPr>
              <w:t>NCD</w:t>
            </w:r>
          </w:p>
        </w:tc>
        <w:tc>
          <w:tcPr>
            <w:tcW w:w="6603"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10E21D99" w14:textId="77777777" w:rsidR="007C6854" w:rsidRDefault="00E0219E">
            <w:pPr>
              <w:spacing w:line="360" w:lineRule="auto"/>
              <w:rPr>
                <w:rFonts w:eastAsia="Arial" w:cs="Arial"/>
                <w:szCs w:val="24"/>
              </w:rPr>
            </w:pPr>
            <w:r>
              <w:rPr>
                <w:rFonts w:eastAsia="Arial" w:cs="Arial"/>
                <w:szCs w:val="24"/>
              </w:rPr>
              <w:t>Noncommunicable Diseases</w:t>
            </w:r>
          </w:p>
        </w:tc>
      </w:tr>
      <w:tr w:rsidR="007C6854" w14:paraId="7F449C9E" w14:textId="77777777">
        <w:trPr>
          <w:trHeight w:val="495"/>
        </w:trPr>
        <w:tc>
          <w:tcPr>
            <w:tcW w:w="2262"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16FD5A6C" w14:textId="77777777" w:rsidR="007C6854" w:rsidRDefault="00E0219E">
            <w:pPr>
              <w:spacing w:line="360" w:lineRule="auto"/>
              <w:rPr>
                <w:rFonts w:eastAsia="Arial" w:cs="Arial"/>
                <w:b/>
                <w:szCs w:val="24"/>
              </w:rPr>
            </w:pPr>
            <w:r>
              <w:rPr>
                <w:rFonts w:eastAsia="Arial" w:cs="Arial"/>
                <w:b/>
                <w:szCs w:val="24"/>
              </w:rPr>
              <w:t>SBP</w:t>
            </w:r>
          </w:p>
        </w:tc>
        <w:tc>
          <w:tcPr>
            <w:tcW w:w="6603"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1082A6C5" w14:textId="77777777" w:rsidR="007C6854" w:rsidRDefault="00E0219E">
            <w:pPr>
              <w:spacing w:line="360" w:lineRule="auto"/>
              <w:rPr>
                <w:rFonts w:eastAsia="Arial" w:cs="Arial"/>
                <w:szCs w:val="24"/>
              </w:rPr>
            </w:pPr>
            <w:r>
              <w:rPr>
                <w:rFonts w:eastAsia="Arial" w:cs="Arial"/>
                <w:szCs w:val="24"/>
              </w:rPr>
              <w:t>Systolic Blood Pressure</w:t>
            </w:r>
          </w:p>
        </w:tc>
      </w:tr>
      <w:tr w:rsidR="007C6854" w14:paraId="63F570F4" w14:textId="77777777">
        <w:trPr>
          <w:trHeight w:val="495"/>
        </w:trPr>
        <w:tc>
          <w:tcPr>
            <w:tcW w:w="2262"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06395D6D" w14:textId="77777777" w:rsidR="007C6854" w:rsidRDefault="00E0219E">
            <w:pPr>
              <w:spacing w:line="360" w:lineRule="auto"/>
              <w:rPr>
                <w:rFonts w:eastAsia="Arial" w:cs="Arial"/>
                <w:b/>
                <w:szCs w:val="24"/>
              </w:rPr>
            </w:pPr>
            <w:r>
              <w:rPr>
                <w:rFonts w:eastAsia="Arial" w:cs="Arial"/>
                <w:b/>
                <w:szCs w:val="24"/>
              </w:rPr>
              <w:t>SD</w:t>
            </w:r>
          </w:p>
        </w:tc>
        <w:tc>
          <w:tcPr>
            <w:tcW w:w="6603"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61C1D42B" w14:textId="77777777" w:rsidR="007C6854" w:rsidRDefault="00E0219E">
            <w:pPr>
              <w:spacing w:line="360" w:lineRule="auto"/>
              <w:rPr>
                <w:rFonts w:eastAsia="Arial" w:cs="Arial"/>
                <w:szCs w:val="24"/>
              </w:rPr>
            </w:pPr>
            <w:r>
              <w:rPr>
                <w:rFonts w:eastAsia="Arial" w:cs="Arial"/>
                <w:szCs w:val="24"/>
              </w:rPr>
              <w:t>Standard Deviation</w:t>
            </w:r>
          </w:p>
        </w:tc>
      </w:tr>
      <w:tr w:rsidR="007C6854" w14:paraId="388E038B" w14:textId="77777777">
        <w:trPr>
          <w:trHeight w:val="765"/>
        </w:trPr>
        <w:tc>
          <w:tcPr>
            <w:tcW w:w="2262"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59FB19BB" w14:textId="77777777" w:rsidR="007C6854" w:rsidRDefault="00E0219E">
            <w:pPr>
              <w:spacing w:line="360" w:lineRule="auto"/>
              <w:rPr>
                <w:rFonts w:eastAsia="Arial" w:cs="Arial"/>
                <w:b/>
                <w:szCs w:val="24"/>
              </w:rPr>
            </w:pPr>
            <w:r>
              <w:rPr>
                <w:rFonts w:eastAsia="Arial" w:cs="Arial"/>
                <w:b/>
                <w:szCs w:val="24"/>
              </w:rPr>
              <w:t>UPOU-FMDS</w:t>
            </w:r>
          </w:p>
        </w:tc>
        <w:tc>
          <w:tcPr>
            <w:tcW w:w="6603"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1116F3A7" w14:textId="77777777" w:rsidR="007C6854" w:rsidRDefault="00E0219E">
            <w:pPr>
              <w:spacing w:line="360" w:lineRule="auto"/>
              <w:rPr>
                <w:rFonts w:eastAsia="Arial" w:cs="Arial"/>
                <w:szCs w:val="24"/>
              </w:rPr>
            </w:pPr>
            <w:r>
              <w:rPr>
                <w:rFonts w:eastAsia="Arial" w:cs="Arial"/>
                <w:szCs w:val="24"/>
              </w:rPr>
              <w:t>University of the Philippines Faculty of Management and Development Studies</w:t>
            </w:r>
          </w:p>
        </w:tc>
      </w:tr>
      <w:tr w:rsidR="007C6854" w14:paraId="78E12FCF" w14:textId="77777777">
        <w:trPr>
          <w:trHeight w:val="495"/>
        </w:trPr>
        <w:tc>
          <w:tcPr>
            <w:tcW w:w="2262"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3B2AB5FA" w14:textId="77777777" w:rsidR="007C6854" w:rsidRDefault="00E0219E">
            <w:pPr>
              <w:spacing w:line="360" w:lineRule="auto"/>
              <w:rPr>
                <w:rFonts w:eastAsia="Arial" w:cs="Arial"/>
                <w:b/>
                <w:szCs w:val="24"/>
              </w:rPr>
            </w:pPr>
            <w:r>
              <w:rPr>
                <w:rFonts w:eastAsia="Arial" w:cs="Arial"/>
                <w:b/>
                <w:szCs w:val="24"/>
              </w:rPr>
              <w:t>UPOU-IREC</w:t>
            </w:r>
          </w:p>
        </w:tc>
        <w:tc>
          <w:tcPr>
            <w:tcW w:w="6603"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7094006C" w14:textId="77777777" w:rsidR="007C6854" w:rsidRDefault="00E0219E">
            <w:pPr>
              <w:spacing w:line="360" w:lineRule="auto"/>
              <w:rPr>
                <w:rFonts w:eastAsia="Arial" w:cs="Arial"/>
                <w:szCs w:val="24"/>
              </w:rPr>
            </w:pPr>
            <w:r>
              <w:rPr>
                <w:rFonts w:eastAsia="Arial" w:cs="Arial"/>
                <w:szCs w:val="24"/>
              </w:rPr>
              <w:t>University of the Philippines Institutional Research Ethics Committee</w:t>
            </w:r>
          </w:p>
        </w:tc>
      </w:tr>
      <w:tr w:rsidR="007C6854" w14:paraId="097319C0" w14:textId="77777777">
        <w:trPr>
          <w:trHeight w:val="495"/>
        </w:trPr>
        <w:tc>
          <w:tcPr>
            <w:tcW w:w="2262"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71F40CB6" w14:textId="77777777" w:rsidR="007C6854" w:rsidRDefault="00E0219E">
            <w:pPr>
              <w:spacing w:line="360" w:lineRule="auto"/>
              <w:rPr>
                <w:rFonts w:eastAsia="Arial" w:cs="Arial"/>
                <w:b/>
                <w:szCs w:val="24"/>
              </w:rPr>
            </w:pPr>
            <w:r>
              <w:rPr>
                <w:rFonts w:eastAsia="Arial" w:cs="Arial"/>
                <w:b/>
                <w:szCs w:val="24"/>
              </w:rPr>
              <w:t>Urban HEART</w:t>
            </w:r>
          </w:p>
        </w:tc>
        <w:tc>
          <w:tcPr>
            <w:tcW w:w="6603"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3A988D57" w14:textId="77777777" w:rsidR="007C6854" w:rsidRDefault="00E0219E">
            <w:pPr>
              <w:spacing w:line="360" w:lineRule="auto"/>
              <w:rPr>
                <w:rFonts w:eastAsia="Arial" w:cs="Arial"/>
                <w:szCs w:val="24"/>
              </w:rPr>
            </w:pPr>
            <w:r>
              <w:rPr>
                <w:rFonts w:eastAsia="Arial" w:cs="Arial"/>
                <w:szCs w:val="24"/>
              </w:rPr>
              <w:t>Urban Health Equity Assessment and Response Tool</w:t>
            </w:r>
          </w:p>
        </w:tc>
      </w:tr>
    </w:tbl>
    <w:p w14:paraId="6F7C69D1" w14:textId="77777777" w:rsidR="007C6854" w:rsidRDefault="007C6854">
      <w:pPr>
        <w:spacing w:after="0" w:line="360" w:lineRule="auto"/>
        <w:rPr>
          <w:rFonts w:eastAsia="Arial" w:cs="Arial"/>
          <w:b/>
          <w:szCs w:val="24"/>
        </w:rPr>
        <w:sectPr w:rsidR="007C6854">
          <w:headerReference w:type="default" r:id="rId34"/>
          <w:footerReference w:type="default" r:id="rId35"/>
          <w:pgSz w:w="11906" w:h="16838"/>
          <w:pgMar w:top="1440" w:right="1440" w:bottom="1440" w:left="1440" w:header="0" w:footer="0" w:gutter="0"/>
          <w:cols w:space="720"/>
        </w:sectPr>
      </w:pPr>
    </w:p>
    <w:p w14:paraId="12F45F87" w14:textId="77777777" w:rsidR="007C6854" w:rsidRDefault="007C6854">
      <w:pPr>
        <w:widowControl w:val="0"/>
        <w:pBdr>
          <w:top w:val="nil"/>
          <w:left w:val="nil"/>
          <w:bottom w:val="nil"/>
          <w:right w:val="nil"/>
          <w:between w:val="nil"/>
        </w:pBdr>
        <w:spacing w:after="0"/>
        <w:rPr>
          <w:rFonts w:eastAsia="Arial" w:cs="Arial"/>
          <w:b/>
          <w:szCs w:val="24"/>
        </w:rPr>
      </w:pPr>
    </w:p>
    <w:tbl>
      <w:tblPr>
        <w:tblStyle w:val="afff0"/>
        <w:tblW w:w="8865" w:type="dxa"/>
        <w:tblBorders>
          <w:top w:val="nil"/>
          <w:left w:val="nil"/>
          <w:bottom w:val="nil"/>
          <w:right w:val="nil"/>
          <w:insideH w:val="nil"/>
          <w:insideV w:val="nil"/>
        </w:tblBorders>
        <w:tblLayout w:type="fixed"/>
        <w:tblLook w:val="0600" w:firstRow="0" w:lastRow="0" w:firstColumn="0" w:lastColumn="0" w:noHBand="1" w:noVBand="1"/>
      </w:tblPr>
      <w:tblGrid>
        <w:gridCol w:w="2262"/>
        <w:gridCol w:w="6603"/>
      </w:tblGrid>
      <w:tr w:rsidR="007C6854" w14:paraId="5F51A75F" w14:textId="77777777">
        <w:trPr>
          <w:trHeight w:val="495"/>
        </w:trPr>
        <w:tc>
          <w:tcPr>
            <w:tcW w:w="2262"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44018766" w14:textId="77777777" w:rsidR="007C6854" w:rsidRDefault="00E0219E">
            <w:pPr>
              <w:spacing w:line="360" w:lineRule="auto"/>
              <w:rPr>
                <w:rFonts w:eastAsia="Arial" w:cs="Arial"/>
                <w:b/>
                <w:szCs w:val="24"/>
              </w:rPr>
            </w:pPr>
            <w:r>
              <w:rPr>
                <w:rFonts w:eastAsia="Arial" w:cs="Arial"/>
                <w:b/>
                <w:szCs w:val="24"/>
              </w:rPr>
              <w:t>WHO</w:t>
            </w:r>
          </w:p>
        </w:tc>
        <w:tc>
          <w:tcPr>
            <w:tcW w:w="6603"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09B4273B" w14:textId="77777777" w:rsidR="007C6854" w:rsidRDefault="00E0219E">
            <w:pPr>
              <w:spacing w:line="360" w:lineRule="auto"/>
              <w:rPr>
                <w:rFonts w:eastAsia="Arial" w:cs="Arial"/>
                <w:szCs w:val="24"/>
              </w:rPr>
            </w:pPr>
            <w:r>
              <w:rPr>
                <w:rFonts w:eastAsia="Arial" w:cs="Arial"/>
                <w:szCs w:val="24"/>
              </w:rPr>
              <w:t>World Health Organization</w:t>
            </w:r>
          </w:p>
        </w:tc>
      </w:tr>
      <w:tr w:rsidR="007C6854" w14:paraId="641A09D0" w14:textId="77777777">
        <w:trPr>
          <w:trHeight w:val="765"/>
        </w:trPr>
        <w:tc>
          <w:tcPr>
            <w:tcW w:w="2262"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5A8ED667" w14:textId="77777777" w:rsidR="007C6854" w:rsidRDefault="00E0219E">
            <w:pPr>
              <w:spacing w:line="360" w:lineRule="auto"/>
              <w:rPr>
                <w:rFonts w:eastAsia="Arial" w:cs="Arial"/>
                <w:b/>
                <w:szCs w:val="24"/>
              </w:rPr>
            </w:pPr>
            <w:r>
              <w:rPr>
                <w:rFonts w:eastAsia="Arial" w:cs="Arial"/>
                <w:b/>
                <w:szCs w:val="24"/>
              </w:rPr>
              <w:t>WHO-PEN</w:t>
            </w:r>
          </w:p>
        </w:tc>
        <w:tc>
          <w:tcPr>
            <w:tcW w:w="6603" w:type="dxa"/>
            <w:tcBorders>
              <w:top w:val="single" w:sz="5" w:space="0" w:color="FFFFFF"/>
              <w:left w:val="single" w:sz="5" w:space="0" w:color="FFFFFF"/>
              <w:bottom w:val="single" w:sz="5" w:space="0" w:color="FFFFFF"/>
              <w:right w:val="single" w:sz="5" w:space="0" w:color="FFFFFF"/>
            </w:tcBorders>
            <w:tcMar>
              <w:top w:w="100" w:type="dxa"/>
              <w:left w:w="100" w:type="dxa"/>
              <w:bottom w:w="100" w:type="dxa"/>
              <w:right w:w="100" w:type="dxa"/>
            </w:tcMar>
          </w:tcPr>
          <w:p w14:paraId="34C42707" w14:textId="77777777" w:rsidR="007C6854" w:rsidRDefault="00E0219E">
            <w:pPr>
              <w:spacing w:line="360" w:lineRule="auto"/>
              <w:rPr>
                <w:rFonts w:eastAsia="Arial" w:cs="Arial"/>
                <w:szCs w:val="24"/>
              </w:rPr>
            </w:pPr>
            <w:r>
              <w:rPr>
                <w:rFonts w:eastAsia="Arial" w:cs="Arial"/>
                <w:szCs w:val="24"/>
              </w:rPr>
              <w:t>World Health Organization Package of Essential Noncommunicable Disease Intervention for Primary Healthcare Facilities</w:t>
            </w:r>
          </w:p>
        </w:tc>
      </w:tr>
    </w:tbl>
    <w:p w14:paraId="31388B38" w14:textId="77777777" w:rsidR="007C6854" w:rsidRDefault="007C6854">
      <w:pPr>
        <w:rPr>
          <w:rFonts w:eastAsia="Arial" w:cs="Arial"/>
          <w:szCs w:val="24"/>
        </w:rPr>
        <w:sectPr w:rsidR="007C6854">
          <w:headerReference w:type="default" r:id="rId36"/>
          <w:footerReference w:type="default" r:id="rId37"/>
          <w:pgSz w:w="11906" w:h="16838"/>
          <w:pgMar w:top="1440" w:right="1440" w:bottom="1440" w:left="1440" w:header="0" w:footer="0" w:gutter="0"/>
          <w:pgNumType w:start="1"/>
          <w:cols w:space="720"/>
        </w:sectPr>
      </w:pPr>
    </w:p>
    <w:p w14:paraId="61419F36" w14:textId="77777777" w:rsidR="007C6854" w:rsidRDefault="00E0219E" w:rsidP="00894763">
      <w:pPr>
        <w:pStyle w:val="Heading1"/>
        <w:spacing w:line="240" w:lineRule="auto"/>
        <w:jc w:val="center"/>
        <w:rPr>
          <w:rFonts w:eastAsia="Arial" w:cs="Arial"/>
          <w:sz w:val="24"/>
          <w:szCs w:val="24"/>
        </w:rPr>
      </w:pPr>
      <w:bookmarkStart w:id="1" w:name="_heading=h.30j0zll" w:colFirst="0" w:colLast="0"/>
      <w:bookmarkEnd w:id="1"/>
      <w:r>
        <w:rPr>
          <w:rFonts w:eastAsia="Arial" w:cs="Arial"/>
          <w:sz w:val="24"/>
          <w:szCs w:val="24"/>
        </w:rPr>
        <w:lastRenderedPageBreak/>
        <w:t>Chapter I</w:t>
      </w:r>
    </w:p>
    <w:p w14:paraId="2D85B97A" w14:textId="77777777" w:rsidR="007C6854" w:rsidRDefault="00E0219E" w:rsidP="00894763">
      <w:pPr>
        <w:pStyle w:val="Heading1"/>
        <w:spacing w:line="480" w:lineRule="auto"/>
        <w:jc w:val="center"/>
        <w:rPr>
          <w:rFonts w:eastAsia="Arial" w:cs="Arial"/>
          <w:sz w:val="24"/>
          <w:szCs w:val="24"/>
        </w:rPr>
      </w:pPr>
      <w:bookmarkStart w:id="2" w:name="_heading=h.3znysh7" w:colFirst="0" w:colLast="0"/>
      <w:bookmarkEnd w:id="2"/>
      <w:r>
        <w:rPr>
          <w:rFonts w:eastAsia="Arial" w:cs="Arial"/>
          <w:sz w:val="24"/>
          <w:szCs w:val="24"/>
        </w:rPr>
        <w:t>THE RESEARCH PROBLEM</w:t>
      </w:r>
    </w:p>
    <w:p w14:paraId="12C2546A" w14:textId="7FBB3ED3" w:rsidR="007C6854" w:rsidRPr="00894763" w:rsidRDefault="00E0219E" w:rsidP="00894763">
      <w:pPr>
        <w:pStyle w:val="Heading2"/>
        <w:spacing w:line="480" w:lineRule="auto"/>
        <w:jc w:val="center"/>
        <w:rPr>
          <w:rFonts w:eastAsia="Arial" w:cs="Arial"/>
          <w:sz w:val="24"/>
          <w:szCs w:val="24"/>
        </w:rPr>
      </w:pPr>
      <w:bookmarkStart w:id="3" w:name="_heading=h.3dy6vkm" w:colFirst="0" w:colLast="0"/>
      <w:bookmarkEnd w:id="3"/>
      <w:r>
        <w:rPr>
          <w:rFonts w:eastAsia="Arial" w:cs="Arial"/>
          <w:sz w:val="24"/>
          <w:szCs w:val="24"/>
        </w:rPr>
        <w:t>Background of the Study</w:t>
      </w:r>
    </w:p>
    <w:p w14:paraId="3F90CB07" w14:textId="77777777" w:rsidR="00E95D0C" w:rsidRDefault="00930910" w:rsidP="00E95D0C">
      <w:pPr>
        <w:pBdr>
          <w:top w:val="nil"/>
          <w:left w:val="nil"/>
          <w:bottom w:val="nil"/>
          <w:right w:val="nil"/>
          <w:between w:val="nil"/>
        </w:pBdr>
        <w:spacing w:after="160" w:line="480" w:lineRule="auto"/>
        <w:ind w:firstLine="720"/>
        <w:jc w:val="both"/>
        <w:rPr>
          <w:rFonts w:eastAsia="Arial" w:cs="Arial"/>
          <w:szCs w:val="24"/>
        </w:rPr>
      </w:pPr>
      <w:r w:rsidRPr="00930910">
        <w:rPr>
          <w:rFonts w:eastAsia="Arial" w:cs="Arial"/>
          <w:color w:val="000000"/>
          <w:szCs w:val="24"/>
        </w:rPr>
        <w:t>Noncommunicable diseases (NCDs) are widely recognized as a significant global health risk, posing a threat to the achievement of the 2030 Agenda for Sustainable Development (WHO, 2021). Among these NCDs, hypertension stands out as a leading cause of premature death worldwide (WHO, 2021). In fact, the WHO (2021) has set a global target to reduce the prevalence of hypertension by 33% between 2010 and 2030.</w:t>
      </w:r>
      <w:r>
        <w:rPr>
          <w:rFonts w:eastAsia="Arial" w:cs="Arial"/>
          <w:color w:val="000000"/>
          <w:szCs w:val="24"/>
        </w:rPr>
        <w:t xml:space="preserve"> </w:t>
      </w:r>
      <w:r w:rsidRPr="00930910">
        <w:rPr>
          <w:rFonts w:eastAsia="Arial" w:cs="Arial"/>
          <w:szCs w:val="24"/>
        </w:rPr>
        <w:t>Hypertension is a severe medical condition that wreaks havoc on vital organs such as the heart, brain, and others. If left undetected and untreated, it can result in lifelong disability or even death (WHO, 2021). This disease knows no boundaries, affecting individuals of all ages, ethnicities, and races. Shockingly, it is estimated that a staggering 1.28 billion adults aged 30 to 79 are affected by hypertension, with a significant concentration in low- and middle-income countries. Adding to the concern, a substantial 46% of adults with hypertension are unaware of their condition (WHO, 2021).</w:t>
      </w:r>
      <w:r w:rsidR="00E0219E">
        <w:rPr>
          <w:rFonts w:eastAsia="Arial" w:cs="Arial"/>
          <w:szCs w:val="24"/>
        </w:rPr>
        <w:t xml:space="preserve"> The modifiable risk factors caused by rapid unplanned urbanization, globalization of unhealthy lifestyles, and population aging exacerbate hypertension. These risk factors are u</w:t>
      </w:r>
      <w:r w:rsidR="00E0219E">
        <w:rPr>
          <w:rFonts w:eastAsia="Arial" w:cs="Arial"/>
          <w:color w:val="000000"/>
          <w:szCs w:val="24"/>
        </w:rPr>
        <w:t>nhealthy diets, physical inactivity, exposure to tobacco smoke, and harmful intake of alcohol (WHO, 2021).</w:t>
      </w:r>
      <w:r w:rsidR="00E0219E">
        <w:rPr>
          <w:rFonts w:eastAsia="Arial" w:cs="Arial"/>
          <w:szCs w:val="24"/>
        </w:rPr>
        <w:t xml:space="preserve"> In the United States alone, hypertension costs $131 to $198 billion annually. The total cost includes healthcare services, medications, and loss of productivity from premature death (CDC, 2022). In the study of </w:t>
      </w:r>
      <w:r w:rsidR="00E0219E">
        <w:rPr>
          <w:rFonts w:eastAsia="Arial" w:cs="Arial"/>
          <w:i/>
          <w:szCs w:val="24"/>
        </w:rPr>
        <w:t>Wang, G. et al. (2017)</w:t>
      </w:r>
      <w:r w:rsidR="00E0219E">
        <w:rPr>
          <w:rFonts w:eastAsia="Arial" w:cs="Arial"/>
          <w:szCs w:val="24"/>
        </w:rPr>
        <w:t xml:space="preserve"> concluded that hypertension has a substantial health and economic burden and is a growing public health priority. Also, </w:t>
      </w:r>
      <w:r w:rsidR="00E0219E">
        <w:rPr>
          <w:rFonts w:eastAsia="Arial" w:cs="Arial"/>
          <w:szCs w:val="24"/>
        </w:rPr>
        <w:lastRenderedPageBreak/>
        <w:t>hospitalization services alone account for 56% of hypertension-associated expenditures.</w:t>
      </w:r>
    </w:p>
    <w:p w14:paraId="53D09AC5" w14:textId="31DE7DE7" w:rsidR="00E95D0C" w:rsidRDefault="007F1B1E" w:rsidP="00E95D0C">
      <w:pPr>
        <w:pBdr>
          <w:top w:val="nil"/>
          <w:left w:val="nil"/>
          <w:bottom w:val="nil"/>
          <w:right w:val="nil"/>
          <w:between w:val="nil"/>
        </w:pBdr>
        <w:spacing w:after="160" w:line="480" w:lineRule="auto"/>
        <w:ind w:firstLine="720"/>
        <w:jc w:val="both"/>
        <w:rPr>
          <w:rFonts w:eastAsia="Arial" w:cs="Arial"/>
          <w:szCs w:val="24"/>
        </w:rPr>
      </w:pPr>
      <w:r w:rsidRPr="007F1B1E">
        <w:rPr>
          <w:rFonts w:eastAsia="Arial" w:cs="Arial"/>
          <w:szCs w:val="24"/>
        </w:rPr>
        <w:t>In the context of hypertension and urban poverty, urbanization presents both opportunities and risks. However, it is important to note that rapid urbanization can exacerbate poverty, resulting in a burden of non-communicable diseases (NCDs), including hypertension (World Health Organization [WHO], n.d.). Between 1960 and 2014, there was a significant surge in the urban population, and this trend continues to this day. The increase can be attributed to factors such as longer life expectancy, higher birth rates, and migration rates. The challenge lies in the fact that the number of people residing in urban areas is projected to rise until 2030, with an estimated 6.5 billion individuals expected to be living in cities by 2050 (WHO, n.d.; UNDP, n.d.).</w:t>
      </w:r>
      <w:r>
        <w:rPr>
          <w:rFonts w:eastAsia="Arial" w:cs="Arial"/>
          <w:szCs w:val="24"/>
        </w:rPr>
        <w:t xml:space="preserve"> </w:t>
      </w:r>
      <w:r w:rsidRPr="007F1B1E">
        <w:rPr>
          <w:rFonts w:eastAsia="Arial" w:cs="Arial"/>
          <w:szCs w:val="24"/>
        </w:rPr>
        <w:t>According to WHO (2014), nearly half of the global population, or 48.8%, resided in urban areas in 2014. Research conducted by Low et al. (2015) suggests that globalization, urbanization, sedentary lifestyles, obesity, and hypertension are all interconnected, contributing to the underlying risk faced by individuals.</w:t>
      </w:r>
      <w:r>
        <w:rPr>
          <w:rFonts w:eastAsia="Arial" w:cs="Arial"/>
          <w:szCs w:val="24"/>
        </w:rPr>
        <w:t xml:space="preserve"> </w:t>
      </w:r>
    </w:p>
    <w:p w14:paraId="3C77912F" w14:textId="04CE49EB" w:rsidR="00E95D0C" w:rsidRDefault="00E95D0C" w:rsidP="00E95D0C">
      <w:pPr>
        <w:pBdr>
          <w:top w:val="nil"/>
          <w:left w:val="nil"/>
          <w:bottom w:val="nil"/>
          <w:right w:val="nil"/>
          <w:between w:val="nil"/>
        </w:pBdr>
        <w:spacing w:after="160" w:line="480" w:lineRule="auto"/>
        <w:ind w:firstLine="420"/>
        <w:jc w:val="both"/>
        <w:rPr>
          <w:rFonts w:eastAsia="Arial" w:cs="Arial"/>
          <w:szCs w:val="24"/>
        </w:rPr>
      </w:pPr>
      <w:r>
        <w:rPr>
          <w:rFonts w:eastAsia="Arial" w:cs="Arial"/>
          <w:szCs w:val="24"/>
        </w:rPr>
        <w:tab/>
      </w:r>
      <w:r w:rsidR="007F1B1E" w:rsidRPr="007F1B1E">
        <w:rPr>
          <w:rFonts w:eastAsia="Arial" w:cs="Arial"/>
          <w:szCs w:val="24"/>
        </w:rPr>
        <w:t>In low- and middle-income countries, urbanization has been found to be associated with an increased risk of heart diseases, diabetes, and chronic respiratory diseases, particularly among children (</w:t>
      </w:r>
      <w:proofErr w:type="spellStart"/>
      <w:r w:rsidR="007F1B1E" w:rsidRPr="007F1B1E">
        <w:rPr>
          <w:rFonts w:eastAsia="Arial" w:cs="Arial"/>
          <w:szCs w:val="24"/>
        </w:rPr>
        <w:t>Angkurawaranon</w:t>
      </w:r>
      <w:proofErr w:type="spellEnd"/>
      <w:r w:rsidR="007F1B1E" w:rsidRPr="007F1B1E">
        <w:rPr>
          <w:rFonts w:eastAsia="Arial" w:cs="Arial"/>
          <w:szCs w:val="24"/>
        </w:rPr>
        <w:t xml:space="preserve"> et al., 2014). Low et al. (2015) have reported that stroke and heart disease are prevalent among individuals belonging to the poor socioeconomic group. This can be attributed to their limited access to healthcare services, lack of understanding of legislation and regulation, and poor access to health policies. A study conducted by the Asian Development Bank in Indonesia has revealed that hypertension is more prevalent among the wealthier group, which is paradoxically associated with their inadequate access to medical care and treatment. However, it is important to note that in some areas, there is no disparity </w:t>
      </w:r>
      <w:r w:rsidR="007F1B1E" w:rsidRPr="007F1B1E">
        <w:rPr>
          <w:rFonts w:eastAsia="Arial" w:cs="Arial"/>
          <w:szCs w:val="24"/>
        </w:rPr>
        <w:lastRenderedPageBreak/>
        <w:t>between the wealthier and poorer groups, indicating that both groups face a higher risk of hypertension (Aizawa, T., &amp; Helble, M., 2016)</w:t>
      </w:r>
      <w:r w:rsidR="007F1B1E">
        <w:rPr>
          <w:rFonts w:eastAsia="Arial" w:cs="Arial"/>
          <w:szCs w:val="24"/>
        </w:rPr>
        <w:t>.</w:t>
      </w:r>
    </w:p>
    <w:p w14:paraId="55AA301E" w14:textId="52097DAF" w:rsidR="007F1B1E" w:rsidRDefault="00E95D0C" w:rsidP="00E95D0C">
      <w:pPr>
        <w:pBdr>
          <w:top w:val="nil"/>
          <w:left w:val="nil"/>
          <w:bottom w:val="nil"/>
          <w:right w:val="nil"/>
          <w:between w:val="nil"/>
        </w:pBdr>
        <w:spacing w:after="160" w:line="480" w:lineRule="auto"/>
        <w:ind w:firstLine="420"/>
        <w:jc w:val="both"/>
        <w:rPr>
          <w:rFonts w:eastAsia="Arial" w:cs="Arial"/>
          <w:szCs w:val="24"/>
        </w:rPr>
      </w:pPr>
      <w:r>
        <w:rPr>
          <w:rFonts w:eastAsia="Arial" w:cs="Arial"/>
          <w:szCs w:val="24"/>
        </w:rPr>
        <w:tab/>
      </w:r>
      <w:r w:rsidR="007F1B1E" w:rsidRPr="007F1B1E">
        <w:rPr>
          <w:rFonts w:eastAsia="Arial" w:cs="Arial"/>
          <w:szCs w:val="24"/>
        </w:rPr>
        <w:t xml:space="preserve">The Philippines recognizes the significant threat posed by hypertension and has implemented the Package of Essential Noncommunicable Diseases (PEN) Intervention in Primary Health Care Facilities. This comprehensive program aims to detect, manage, and treat hypertension and diabetes. The adoption of this package was made official through the Department of Health Administrative Order, known as the </w:t>
      </w:r>
      <w:proofErr w:type="spellStart"/>
      <w:r w:rsidR="007F1B1E" w:rsidRPr="007F1B1E">
        <w:rPr>
          <w:rFonts w:eastAsia="Arial" w:cs="Arial"/>
          <w:szCs w:val="24"/>
        </w:rPr>
        <w:t>PhilPEN</w:t>
      </w:r>
      <w:proofErr w:type="spellEnd"/>
      <w:r w:rsidR="007F1B1E" w:rsidRPr="007F1B1E">
        <w:rPr>
          <w:rFonts w:eastAsia="Arial" w:cs="Arial"/>
          <w:szCs w:val="24"/>
        </w:rPr>
        <w:t>, or Philippine Package of Essential NCD Intervention on the Integrated Management of Hypertension and Diabetes for Primary Health Care Facilities (DOH, 2012).</w:t>
      </w:r>
      <w:r w:rsidR="007F1B1E">
        <w:rPr>
          <w:rFonts w:eastAsia="Arial" w:cs="Arial"/>
          <w:szCs w:val="24"/>
        </w:rPr>
        <w:t xml:space="preserve"> </w:t>
      </w:r>
      <w:r w:rsidR="007F1B1E" w:rsidRPr="007F1B1E">
        <w:rPr>
          <w:rFonts w:eastAsia="Arial" w:cs="Arial"/>
          <w:szCs w:val="24"/>
        </w:rPr>
        <w:t>The initial pilot of PEN took place in Pateros in 2011, as reported by the World Health Organization (WHO, 2011). Despite these efforts, the Field Health Services Information System (2018) report consistently indicates that hypertension remains the country's second leading cause of morbidity from 2016 to 2018. Furthermore, the same report reveals that hypertension is also the second leading cause of morbidity in the National Capital Region (FHSIS, 2018).</w:t>
      </w:r>
      <w:r w:rsidR="007F1B1E">
        <w:rPr>
          <w:rFonts w:eastAsia="Arial" w:cs="Arial"/>
          <w:szCs w:val="24"/>
        </w:rPr>
        <w:t xml:space="preserve"> </w:t>
      </w:r>
      <w:r w:rsidR="007F1B1E" w:rsidRPr="007F1B1E">
        <w:rPr>
          <w:rFonts w:eastAsia="Arial" w:cs="Arial"/>
          <w:szCs w:val="24"/>
        </w:rPr>
        <w:t>In contrast, the Philippine Health Statistics (2016) identify heart diseases as the country's top leading cause of mortality, followed by malignant neoplasms and diseases of the cerebrovascular system. Notably, the prevalence of heart diseases has shown an upward trend from 1966 to 2016 (PHS, 2016). The mortality report of Pateros in 2018 highlights cancer, hypertension, stroke, heart attack, and pneumonia as the five leading causes of death (PHD, 2018).</w:t>
      </w:r>
    </w:p>
    <w:p w14:paraId="1A197748" w14:textId="1DA22406" w:rsidR="007F1B1E" w:rsidRDefault="00E95D0C" w:rsidP="00E95D0C">
      <w:pPr>
        <w:pBdr>
          <w:top w:val="nil"/>
          <w:left w:val="nil"/>
          <w:bottom w:val="nil"/>
          <w:right w:val="nil"/>
          <w:between w:val="nil"/>
        </w:pBdr>
        <w:spacing w:after="160" w:line="480" w:lineRule="auto"/>
        <w:jc w:val="both"/>
        <w:rPr>
          <w:rFonts w:eastAsia="Arial" w:cs="Arial"/>
          <w:szCs w:val="24"/>
        </w:rPr>
      </w:pPr>
      <w:r>
        <w:rPr>
          <w:rFonts w:eastAsia="Arial" w:cs="Arial"/>
          <w:szCs w:val="24"/>
        </w:rPr>
        <w:tab/>
      </w:r>
      <w:r w:rsidR="007F1B1E" w:rsidRPr="007F1B1E">
        <w:rPr>
          <w:rFonts w:eastAsia="Arial" w:cs="Arial"/>
          <w:szCs w:val="24"/>
        </w:rPr>
        <w:t xml:space="preserve">In addition to socio-ecological factors exacerbating hypertension, health literacy also plays a significant role in its impact. The World Health Organization (1998) defines health literacy as the cognitive and social skills that determine an individual's motivation and ability to access, understand, and utilize information in ways that </w:t>
      </w:r>
      <w:r w:rsidR="007F1B1E" w:rsidRPr="007F1B1E">
        <w:rPr>
          <w:rFonts w:eastAsia="Arial" w:cs="Arial"/>
          <w:szCs w:val="24"/>
        </w:rPr>
        <w:lastRenderedPageBreak/>
        <w:t>promote and maintain good health. Health literacy is crucial in assessing individual health and identifying gaps in healthcare access.</w:t>
      </w:r>
      <w:r w:rsidR="007F1B1E">
        <w:rPr>
          <w:rFonts w:eastAsia="Arial" w:cs="Arial"/>
          <w:szCs w:val="24"/>
        </w:rPr>
        <w:t xml:space="preserve"> </w:t>
      </w:r>
      <w:r w:rsidR="007F1B1E" w:rsidRPr="007F1B1E">
        <w:rPr>
          <w:rFonts w:eastAsia="Arial" w:cs="Arial"/>
          <w:szCs w:val="24"/>
        </w:rPr>
        <w:t>According to Osborne et al. (2013), low health literacy is associated with a range of adverse outcomes. These include increased mortality rates, higher hospitalization rates, reduced utilization of preventive healthcare services, poor adherence to prescribed medications, difficulties in communicating with healthcare professionals, and limited knowledge about disease processes and self-management skills among individuals with chronic conditions like diabetes and heart disease. Furthermore, low health literacy has been linked to escalating healthcare costs.</w:t>
      </w:r>
    </w:p>
    <w:p w14:paraId="69567240" w14:textId="205FFE0E" w:rsidR="00B200BA" w:rsidRDefault="00E95D0C" w:rsidP="00E95D0C">
      <w:pPr>
        <w:pBdr>
          <w:top w:val="nil"/>
          <w:left w:val="nil"/>
          <w:bottom w:val="nil"/>
          <w:right w:val="nil"/>
          <w:between w:val="nil"/>
        </w:pBdr>
        <w:spacing w:after="160" w:line="480" w:lineRule="auto"/>
        <w:jc w:val="both"/>
        <w:rPr>
          <w:rFonts w:eastAsia="Arial" w:cs="Arial"/>
          <w:szCs w:val="24"/>
        </w:rPr>
      </w:pPr>
      <w:r>
        <w:rPr>
          <w:rFonts w:eastAsia="Arial" w:cs="Arial"/>
          <w:szCs w:val="24"/>
        </w:rPr>
        <w:tab/>
      </w:r>
      <w:r w:rsidR="00B200BA" w:rsidRPr="00B200BA">
        <w:rPr>
          <w:rFonts w:eastAsia="Arial" w:cs="Arial"/>
          <w:szCs w:val="24"/>
        </w:rPr>
        <w:t xml:space="preserve">Health literacy plays a crucial role in public health, as it directly impacts our society's ability to address health inequities (Paasche-Orlow, 2017). However, it is disheartening to note that there is a scarcity of published journals on this subject. Qi, S. et al. (2021) have highlighted the limited availability of publications on health literacy. To combat this issue, various initiatives have been introduced to support and encourage researchers to publish their findings on health literacy research and practices (Paasche-Orlow, 2017). In their meta-analysis, Qi, S. et al. (2021) observed a significant increase in the number of published articles on health literacy in 2019. However, it is worth noting that there is currently no definitive established tool for measuring health literacy. Instead, multiple validated tools are used to measure one or more domains of health literacy (Qi, S., et al., 2021; Altin, S.V., Finke, I., Kautz-Freimuth, S., et al., 2014). When it comes to health literacy and hypertension, the available studies are limited. Mohd. Isa, D. et al. (2021) found that out of the 1,960 articles reviewed for inclusion in their study on the association between health literacy and hypertension, only 39 full texts met the criteria. This scarcity of research highlights the need for further investigation in this area. The importance of health literacy cannot </w:t>
      </w:r>
      <w:r w:rsidR="00B200BA" w:rsidRPr="00B200BA">
        <w:rPr>
          <w:rFonts w:eastAsia="Arial" w:cs="Arial"/>
          <w:szCs w:val="24"/>
        </w:rPr>
        <w:lastRenderedPageBreak/>
        <w:t>be overstated. Health literacy responsiveness refers to how services, environments, and products make health information and support accessible to individuals with varying levels of health literacy (Dodson et al., 2014). According to Dodson et al. (2014), four factors significantly influence individual decision-making: information, environment, resources, and support. By effectively addressing health literacy issues, we can improve health outcomes and reduce health inequities.</w:t>
      </w:r>
    </w:p>
    <w:p w14:paraId="574CE607" w14:textId="316C979F" w:rsidR="007C6854" w:rsidRDefault="00E95D0C" w:rsidP="00E95D0C">
      <w:pPr>
        <w:pBdr>
          <w:top w:val="nil"/>
          <w:left w:val="nil"/>
          <w:bottom w:val="nil"/>
          <w:right w:val="nil"/>
          <w:between w:val="nil"/>
        </w:pBdr>
        <w:spacing w:after="160" w:line="480" w:lineRule="auto"/>
        <w:jc w:val="both"/>
        <w:rPr>
          <w:rFonts w:eastAsia="Arial" w:cs="Arial"/>
          <w:color w:val="000000"/>
          <w:szCs w:val="24"/>
        </w:rPr>
      </w:pPr>
      <w:r>
        <w:rPr>
          <w:rFonts w:eastAsia="Arial" w:cs="Arial"/>
          <w:color w:val="000000"/>
          <w:szCs w:val="24"/>
        </w:rPr>
        <w:tab/>
      </w:r>
      <w:r w:rsidR="00B200BA" w:rsidRPr="00B200BA">
        <w:rPr>
          <w:rFonts w:eastAsia="Arial" w:cs="Arial"/>
          <w:color w:val="000000"/>
          <w:szCs w:val="24"/>
        </w:rPr>
        <w:t xml:space="preserve">In this regard, the research aims to </w:t>
      </w:r>
      <w:r w:rsidRPr="00E95D0C">
        <w:rPr>
          <w:rFonts w:eastAsia="Arial" w:cs="Arial"/>
          <w:color w:val="000000"/>
          <w:szCs w:val="24"/>
        </w:rPr>
        <w:t>provide an understanding of health literacy</w:t>
      </w:r>
      <w:r w:rsidR="00B200BA" w:rsidRPr="00B200BA">
        <w:rPr>
          <w:rFonts w:eastAsia="Arial" w:cs="Arial"/>
          <w:color w:val="000000"/>
          <w:szCs w:val="24"/>
        </w:rPr>
        <w:t xml:space="preserve"> and various factors that contribute to the heightened susceptibility of urban poor settlers to hypertension</w:t>
      </w:r>
      <w:r w:rsidR="00E0219E">
        <w:rPr>
          <w:rFonts w:eastAsia="Arial" w:cs="Arial"/>
          <w:color w:val="000000"/>
          <w:szCs w:val="24"/>
        </w:rPr>
        <w:t>.</w:t>
      </w:r>
    </w:p>
    <w:p w14:paraId="3C21858B" w14:textId="77777777" w:rsidR="007C6854" w:rsidRDefault="00E0219E">
      <w:pPr>
        <w:pStyle w:val="Heading2"/>
        <w:jc w:val="center"/>
        <w:rPr>
          <w:rFonts w:eastAsia="Arial" w:cs="Arial"/>
          <w:sz w:val="24"/>
          <w:szCs w:val="24"/>
        </w:rPr>
      </w:pPr>
      <w:r>
        <w:rPr>
          <w:rFonts w:eastAsia="Arial" w:cs="Arial"/>
          <w:sz w:val="24"/>
          <w:szCs w:val="24"/>
        </w:rPr>
        <w:t>Objectives of the Study</w:t>
      </w:r>
    </w:p>
    <w:p w14:paraId="6D0CE7A8" w14:textId="77777777" w:rsidR="007C6854" w:rsidRDefault="007C6854"/>
    <w:p w14:paraId="232000C8" w14:textId="77777777" w:rsidR="007C6854" w:rsidRDefault="00E0219E" w:rsidP="00894763">
      <w:pPr>
        <w:pBdr>
          <w:top w:val="nil"/>
          <w:left w:val="nil"/>
          <w:bottom w:val="nil"/>
          <w:right w:val="nil"/>
          <w:between w:val="nil"/>
        </w:pBdr>
        <w:spacing w:after="160" w:line="360" w:lineRule="auto"/>
        <w:ind w:firstLine="720"/>
        <w:jc w:val="both"/>
        <w:rPr>
          <w:rFonts w:eastAsia="Arial" w:cs="Arial"/>
          <w:b/>
          <w:color w:val="000000"/>
          <w:szCs w:val="24"/>
        </w:rPr>
      </w:pPr>
      <w:r>
        <w:rPr>
          <w:rFonts w:eastAsia="Arial" w:cs="Arial"/>
          <w:color w:val="000000"/>
          <w:szCs w:val="24"/>
        </w:rPr>
        <w:t xml:space="preserve">The study aims to find the association </w:t>
      </w:r>
      <w:r>
        <w:rPr>
          <w:rFonts w:eastAsia="Arial" w:cs="Arial"/>
          <w:szCs w:val="24"/>
        </w:rPr>
        <w:t>between</w:t>
      </w:r>
      <w:r>
        <w:rPr>
          <w:rFonts w:eastAsia="Arial" w:cs="Arial"/>
          <w:color w:val="000000"/>
          <w:szCs w:val="24"/>
        </w:rPr>
        <w:t xml:space="preserve"> health literacy </w:t>
      </w:r>
      <w:r>
        <w:rPr>
          <w:rFonts w:eastAsia="Arial" w:cs="Arial"/>
          <w:szCs w:val="24"/>
        </w:rPr>
        <w:t>and</w:t>
      </w:r>
      <w:r>
        <w:rPr>
          <w:rFonts w:eastAsia="Arial" w:cs="Arial"/>
          <w:color w:val="000000"/>
          <w:szCs w:val="24"/>
        </w:rPr>
        <w:t xml:space="preserve"> other factors influencing urban poor settlers with hypertension. This was explored by looking at the following specific objectives:</w:t>
      </w:r>
    </w:p>
    <w:p w14:paraId="1DCAD01A" w14:textId="77777777" w:rsidR="007C6854" w:rsidRDefault="00E0219E" w:rsidP="00894763">
      <w:pPr>
        <w:numPr>
          <w:ilvl w:val="0"/>
          <w:numId w:val="20"/>
        </w:numPr>
        <w:pBdr>
          <w:top w:val="nil"/>
          <w:left w:val="nil"/>
          <w:bottom w:val="nil"/>
          <w:right w:val="nil"/>
          <w:between w:val="nil"/>
        </w:pBdr>
        <w:spacing w:after="160" w:line="360" w:lineRule="auto"/>
        <w:ind w:left="1134"/>
        <w:jc w:val="both"/>
        <w:rPr>
          <w:rFonts w:eastAsia="Arial" w:cs="Arial"/>
          <w:color w:val="000000"/>
          <w:szCs w:val="24"/>
        </w:rPr>
      </w:pPr>
      <w:r>
        <w:rPr>
          <w:rFonts w:eastAsia="Arial" w:cs="Arial"/>
          <w:color w:val="000000"/>
          <w:szCs w:val="24"/>
        </w:rPr>
        <w:t>To describe the socio-demographic profile of urban poor settlers in terms of:</w:t>
      </w:r>
    </w:p>
    <w:p w14:paraId="089E27F3" w14:textId="77777777" w:rsidR="007C6854" w:rsidRDefault="00E0219E" w:rsidP="00894763">
      <w:pPr>
        <w:numPr>
          <w:ilvl w:val="0"/>
          <w:numId w:val="24"/>
        </w:numPr>
        <w:pBdr>
          <w:top w:val="nil"/>
          <w:left w:val="nil"/>
          <w:bottom w:val="nil"/>
          <w:right w:val="nil"/>
          <w:between w:val="nil"/>
        </w:pBdr>
        <w:spacing w:after="0" w:line="360" w:lineRule="auto"/>
        <w:ind w:left="1701"/>
        <w:jc w:val="both"/>
        <w:rPr>
          <w:rFonts w:eastAsia="Arial" w:cs="Arial"/>
          <w:szCs w:val="24"/>
        </w:rPr>
      </w:pPr>
      <w:r>
        <w:rPr>
          <w:rFonts w:eastAsia="Arial" w:cs="Arial"/>
          <w:szCs w:val="24"/>
        </w:rPr>
        <w:t>Age</w:t>
      </w:r>
    </w:p>
    <w:p w14:paraId="366F5917" w14:textId="77777777" w:rsidR="007C6854" w:rsidRDefault="00E0219E" w:rsidP="00894763">
      <w:pPr>
        <w:numPr>
          <w:ilvl w:val="0"/>
          <w:numId w:val="24"/>
        </w:numPr>
        <w:pBdr>
          <w:top w:val="nil"/>
          <w:left w:val="nil"/>
          <w:bottom w:val="nil"/>
          <w:right w:val="nil"/>
          <w:between w:val="nil"/>
        </w:pBdr>
        <w:spacing w:after="0" w:line="360" w:lineRule="auto"/>
        <w:ind w:left="1701"/>
        <w:jc w:val="both"/>
        <w:rPr>
          <w:rFonts w:eastAsia="Arial" w:cs="Arial"/>
          <w:szCs w:val="24"/>
        </w:rPr>
      </w:pPr>
      <w:r>
        <w:rPr>
          <w:rFonts w:eastAsia="Arial" w:cs="Arial"/>
          <w:szCs w:val="24"/>
        </w:rPr>
        <w:t>Sex</w:t>
      </w:r>
    </w:p>
    <w:p w14:paraId="68B98997" w14:textId="77777777" w:rsidR="007C6854" w:rsidRDefault="00E0219E" w:rsidP="00894763">
      <w:pPr>
        <w:numPr>
          <w:ilvl w:val="0"/>
          <w:numId w:val="24"/>
        </w:numPr>
        <w:pBdr>
          <w:top w:val="nil"/>
          <w:left w:val="nil"/>
          <w:bottom w:val="nil"/>
          <w:right w:val="nil"/>
          <w:between w:val="nil"/>
        </w:pBdr>
        <w:spacing w:after="0" w:line="360" w:lineRule="auto"/>
        <w:ind w:left="1701"/>
        <w:jc w:val="both"/>
        <w:rPr>
          <w:rFonts w:eastAsia="Arial" w:cs="Arial"/>
          <w:szCs w:val="24"/>
        </w:rPr>
      </w:pPr>
      <w:r>
        <w:rPr>
          <w:rFonts w:eastAsia="Arial" w:cs="Arial"/>
          <w:szCs w:val="24"/>
        </w:rPr>
        <w:t>Marital Status</w:t>
      </w:r>
    </w:p>
    <w:p w14:paraId="30E05593" w14:textId="77777777" w:rsidR="007C6854" w:rsidRDefault="00E0219E" w:rsidP="00894763">
      <w:pPr>
        <w:numPr>
          <w:ilvl w:val="0"/>
          <w:numId w:val="24"/>
        </w:numPr>
        <w:pBdr>
          <w:top w:val="nil"/>
          <w:left w:val="nil"/>
          <w:bottom w:val="nil"/>
          <w:right w:val="nil"/>
          <w:between w:val="nil"/>
        </w:pBdr>
        <w:spacing w:after="0" w:line="360" w:lineRule="auto"/>
        <w:ind w:left="1701"/>
        <w:jc w:val="both"/>
        <w:rPr>
          <w:rFonts w:eastAsia="Arial" w:cs="Arial"/>
          <w:szCs w:val="24"/>
        </w:rPr>
      </w:pPr>
      <w:r>
        <w:rPr>
          <w:rFonts w:eastAsia="Arial" w:cs="Arial"/>
          <w:szCs w:val="24"/>
        </w:rPr>
        <w:t>Educational Status</w:t>
      </w:r>
    </w:p>
    <w:p w14:paraId="293FBB93" w14:textId="77777777" w:rsidR="007C6854" w:rsidRDefault="00E0219E" w:rsidP="00894763">
      <w:pPr>
        <w:numPr>
          <w:ilvl w:val="0"/>
          <w:numId w:val="24"/>
        </w:numPr>
        <w:pBdr>
          <w:top w:val="nil"/>
          <w:left w:val="nil"/>
          <w:bottom w:val="nil"/>
          <w:right w:val="nil"/>
          <w:between w:val="nil"/>
        </w:pBdr>
        <w:spacing w:after="0" w:line="360" w:lineRule="auto"/>
        <w:ind w:left="1701"/>
        <w:jc w:val="both"/>
        <w:rPr>
          <w:rFonts w:eastAsia="Arial" w:cs="Arial"/>
          <w:szCs w:val="24"/>
        </w:rPr>
      </w:pPr>
      <w:r>
        <w:rPr>
          <w:rFonts w:eastAsia="Arial" w:cs="Arial"/>
          <w:szCs w:val="24"/>
        </w:rPr>
        <w:t>Nature of work in the past 12 months</w:t>
      </w:r>
    </w:p>
    <w:p w14:paraId="0D0BC1B5" w14:textId="77777777" w:rsidR="007C6854" w:rsidRDefault="00E0219E" w:rsidP="00894763">
      <w:pPr>
        <w:numPr>
          <w:ilvl w:val="0"/>
          <w:numId w:val="24"/>
        </w:numPr>
        <w:pBdr>
          <w:top w:val="nil"/>
          <w:left w:val="nil"/>
          <w:bottom w:val="nil"/>
          <w:right w:val="nil"/>
          <w:between w:val="nil"/>
        </w:pBdr>
        <w:spacing w:after="0" w:line="360" w:lineRule="auto"/>
        <w:ind w:left="1701"/>
        <w:jc w:val="both"/>
        <w:rPr>
          <w:rFonts w:eastAsia="Arial" w:cs="Arial"/>
          <w:szCs w:val="24"/>
        </w:rPr>
      </w:pPr>
      <w:r>
        <w:rPr>
          <w:rFonts w:eastAsia="Arial" w:cs="Arial"/>
          <w:szCs w:val="24"/>
        </w:rPr>
        <w:t>Ethnic or Cultural Sub-group</w:t>
      </w:r>
    </w:p>
    <w:p w14:paraId="1713054A" w14:textId="77777777" w:rsidR="007C6854" w:rsidRDefault="00E0219E" w:rsidP="00894763">
      <w:pPr>
        <w:numPr>
          <w:ilvl w:val="0"/>
          <w:numId w:val="24"/>
        </w:numPr>
        <w:pBdr>
          <w:top w:val="nil"/>
          <w:left w:val="nil"/>
          <w:bottom w:val="nil"/>
          <w:right w:val="nil"/>
          <w:between w:val="nil"/>
        </w:pBdr>
        <w:spacing w:after="0" w:line="360" w:lineRule="auto"/>
        <w:ind w:left="1701"/>
        <w:jc w:val="both"/>
        <w:rPr>
          <w:rFonts w:eastAsia="Arial" w:cs="Arial"/>
          <w:szCs w:val="24"/>
        </w:rPr>
      </w:pPr>
      <w:r>
        <w:rPr>
          <w:rFonts w:eastAsia="Arial" w:cs="Arial"/>
          <w:szCs w:val="24"/>
        </w:rPr>
        <w:t>PhilHealth Status</w:t>
      </w:r>
    </w:p>
    <w:p w14:paraId="4FBE94C4" w14:textId="77777777" w:rsidR="007C6854" w:rsidRDefault="00E0219E" w:rsidP="00894763">
      <w:pPr>
        <w:numPr>
          <w:ilvl w:val="0"/>
          <w:numId w:val="24"/>
        </w:numPr>
        <w:pBdr>
          <w:top w:val="nil"/>
          <w:left w:val="nil"/>
          <w:bottom w:val="nil"/>
          <w:right w:val="nil"/>
          <w:between w:val="nil"/>
        </w:pBdr>
        <w:spacing w:after="0" w:line="360" w:lineRule="auto"/>
        <w:ind w:left="1701"/>
        <w:jc w:val="both"/>
        <w:rPr>
          <w:rFonts w:eastAsia="Arial" w:cs="Arial"/>
          <w:szCs w:val="24"/>
        </w:rPr>
      </w:pPr>
      <w:r>
        <w:rPr>
          <w:rFonts w:eastAsia="Arial" w:cs="Arial"/>
          <w:szCs w:val="24"/>
        </w:rPr>
        <w:t>Income or Wealth Status</w:t>
      </w:r>
    </w:p>
    <w:p w14:paraId="5D5DF579" w14:textId="77777777" w:rsidR="007C6854" w:rsidRDefault="00E0219E" w:rsidP="00894763">
      <w:pPr>
        <w:numPr>
          <w:ilvl w:val="0"/>
          <w:numId w:val="20"/>
        </w:numPr>
        <w:pBdr>
          <w:top w:val="nil"/>
          <w:left w:val="nil"/>
          <w:bottom w:val="nil"/>
          <w:right w:val="nil"/>
          <w:between w:val="nil"/>
        </w:pBdr>
        <w:spacing w:after="160" w:line="360" w:lineRule="auto"/>
        <w:ind w:left="1134"/>
        <w:jc w:val="both"/>
        <w:rPr>
          <w:rFonts w:eastAsia="Arial" w:cs="Arial"/>
          <w:color w:val="000000"/>
          <w:szCs w:val="24"/>
        </w:rPr>
      </w:pPr>
      <w:r>
        <w:rPr>
          <w:rFonts w:eastAsia="Arial" w:cs="Arial"/>
          <w:color w:val="000000"/>
          <w:szCs w:val="24"/>
        </w:rPr>
        <w:t>To determine the prevalence of hypertension among urban poor settlers in</w:t>
      </w:r>
      <w:r>
        <w:rPr>
          <w:rFonts w:eastAsia="Arial" w:cs="Arial"/>
          <w:szCs w:val="24"/>
        </w:rPr>
        <w:t xml:space="preserve"> terms of:</w:t>
      </w:r>
    </w:p>
    <w:p w14:paraId="789F0DBA" w14:textId="77777777" w:rsidR="007C6854" w:rsidRDefault="00E0219E" w:rsidP="00894763">
      <w:pPr>
        <w:numPr>
          <w:ilvl w:val="0"/>
          <w:numId w:val="1"/>
        </w:numPr>
        <w:pBdr>
          <w:top w:val="nil"/>
          <w:left w:val="nil"/>
          <w:bottom w:val="nil"/>
          <w:right w:val="nil"/>
          <w:between w:val="nil"/>
        </w:pBdr>
        <w:spacing w:after="0" w:line="360" w:lineRule="auto"/>
        <w:ind w:left="1701"/>
        <w:jc w:val="both"/>
        <w:rPr>
          <w:rFonts w:eastAsia="Arial" w:cs="Arial"/>
          <w:szCs w:val="24"/>
        </w:rPr>
      </w:pPr>
      <w:r>
        <w:rPr>
          <w:rFonts w:eastAsia="Arial" w:cs="Arial"/>
          <w:szCs w:val="24"/>
        </w:rPr>
        <w:t>The proportion of individuals with or without hypertension</w:t>
      </w:r>
    </w:p>
    <w:p w14:paraId="08DE928F" w14:textId="77777777" w:rsidR="007C6854" w:rsidRDefault="00E0219E" w:rsidP="00894763">
      <w:pPr>
        <w:numPr>
          <w:ilvl w:val="0"/>
          <w:numId w:val="1"/>
        </w:numPr>
        <w:pBdr>
          <w:top w:val="nil"/>
          <w:left w:val="nil"/>
          <w:bottom w:val="nil"/>
          <w:right w:val="nil"/>
          <w:between w:val="nil"/>
        </w:pBdr>
        <w:spacing w:after="0" w:line="360" w:lineRule="auto"/>
        <w:ind w:left="1701"/>
        <w:jc w:val="both"/>
        <w:rPr>
          <w:rFonts w:eastAsia="Arial" w:cs="Arial"/>
          <w:szCs w:val="24"/>
        </w:rPr>
      </w:pPr>
      <w:r>
        <w:rPr>
          <w:rFonts w:eastAsia="Arial" w:cs="Arial"/>
          <w:szCs w:val="24"/>
        </w:rPr>
        <w:lastRenderedPageBreak/>
        <w:t>The proportion of hypertension by classification according to the International Society of Hypertension</w:t>
      </w:r>
    </w:p>
    <w:p w14:paraId="5DA92056" w14:textId="77777777" w:rsidR="007C6854" w:rsidRDefault="00E0219E" w:rsidP="00894763">
      <w:pPr>
        <w:numPr>
          <w:ilvl w:val="0"/>
          <w:numId w:val="20"/>
        </w:numPr>
        <w:pBdr>
          <w:top w:val="nil"/>
          <w:left w:val="nil"/>
          <w:bottom w:val="nil"/>
          <w:right w:val="nil"/>
          <w:between w:val="nil"/>
        </w:pBdr>
        <w:spacing w:after="160" w:line="360" w:lineRule="auto"/>
        <w:ind w:left="1134"/>
        <w:jc w:val="both"/>
        <w:rPr>
          <w:rFonts w:eastAsia="Arial" w:cs="Arial"/>
          <w:color w:val="000000"/>
          <w:szCs w:val="24"/>
        </w:rPr>
      </w:pPr>
      <w:r>
        <w:rPr>
          <w:rFonts w:eastAsia="Arial" w:cs="Arial"/>
          <w:color w:val="000000"/>
          <w:szCs w:val="24"/>
        </w:rPr>
        <w:t>To determine the health literacy</w:t>
      </w:r>
      <w:r>
        <w:rPr>
          <w:rFonts w:eastAsia="Arial" w:cs="Arial"/>
          <w:szCs w:val="24"/>
        </w:rPr>
        <w:t xml:space="preserve"> score</w:t>
      </w:r>
      <w:r>
        <w:rPr>
          <w:rFonts w:eastAsia="Arial" w:cs="Arial"/>
          <w:color w:val="000000"/>
          <w:szCs w:val="24"/>
        </w:rPr>
        <w:t xml:space="preserve"> of urban poor settlers accor</w:t>
      </w:r>
      <w:r>
        <w:rPr>
          <w:rFonts w:eastAsia="Arial" w:cs="Arial"/>
          <w:szCs w:val="24"/>
        </w:rPr>
        <w:t>ding to the health literacy domain, namely</w:t>
      </w:r>
    </w:p>
    <w:p w14:paraId="3C4A5969" w14:textId="77777777" w:rsidR="007C6854" w:rsidRDefault="00E0219E" w:rsidP="00894763">
      <w:pPr>
        <w:numPr>
          <w:ilvl w:val="0"/>
          <w:numId w:val="12"/>
        </w:numPr>
        <w:pBdr>
          <w:top w:val="nil"/>
          <w:left w:val="nil"/>
          <w:bottom w:val="nil"/>
          <w:right w:val="nil"/>
          <w:between w:val="nil"/>
        </w:pBdr>
        <w:spacing w:after="0" w:line="360" w:lineRule="auto"/>
        <w:ind w:left="1701"/>
        <w:jc w:val="both"/>
        <w:rPr>
          <w:rFonts w:eastAsia="Arial" w:cs="Arial"/>
          <w:szCs w:val="24"/>
        </w:rPr>
      </w:pPr>
      <w:r>
        <w:rPr>
          <w:rFonts w:eastAsia="Arial" w:cs="Arial"/>
          <w:szCs w:val="24"/>
        </w:rPr>
        <w:t>Basic or Functional Health Literacy</w:t>
      </w:r>
    </w:p>
    <w:p w14:paraId="0B54E6A4" w14:textId="77777777" w:rsidR="007C6854" w:rsidRDefault="00E0219E" w:rsidP="00894763">
      <w:pPr>
        <w:numPr>
          <w:ilvl w:val="0"/>
          <w:numId w:val="12"/>
        </w:numPr>
        <w:pBdr>
          <w:top w:val="nil"/>
          <w:left w:val="nil"/>
          <w:bottom w:val="nil"/>
          <w:right w:val="nil"/>
          <w:between w:val="nil"/>
        </w:pBdr>
        <w:spacing w:after="0" w:line="360" w:lineRule="auto"/>
        <w:ind w:left="1701"/>
        <w:jc w:val="both"/>
        <w:rPr>
          <w:rFonts w:eastAsia="Arial" w:cs="Arial"/>
          <w:szCs w:val="24"/>
        </w:rPr>
      </w:pPr>
      <w:r>
        <w:rPr>
          <w:rFonts w:eastAsia="Arial" w:cs="Arial"/>
          <w:szCs w:val="24"/>
        </w:rPr>
        <w:t>Communicative or Interactive Health Literacy</w:t>
      </w:r>
    </w:p>
    <w:p w14:paraId="5320DEB8" w14:textId="77777777" w:rsidR="007C6854" w:rsidRDefault="00E0219E" w:rsidP="00894763">
      <w:pPr>
        <w:numPr>
          <w:ilvl w:val="0"/>
          <w:numId w:val="12"/>
        </w:numPr>
        <w:pBdr>
          <w:top w:val="nil"/>
          <w:left w:val="nil"/>
          <w:bottom w:val="nil"/>
          <w:right w:val="nil"/>
          <w:between w:val="nil"/>
        </w:pBdr>
        <w:spacing w:after="160" w:line="360" w:lineRule="auto"/>
        <w:ind w:left="1701"/>
        <w:jc w:val="both"/>
        <w:rPr>
          <w:rFonts w:eastAsia="Arial" w:cs="Arial"/>
          <w:szCs w:val="24"/>
        </w:rPr>
      </w:pPr>
      <w:r>
        <w:rPr>
          <w:rFonts w:eastAsia="Arial" w:cs="Arial"/>
          <w:szCs w:val="24"/>
        </w:rPr>
        <w:t>Critical Health Literacy</w:t>
      </w:r>
    </w:p>
    <w:p w14:paraId="2F0D1B13" w14:textId="77777777" w:rsidR="007C6854" w:rsidRDefault="00E0219E" w:rsidP="00894763">
      <w:pPr>
        <w:numPr>
          <w:ilvl w:val="0"/>
          <w:numId w:val="20"/>
        </w:numPr>
        <w:pBdr>
          <w:top w:val="nil"/>
          <w:left w:val="nil"/>
          <w:bottom w:val="nil"/>
          <w:right w:val="nil"/>
          <w:between w:val="nil"/>
        </w:pBdr>
        <w:spacing w:after="160" w:line="360" w:lineRule="auto"/>
        <w:ind w:left="1134"/>
        <w:jc w:val="both"/>
        <w:rPr>
          <w:rFonts w:eastAsia="Arial" w:cs="Arial"/>
          <w:color w:val="000000"/>
          <w:szCs w:val="24"/>
        </w:rPr>
      </w:pPr>
      <w:r>
        <w:rPr>
          <w:rFonts w:eastAsia="Arial" w:cs="Arial"/>
          <w:color w:val="000000"/>
          <w:szCs w:val="24"/>
        </w:rPr>
        <w:t xml:space="preserve">To determine the </w:t>
      </w:r>
      <w:r>
        <w:rPr>
          <w:rFonts w:eastAsia="Arial" w:cs="Arial"/>
          <w:szCs w:val="24"/>
        </w:rPr>
        <w:t>association</w:t>
      </w:r>
      <w:r>
        <w:rPr>
          <w:rFonts w:eastAsia="Arial" w:cs="Arial"/>
          <w:color w:val="000000"/>
          <w:szCs w:val="24"/>
        </w:rPr>
        <w:t xml:space="preserve"> of </w:t>
      </w:r>
      <w:r>
        <w:rPr>
          <w:rFonts w:eastAsia="Arial" w:cs="Arial"/>
          <w:szCs w:val="24"/>
        </w:rPr>
        <w:t xml:space="preserve">health literacy and </w:t>
      </w:r>
      <w:r>
        <w:rPr>
          <w:rFonts w:eastAsia="Arial" w:cs="Arial"/>
          <w:color w:val="000000"/>
          <w:szCs w:val="24"/>
        </w:rPr>
        <w:t xml:space="preserve">socio-demographic variables of urban poor settlers with hypertension </w:t>
      </w:r>
      <w:r>
        <w:rPr>
          <w:rFonts w:eastAsia="Arial" w:cs="Arial"/>
          <w:szCs w:val="24"/>
        </w:rPr>
        <w:t>in terms of:</w:t>
      </w:r>
    </w:p>
    <w:p w14:paraId="24D486C3" w14:textId="77777777" w:rsidR="007C6854" w:rsidRDefault="00E0219E" w:rsidP="00894763">
      <w:pPr>
        <w:numPr>
          <w:ilvl w:val="0"/>
          <w:numId w:val="30"/>
        </w:numPr>
        <w:pBdr>
          <w:top w:val="nil"/>
          <w:left w:val="nil"/>
          <w:bottom w:val="nil"/>
          <w:right w:val="nil"/>
          <w:between w:val="nil"/>
        </w:pBdr>
        <w:spacing w:after="0" w:line="360" w:lineRule="auto"/>
        <w:ind w:left="1701"/>
        <w:jc w:val="both"/>
        <w:rPr>
          <w:rFonts w:eastAsia="Arial" w:cs="Arial"/>
          <w:szCs w:val="24"/>
        </w:rPr>
      </w:pPr>
      <w:r>
        <w:rPr>
          <w:rFonts w:eastAsia="Arial" w:cs="Arial"/>
          <w:szCs w:val="24"/>
        </w:rPr>
        <w:t>Age</w:t>
      </w:r>
    </w:p>
    <w:p w14:paraId="0842BF09" w14:textId="77777777" w:rsidR="007C6854" w:rsidRDefault="00E0219E" w:rsidP="00894763">
      <w:pPr>
        <w:numPr>
          <w:ilvl w:val="0"/>
          <w:numId w:val="30"/>
        </w:numPr>
        <w:pBdr>
          <w:top w:val="nil"/>
          <w:left w:val="nil"/>
          <w:bottom w:val="nil"/>
          <w:right w:val="nil"/>
          <w:between w:val="nil"/>
        </w:pBdr>
        <w:spacing w:after="0" w:line="360" w:lineRule="auto"/>
        <w:ind w:left="1701"/>
        <w:jc w:val="both"/>
        <w:rPr>
          <w:rFonts w:eastAsia="Arial" w:cs="Arial"/>
          <w:szCs w:val="24"/>
        </w:rPr>
      </w:pPr>
      <w:r>
        <w:rPr>
          <w:rFonts w:eastAsia="Arial" w:cs="Arial"/>
          <w:szCs w:val="24"/>
        </w:rPr>
        <w:t>Sex</w:t>
      </w:r>
    </w:p>
    <w:p w14:paraId="03A767BB" w14:textId="77777777" w:rsidR="007C6854" w:rsidRDefault="00E0219E" w:rsidP="00894763">
      <w:pPr>
        <w:numPr>
          <w:ilvl w:val="0"/>
          <w:numId w:val="30"/>
        </w:numPr>
        <w:pBdr>
          <w:top w:val="nil"/>
          <w:left w:val="nil"/>
          <w:bottom w:val="nil"/>
          <w:right w:val="nil"/>
          <w:between w:val="nil"/>
        </w:pBdr>
        <w:spacing w:after="0" w:line="360" w:lineRule="auto"/>
        <w:ind w:left="1701"/>
        <w:jc w:val="both"/>
        <w:rPr>
          <w:rFonts w:eastAsia="Arial" w:cs="Arial"/>
          <w:szCs w:val="24"/>
        </w:rPr>
      </w:pPr>
      <w:r>
        <w:rPr>
          <w:rFonts w:eastAsia="Arial" w:cs="Arial"/>
          <w:szCs w:val="24"/>
        </w:rPr>
        <w:t>Educational Status</w:t>
      </w:r>
    </w:p>
    <w:p w14:paraId="484331E5" w14:textId="77777777" w:rsidR="007C6854" w:rsidRDefault="00E0219E" w:rsidP="00894763">
      <w:pPr>
        <w:numPr>
          <w:ilvl w:val="0"/>
          <w:numId w:val="30"/>
        </w:numPr>
        <w:pBdr>
          <w:top w:val="nil"/>
          <w:left w:val="nil"/>
          <w:bottom w:val="nil"/>
          <w:right w:val="nil"/>
          <w:between w:val="nil"/>
        </w:pBdr>
        <w:spacing w:after="0" w:line="360" w:lineRule="auto"/>
        <w:ind w:left="1701"/>
        <w:jc w:val="both"/>
        <w:rPr>
          <w:rFonts w:eastAsia="Arial" w:cs="Arial"/>
          <w:szCs w:val="24"/>
        </w:rPr>
      </w:pPr>
      <w:r>
        <w:rPr>
          <w:rFonts w:eastAsia="Arial" w:cs="Arial"/>
          <w:szCs w:val="24"/>
        </w:rPr>
        <w:t>Employment status</w:t>
      </w:r>
    </w:p>
    <w:p w14:paraId="54DE0A89" w14:textId="77777777" w:rsidR="007C6854" w:rsidRDefault="00E0219E" w:rsidP="00894763">
      <w:pPr>
        <w:numPr>
          <w:ilvl w:val="0"/>
          <w:numId w:val="30"/>
        </w:numPr>
        <w:pBdr>
          <w:top w:val="nil"/>
          <w:left w:val="nil"/>
          <w:bottom w:val="nil"/>
          <w:right w:val="nil"/>
          <w:between w:val="nil"/>
        </w:pBdr>
        <w:spacing w:after="0" w:line="360" w:lineRule="auto"/>
        <w:ind w:left="1701"/>
        <w:jc w:val="both"/>
        <w:rPr>
          <w:rFonts w:eastAsia="Arial" w:cs="Arial"/>
          <w:szCs w:val="24"/>
        </w:rPr>
      </w:pPr>
      <w:r>
        <w:rPr>
          <w:rFonts w:eastAsia="Arial" w:cs="Arial"/>
          <w:szCs w:val="24"/>
        </w:rPr>
        <w:t>PhilHealth Status</w:t>
      </w:r>
    </w:p>
    <w:p w14:paraId="65471CA2" w14:textId="77777777" w:rsidR="007C6854" w:rsidRDefault="00E0219E" w:rsidP="00894763">
      <w:pPr>
        <w:numPr>
          <w:ilvl w:val="0"/>
          <w:numId w:val="30"/>
        </w:numPr>
        <w:pBdr>
          <w:top w:val="nil"/>
          <w:left w:val="nil"/>
          <w:bottom w:val="nil"/>
          <w:right w:val="nil"/>
          <w:between w:val="nil"/>
        </w:pBdr>
        <w:spacing w:after="0" w:line="360" w:lineRule="auto"/>
        <w:ind w:left="1701"/>
        <w:jc w:val="both"/>
        <w:rPr>
          <w:rFonts w:eastAsia="Arial" w:cs="Arial"/>
          <w:szCs w:val="24"/>
        </w:rPr>
      </w:pPr>
      <w:r>
        <w:rPr>
          <w:rFonts w:eastAsia="Arial" w:cs="Arial"/>
          <w:szCs w:val="24"/>
        </w:rPr>
        <w:t>Income or Wealth Status</w:t>
      </w:r>
    </w:p>
    <w:p w14:paraId="74225E25" w14:textId="77777777" w:rsidR="007C6854" w:rsidRDefault="007C6854">
      <w:pPr>
        <w:pStyle w:val="Heading2"/>
        <w:jc w:val="center"/>
        <w:rPr>
          <w:rFonts w:eastAsia="Arial" w:cs="Arial"/>
          <w:sz w:val="24"/>
          <w:szCs w:val="24"/>
        </w:rPr>
      </w:pPr>
      <w:bookmarkStart w:id="4" w:name="_heading=h.4d34og8" w:colFirst="0" w:colLast="0"/>
      <w:bookmarkEnd w:id="4"/>
    </w:p>
    <w:p w14:paraId="6582B5D6" w14:textId="77777777" w:rsidR="007C6854" w:rsidRDefault="00E0219E">
      <w:pPr>
        <w:rPr>
          <w:rFonts w:eastAsia="Arial" w:cs="Arial"/>
          <w:b/>
          <w:szCs w:val="24"/>
        </w:rPr>
      </w:pPr>
      <w:r>
        <w:br w:type="page"/>
      </w:r>
    </w:p>
    <w:p w14:paraId="6286D172" w14:textId="77777777" w:rsidR="007C6854" w:rsidRDefault="00E0219E">
      <w:pPr>
        <w:pStyle w:val="Heading2"/>
        <w:jc w:val="center"/>
        <w:rPr>
          <w:rFonts w:eastAsia="Arial" w:cs="Arial"/>
          <w:sz w:val="24"/>
          <w:szCs w:val="24"/>
        </w:rPr>
      </w:pPr>
      <w:bookmarkStart w:id="5" w:name="_heading=h.3rdcrjn" w:colFirst="0" w:colLast="0"/>
      <w:bookmarkEnd w:id="5"/>
      <w:r>
        <w:rPr>
          <w:rFonts w:eastAsia="Arial" w:cs="Arial"/>
          <w:sz w:val="24"/>
          <w:szCs w:val="24"/>
        </w:rPr>
        <w:lastRenderedPageBreak/>
        <w:t>Significance of the Study</w:t>
      </w:r>
    </w:p>
    <w:p w14:paraId="691DE22C" w14:textId="77777777" w:rsidR="007C6854" w:rsidRDefault="007C6854"/>
    <w:p w14:paraId="3A7A9112" w14:textId="77777777" w:rsidR="007C6854" w:rsidRDefault="00E0219E" w:rsidP="00113E43">
      <w:pPr>
        <w:pBdr>
          <w:top w:val="nil"/>
          <w:left w:val="nil"/>
          <w:bottom w:val="nil"/>
          <w:right w:val="nil"/>
          <w:between w:val="nil"/>
        </w:pBdr>
        <w:spacing w:after="160" w:line="480" w:lineRule="auto"/>
        <w:ind w:firstLine="720"/>
        <w:jc w:val="both"/>
        <w:rPr>
          <w:rFonts w:eastAsia="Arial" w:cs="Arial"/>
          <w:b/>
          <w:szCs w:val="24"/>
        </w:rPr>
      </w:pPr>
      <w:r>
        <w:rPr>
          <w:rFonts w:eastAsia="Arial" w:cs="Arial"/>
          <w:color w:val="000000"/>
          <w:szCs w:val="24"/>
        </w:rPr>
        <w:t xml:space="preserve">The result of the study </w:t>
      </w:r>
      <w:r>
        <w:rPr>
          <w:rFonts w:eastAsia="Arial" w:cs="Arial"/>
          <w:szCs w:val="24"/>
        </w:rPr>
        <w:t xml:space="preserve">has </w:t>
      </w:r>
      <w:r>
        <w:rPr>
          <w:rFonts w:eastAsia="Arial" w:cs="Arial"/>
          <w:color w:val="000000"/>
          <w:szCs w:val="24"/>
        </w:rPr>
        <w:t xml:space="preserve">excellent benefits </w:t>
      </w:r>
      <w:r>
        <w:rPr>
          <w:rFonts w:eastAsia="Arial" w:cs="Arial"/>
          <w:szCs w:val="24"/>
        </w:rPr>
        <w:t>for</w:t>
      </w:r>
      <w:r>
        <w:rPr>
          <w:rFonts w:eastAsia="Arial" w:cs="Arial"/>
          <w:color w:val="000000"/>
          <w:szCs w:val="24"/>
        </w:rPr>
        <w:t xml:space="preserve"> the following:</w:t>
      </w:r>
    </w:p>
    <w:p w14:paraId="41F2F762" w14:textId="77777777" w:rsidR="00E95D0C" w:rsidRDefault="00E0219E" w:rsidP="00113E43">
      <w:pPr>
        <w:pBdr>
          <w:top w:val="nil"/>
          <w:left w:val="nil"/>
          <w:bottom w:val="nil"/>
          <w:right w:val="nil"/>
          <w:between w:val="nil"/>
        </w:pBdr>
        <w:spacing w:after="160" w:line="480" w:lineRule="auto"/>
        <w:jc w:val="both"/>
        <w:rPr>
          <w:rFonts w:eastAsia="Arial" w:cs="Arial"/>
          <w:szCs w:val="24"/>
        </w:rPr>
      </w:pPr>
      <w:r>
        <w:rPr>
          <w:rFonts w:eastAsia="Arial" w:cs="Arial"/>
          <w:b/>
          <w:szCs w:val="24"/>
        </w:rPr>
        <w:t>The Department of Health (DOH):</w:t>
      </w:r>
      <w:r>
        <w:rPr>
          <w:rFonts w:eastAsia="Arial" w:cs="Arial"/>
          <w:szCs w:val="24"/>
        </w:rPr>
        <w:t xml:space="preserve"> The result of the study can be used by the </w:t>
      </w:r>
      <w:r>
        <w:rPr>
          <w:rFonts w:eastAsia="Arial" w:cs="Arial"/>
          <w:i/>
          <w:szCs w:val="24"/>
        </w:rPr>
        <w:t xml:space="preserve">Disease Prevention and Control Bureau </w:t>
      </w:r>
      <w:r>
        <w:rPr>
          <w:rFonts w:eastAsia="Arial" w:cs="Arial"/>
          <w:szCs w:val="24"/>
        </w:rPr>
        <w:t xml:space="preserve">of the Department of Health (DOH) to revisit the strategy for a healthy lifestyle about the WHO Package of Essential Noncommunicable Diseases, which is indicated in the DOH AO 2012-0029, as well as by </w:t>
      </w:r>
      <w:r>
        <w:rPr>
          <w:rFonts w:eastAsia="Arial" w:cs="Arial"/>
          <w:i/>
          <w:szCs w:val="24"/>
        </w:rPr>
        <w:t>Philippine Health Insurance Inc. (PhilHealth)</w:t>
      </w:r>
      <w:r>
        <w:rPr>
          <w:rFonts w:eastAsia="Arial" w:cs="Arial"/>
          <w:szCs w:val="24"/>
        </w:rPr>
        <w:t xml:space="preserve"> in revisiting the service delivery package of our Primary Health Care, specifically on health education and promotion services provided to their clients. Similarly, the study can be used by the Health Promotion Bureau as a research method to estimate the national prevalence of health literacy. The study results could be used similarly in the same population settings; thus, they could be used as baseline data to develop a much more culture-sensitive health promotion strategy to address healthcare and health system gaps that can be beneficial in achieving universal healthcare in the Philippines, focusing on reducing hypertension prevalence and community-based health promotion on healthy lifestyles as directed under the Universal Health Care (UHC) Act. Also, through this research, the Health Promotion Bureau could identify gaps and short- and long-term solutions to address social determinants of health contributing to the burden of hypertension in the Philippines.</w:t>
      </w:r>
    </w:p>
    <w:p w14:paraId="51F510E3" w14:textId="2D6CCCA1" w:rsidR="007C6854" w:rsidRPr="00E95D0C" w:rsidRDefault="00E0219E" w:rsidP="00113E43">
      <w:pPr>
        <w:pBdr>
          <w:top w:val="nil"/>
          <w:left w:val="nil"/>
          <w:bottom w:val="nil"/>
          <w:right w:val="nil"/>
          <w:between w:val="nil"/>
        </w:pBdr>
        <w:spacing w:after="160" w:line="480" w:lineRule="auto"/>
        <w:jc w:val="both"/>
        <w:rPr>
          <w:rFonts w:eastAsia="Arial" w:cs="Arial"/>
          <w:szCs w:val="24"/>
        </w:rPr>
      </w:pPr>
      <w:r>
        <w:rPr>
          <w:rFonts w:eastAsia="Arial" w:cs="Arial"/>
          <w:szCs w:val="24"/>
        </w:rPr>
        <w:t xml:space="preserve">For the </w:t>
      </w:r>
      <w:r>
        <w:rPr>
          <w:rFonts w:eastAsia="Arial" w:cs="Arial"/>
          <w:i/>
          <w:szCs w:val="24"/>
        </w:rPr>
        <w:t xml:space="preserve">Center of Health Development </w:t>
      </w:r>
      <w:r>
        <w:rPr>
          <w:rFonts w:eastAsia="Arial" w:cs="Arial"/>
          <w:szCs w:val="24"/>
        </w:rPr>
        <w:t xml:space="preserve">under the </w:t>
      </w:r>
      <w:r>
        <w:rPr>
          <w:rFonts w:eastAsia="Arial" w:cs="Arial"/>
          <w:i/>
          <w:szCs w:val="24"/>
        </w:rPr>
        <w:t>Field Implementation Cluster Team</w:t>
      </w:r>
      <w:r>
        <w:rPr>
          <w:rFonts w:eastAsia="Arial" w:cs="Arial"/>
          <w:szCs w:val="24"/>
        </w:rPr>
        <w:t>, the research result can be of value in designing a more adaptable tool for NCD risk assessment, primarily in reducing the burden of hypertension at the sub-national level—likewise, lobby for advancing health risk assessment activity in the region.</w:t>
      </w:r>
    </w:p>
    <w:p w14:paraId="4195BCEA" w14:textId="77777777" w:rsidR="007C6854" w:rsidRDefault="00E0219E" w:rsidP="00113E43">
      <w:pPr>
        <w:pBdr>
          <w:top w:val="nil"/>
          <w:left w:val="nil"/>
          <w:bottom w:val="nil"/>
          <w:right w:val="nil"/>
          <w:between w:val="nil"/>
        </w:pBdr>
        <w:spacing w:after="160" w:line="480" w:lineRule="auto"/>
        <w:jc w:val="both"/>
        <w:rPr>
          <w:rFonts w:eastAsia="Arial" w:cs="Arial"/>
          <w:szCs w:val="24"/>
        </w:rPr>
      </w:pPr>
      <w:r>
        <w:rPr>
          <w:rFonts w:eastAsia="Arial" w:cs="Arial"/>
          <w:b/>
          <w:szCs w:val="24"/>
        </w:rPr>
        <w:lastRenderedPageBreak/>
        <w:t>The Department of Education (DepEd):</w:t>
      </w:r>
      <w:r>
        <w:rPr>
          <w:rFonts w:eastAsia="Arial" w:cs="Arial"/>
          <w:szCs w:val="24"/>
        </w:rPr>
        <w:t xml:space="preserve"> This research is of great value in revisiting the curriculum on healthy lifestyle education, targeting K–12 students, and increasing health literacy, primarily by increasing awareness of healthy lifestyles.</w:t>
      </w:r>
    </w:p>
    <w:p w14:paraId="287D3ECA" w14:textId="77777777" w:rsidR="007C6854" w:rsidRDefault="00E0219E" w:rsidP="00113E43">
      <w:pPr>
        <w:pBdr>
          <w:top w:val="nil"/>
          <w:left w:val="nil"/>
          <w:bottom w:val="nil"/>
          <w:right w:val="nil"/>
          <w:between w:val="nil"/>
        </w:pBdr>
        <w:spacing w:after="160" w:line="480" w:lineRule="auto"/>
        <w:jc w:val="both"/>
        <w:rPr>
          <w:rFonts w:eastAsia="Arial" w:cs="Arial"/>
          <w:b/>
          <w:szCs w:val="24"/>
        </w:rPr>
      </w:pPr>
      <w:r>
        <w:rPr>
          <w:rFonts w:eastAsia="Arial" w:cs="Arial"/>
          <w:b/>
          <w:szCs w:val="24"/>
        </w:rPr>
        <w:t>The Commission on Higher Education (CHED):</w:t>
      </w:r>
      <w:r>
        <w:rPr>
          <w:rFonts w:eastAsia="Arial" w:cs="Arial"/>
          <w:szCs w:val="24"/>
        </w:rPr>
        <w:t xml:space="preserve"> The study's result could help improve short-course modules for interprofessional education (IPE) on community-based teaching methods and approaches, particularly in preventing and controlling hypertension. </w:t>
      </w:r>
    </w:p>
    <w:p w14:paraId="67DEA6CB" w14:textId="00ACA758" w:rsidR="007C6854" w:rsidRDefault="00E0219E" w:rsidP="00113E43">
      <w:pPr>
        <w:pBdr>
          <w:top w:val="nil"/>
          <w:left w:val="nil"/>
          <w:bottom w:val="nil"/>
          <w:right w:val="nil"/>
          <w:between w:val="nil"/>
        </w:pBdr>
        <w:spacing w:after="160" w:line="480" w:lineRule="auto"/>
        <w:jc w:val="both"/>
        <w:rPr>
          <w:rFonts w:eastAsia="Arial" w:cs="Arial"/>
          <w:b/>
          <w:szCs w:val="24"/>
        </w:rPr>
      </w:pPr>
      <w:r>
        <w:rPr>
          <w:rFonts w:eastAsia="Arial" w:cs="Arial"/>
          <w:b/>
          <w:szCs w:val="24"/>
        </w:rPr>
        <w:t xml:space="preserve">The Municipality of Pateros Health Department and the Barangay Officials of Barangay Santa Ana: </w:t>
      </w:r>
      <w:r>
        <w:rPr>
          <w:rFonts w:eastAsia="Arial" w:cs="Arial"/>
          <w:szCs w:val="24"/>
        </w:rPr>
        <w:t xml:space="preserve">The research data will be disseminated to the Pateros Health Department and the Barangay Officials of Barangay Santa Ana with information on the estimated prevalence of hypertension and health literacy, particularly in the community of </w:t>
      </w:r>
      <w:proofErr w:type="spellStart"/>
      <w:r>
        <w:rPr>
          <w:rFonts w:eastAsia="Arial" w:cs="Arial"/>
          <w:szCs w:val="24"/>
        </w:rPr>
        <w:t>Bukuhan</w:t>
      </w:r>
      <w:proofErr w:type="spellEnd"/>
      <w:r>
        <w:rPr>
          <w:rFonts w:eastAsia="Arial" w:cs="Arial"/>
          <w:szCs w:val="24"/>
        </w:rPr>
        <w:t>, Brgy.</w:t>
      </w:r>
      <w:r>
        <w:rPr>
          <w:rFonts w:eastAsia="Arial" w:cs="Arial"/>
          <w:b/>
          <w:szCs w:val="24"/>
        </w:rPr>
        <w:t xml:space="preserve"> </w:t>
      </w:r>
      <w:r>
        <w:rPr>
          <w:rFonts w:eastAsia="Arial" w:cs="Arial"/>
          <w:color w:val="000000"/>
          <w:szCs w:val="24"/>
        </w:rPr>
        <w:t xml:space="preserve">Santa Ana. </w:t>
      </w:r>
      <w:r w:rsidR="00E13500" w:rsidRPr="00E13500">
        <w:rPr>
          <w:rFonts w:eastAsia="Arial" w:cs="Arial"/>
          <w:color w:val="000000"/>
          <w:szCs w:val="24"/>
        </w:rPr>
        <w:t>By providing this data, we aim to equip these organizations with a solid foundation upon which they can develop effective health promotion and education materials. These materials will be crucial in addressing the gaps identified in our research</w:t>
      </w:r>
      <w:r>
        <w:rPr>
          <w:rFonts w:eastAsia="Arial" w:cs="Arial"/>
          <w:color w:val="000000"/>
          <w:szCs w:val="24"/>
        </w:rPr>
        <w:t xml:space="preserve">. </w:t>
      </w:r>
      <w:r>
        <w:rPr>
          <w:rFonts w:eastAsia="Arial" w:cs="Arial"/>
          <w:szCs w:val="24"/>
        </w:rPr>
        <w:t>The</w:t>
      </w:r>
      <w:r>
        <w:rPr>
          <w:rFonts w:eastAsia="Arial" w:cs="Arial"/>
          <w:color w:val="000000"/>
          <w:szCs w:val="24"/>
        </w:rPr>
        <w:t xml:space="preserve"> </w:t>
      </w:r>
      <w:r>
        <w:rPr>
          <w:rFonts w:eastAsia="Arial" w:cs="Arial"/>
          <w:i/>
          <w:szCs w:val="24"/>
        </w:rPr>
        <w:t>Municipal Social Work and Development Department</w:t>
      </w:r>
      <w:r>
        <w:rPr>
          <w:rFonts w:eastAsia="Arial" w:cs="Arial"/>
          <w:szCs w:val="24"/>
        </w:rPr>
        <w:t xml:space="preserve">, the </w:t>
      </w:r>
      <w:r>
        <w:rPr>
          <w:rFonts w:eastAsia="Arial" w:cs="Arial"/>
          <w:i/>
          <w:szCs w:val="24"/>
        </w:rPr>
        <w:t>Urban Poor Sector President</w:t>
      </w:r>
      <w:r>
        <w:rPr>
          <w:rFonts w:eastAsia="Arial" w:cs="Arial"/>
          <w:szCs w:val="24"/>
        </w:rPr>
        <w:t xml:space="preserve">, and the </w:t>
      </w:r>
      <w:r>
        <w:rPr>
          <w:rFonts w:eastAsia="Arial" w:cs="Arial"/>
          <w:i/>
          <w:szCs w:val="24"/>
        </w:rPr>
        <w:t>Planning Office</w:t>
      </w:r>
      <w:r>
        <w:rPr>
          <w:rFonts w:eastAsia="Arial" w:cs="Arial"/>
          <w:szCs w:val="24"/>
        </w:rPr>
        <w:t xml:space="preserve"> of the Municipality can </w:t>
      </w:r>
      <w:r w:rsidR="00E13500" w:rsidRPr="00E13500">
        <w:rPr>
          <w:rFonts w:eastAsia="Arial" w:cs="Arial"/>
          <w:szCs w:val="24"/>
        </w:rPr>
        <w:t>enhance their planning and implementation strategies with the insights gained from our study, they will be better equipped to mitigate the risks and reduce the exposure faced by the urban poor population</w:t>
      </w:r>
      <w:r>
        <w:rPr>
          <w:rFonts w:eastAsia="Arial" w:cs="Arial"/>
          <w:szCs w:val="24"/>
        </w:rPr>
        <w:t>.</w:t>
      </w:r>
    </w:p>
    <w:p w14:paraId="63B1AAA9" w14:textId="36375252" w:rsidR="007C6854" w:rsidRDefault="00E0219E" w:rsidP="00113E43">
      <w:pPr>
        <w:pBdr>
          <w:top w:val="nil"/>
          <w:left w:val="nil"/>
          <w:bottom w:val="nil"/>
          <w:right w:val="nil"/>
          <w:between w:val="nil"/>
        </w:pBdr>
        <w:spacing w:after="160" w:line="480" w:lineRule="auto"/>
        <w:jc w:val="both"/>
        <w:rPr>
          <w:rFonts w:eastAsia="Arial" w:cs="Arial"/>
          <w:color w:val="000000"/>
          <w:szCs w:val="24"/>
        </w:rPr>
      </w:pPr>
      <w:r>
        <w:rPr>
          <w:rFonts w:eastAsia="Arial" w:cs="Arial"/>
          <w:b/>
          <w:color w:val="000000"/>
          <w:szCs w:val="24"/>
        </w:rPr>
        <w:t xml:space="preserve">Community of </w:t>
      </w:r>
      <w:proofErr w:type="spellStart"/>
      <w:r>
        <w:rPr>
          <w:rFonts w:eastAsia="Arial" w:cs="Arial"/>
          <w:b/>
          <w:color w:val="000000"/>
          <w:szCs w:val="24"/>
        </w:rPr>
        <w:t>Bukuhan</w:t>
      </w:r>
      <w:proofErr w:type="spellEnd"/>
      <w:r>
        <w:rPr>
          <w:rFonts w:eastAsia="Arial" w:cs="Arial"/>
          <w:b/>
          <w:color w:val="000000"/>
          <w:szCs w:val="24"/>
        </w:rPr>
        <w:t xml:space="preserve">, </w:t>
      </w:r>
      <w:r>
        <w:rPr>
          <w:rFonts w:eastAsia="Arial" w:cs="Arial"/>
          <w:b/>
          <w:szCs w:val="24"/>
        </w:rPr>
        <w:t>Brgy.</w:t>
      </w:r>
      <w:r>
        <w:rPr>
          <w:rFonts w:eastAsia="Arial" w:cs="Arial"/>
          <w:b/>
          <w:color w:val="000000"/>
          <w:szCs w:val="24"/>
        </w:rPr>
        <w:t xml:space="preserve"> Santa Ana.</w:t>
      </w:r>
      <w:r>
        <w:rPr>
          <w:rFonts w:eastAsia="Arial" w:cs="Arial"/>
          <w:color w:val="000000"/>
          <w:szCs w:val="24"/>
        </w:rPr>
        <w:t xml:space="preserve"> </w:t>
      </w:r>
      <w:r w:rsidR="00E95D0C" w:rsidRPr="00E95D0C">
        <w:rPr>
          <w:rFonts w:eastAsia="Arial" w:cs="Arial"/>
          <w:color w:val="000000"/>
          <w:szCs w:val="24"/>
        </w:rPr>
        <w:t xml:space="preserve">The findings of this study have the potential to catalyze the formulation of an all-encompassing action plan for promoting health, specifically targeting the prevention and control of hypertension, while simultaneously enhancing health literacy within the community. Given the significant impact of urban health on public well-being, this study also presents an opportunity to </w:t>
      </w:r>
      <w:r w:rsidR="00E95D0C" w:rsidRPr="00E95D0C">
        <w:rPr>
          <w:rFonts w:eastAsia="Arial" w:cs="Arial"/>
          <w:color w:val="000000"/>
          <w:szCs w:val="24"/>
        </w:rPr>
        <w:lastRenderedPageBreak/>
        <w:t>actively involve the community in conceptualizing a grassroots-driven and community-led approach to addressing the health challenges faced by the urban underprivileged population.</w:t>
      </w:r>
    </w:p>
    <w:p w14:paraId="31ED0B55" w14:textId="53B7EDE0" w:rsidR="007C6854" w:rsidRDefault="00E0219E" w:rsidP="00113E43">
      <w:pPr>
        <w:pBdr>
          <w:top w:val="nil"/>
          <w:left w:val="nil"/>
          <w:bottom w:val="nil"/>
          <w:right w:val="nil"/>
          <w:between w:val="nil"/>
        </w:pBdr>
        <w:spacing w:after="160" w:line="480" w:lineRule="auto"/>
        <w:jc w:val="both"/>
        <w:rPr>
          <w:rFonts w:eastAsia="Arial" w:cs="Arial"/>
          <w:color w:val="000000"/>
          <w:szCs w:val="24"/>
        </w:rPr>
      </w:pPr>
      <w:r>
        <w:rPr>
          <w:rFonts w:eastAsia="Arial" w:cs="Arial"/>
          <w:b/>
          <w:color w:val="000000"/>
          <w:szCs w:val="24"/>
        </w:rPr>
        <w:t xml:space="preserve">Other Researchers in the </w:t>
      </w:r>
      <w:r>
        <w:rPr>
          <w:rFonts w:eastAsia="Arial" w:cs="Arial"/>
          <w:b/>
          <w:szCs w:val="24"/>
        </w:rPr>
        <w:t>Fields</w:t>
      </w:r>
      <w:r>
        <w:rPr>
          <w:rFonts w:eastAsia="Arial" w:cs="Arial"/>
          <w:b/>
          <w:color w:val="000000"/>
          <w:szCs w:val="24"/>
        </w:rPr>
        <w:t xml:space="preserve"> of Public Health and Social </w:t>
      </w:r>
      <w:r>
        <w:rPr>
          <w:rFonts w:eastAsia="Arial" w:cs="Arial"/>
          <w:b/>
          <w:szCs w:val="24"/>
        </w:rPr>
        <w:t>Science:</w:t>
      </w:r>
      <w:r>
        <w:rPr>
          <w:rFonts w:eastAsia="Arial" w:cs="Arial"/>
          <w:color w:val="000000"/>
          <w:szCs w:val="24"/>
        </w:rPr>
        <w:t xml:space="preserve"> </w:t>
      </w:r>
      <w:r w:rsidR="00E13500" w:rsidRPr="00E13500">
        <w:rPr>
          <w:rFonts w:eastAsia="Arial" w:cs="Arial"/>
          <w:color w:val="000000"/>
          <w:szCs w:val="24"/>
        </w:rPr>
        <w:t xml:space="preserve">This study </w:t>
      </w:r>
      <w:r w:rsidR="00E13500">
        <w:rPr>
          <w:rFonts w:eastAsia="Arial" w:cs="Arial"/>
          <w:color w:val="000000"/>
          <w:szCs w:val="24"/>
        </w:rPr>
        <w:t xml:space="preserve">will provide </w:t>
      </w:r>
      <w:r w:rsidR="00E13500" w:rsidRPr="00E13500">
        <w:rPr>
          <w:rFonts w:eastAsia="Arial" w:cs="Arial"/>
          <w:color w:val="000000"/>
          <w:szCs w:val="24"/>
        </w:rPr>
        <w:t>a baseline and reference point for evaluating the health literacy of the community. By doing so, it will contribute to a better understanding of the health literacy levels within the community. Furthermore, the findings of this research can serve as a catalyst for conducting a population-based study to assess the risk of hypertension among urban poor settlers, specifically in relation to their health literacy. This study holds significant potential for shedding light on the impact of health literacy on the prevalence of hypertension within this population.</w:t>
      </w:r>
    </w:p>
    <w:p w14:paraId="6DD891F8" w14:textId="77777777" w:rsidR="007C6854" w:rsidRDefault="00E0219E">
      <w:pPr>
        <w:pBdr>
          <w:top w:val="nil"/>
          <w:left w:val="nil"/>
          <w:bottom w:val="nil"/>
          <w:right w:val="nil"/>
          <w:between w:val="nil"/>
        </w:pBdr>
        <w:spacing w:after="160" w:line="360" w:lineRule="auto"/>
        <w:jc w:val="center"/>
        <w:rPr>
          <w:rFonts w:eastAsia="Arial" w:cs="Arial"/>
          <w:b/>
          <w:szCs w:val="24"/>
        </w:rPr>
      </w:pPr>
      <w:r>
        <w:br w:type="page"/>
      </w:r>
    </w:p>
    <w:p w14:paraId="2864CBFC" w14:textId="77777777" w:rsidR="007C6854" w:rsidRDefault="00E0219E">
      <w:pPr>
        <w:pStyle w:val="Heading2"/>
        <w:jc w:val="center"/>
        <w:rPr>
          <w:rFonts w:eastAsia="Arial" w:cs="Arial"/>
          <w:sz w:val="24"/>
          <w:szCs w:val="24"/>
        </w:rPr>
      </w:pPr>
      <w:bookmarkStart w:id="6" w:name="_heading=h.26in1rg" w:colFirst="0" w:colLast="0"/>
      <w:bookmarkEnd w:id="6"/>
      <w:r>
        <w:rPr>
          <w:rFonts w:eastAsia="Arial" w:cs="Arial"/>
          <w:sz w:val="24"/>
          <w:szCs w:val="24"/>
        </w:rPr>
        <w:lastRenderedPageBreak/>
        <w:t>Scope and Limitations of the Study</w:t>
      </w:r>
    </w:p>
    <w:p w14:paraId="3DF243CF" w14:textId="77777777" w:rsidR="007C6854" w:rsidRDefault="007C6854"/>
    <w:p w14:paraId="1E8DCF33" w14:textId="77777777" w:rsidR="006A7D6C" w:rsidRDefault="00E0219E" w:rsidP="006A7D6C">
      <w:pPr>
        <w:pBdr>
          <w:top w:val="nil"/>
          <w:left w:val="nil"/>
          <w:bottom w:val="nil"/>
          <w:right w:val="nil"/>
          <w:between w:val="nil"/>
        </w:pBdr>
        <w:spacing w:after="160" w:line="480" w:lineRule="auto"/>
        <w:ind w:firstLine="720"/>
        <w:jc w:val="both"/>
        <w:rPr>
          <w:rFonts w:eastAsia="Arial" w:cs="Arial"/>
          <w:szCs w:val="24"/>
        </w:rPr>
      </w:pPr>
      <w:r>
        <w:rPr>
          <w:rFonts w:eastAsia="Arial" w:cs="Arial"/>
          <w:color w:val="000000"/>
          <w:szCs w:val="24"/>
        </w:rPr>
        <w:t xml:space="preserve">This study assesses the association </w:t>
      </w:r>
      <w:r>
        <w:rPr>
          <w:rFonts w:eastAsia="Arial" w:cs="Arial"/>
          <w:szCs w:val="24"/>
        </w:rPr>
        <w:t>between</w:t>
      </w:r>
      <w:r>
        <w:rPr>
          <w:rFonts w:eastAsia="Arial" w:cs="Arial"/>
          <w:color w:val="000000"/>
          <w:szCs w:val="24"/>
        </w:rPr>
        <w:t xml:space="preserve"> health literacy and hypertension </w:t>
      </w:r>
      <w:r>
        <w:rPr>
          <w:rFonts w:eastAsia="Arial" w:cs="Arial"/>
          <w:szCs w:val="24"/>
        </w:rPr>
        <w:t xml:space="preserve">among 20-year-old and older urban poor settlers. The study excluded those who were 19 years old or younger. </w:t>
      </w:r>
      <w:r w:rsidR="006A7D6C">
        <w:rPr>
          <w:rFonts w:eastAsia="Arial" w:cs="Arial"/>
          <w:szCs w:val="24"/>
        </w:rPr>
        <w:t>Further</w:t>
      </w:r>
      <w:r>
        <w:rPr>
          <w:rFonts w:eastAsia="Arial" w:cs="Arial"/>
          <w:szCs w:val="24"/>
        </w:rPr>
        <w:t>, the study only covers an urban poor community in Pateros, Metro Manila</w:t>
      </w:r>
      <w:r w:rsidR="006A7D6C">
        <w:rPr>
          <w:rFonts w:eastAsia="Arial" w:cs="Arial"/>
          <w:szCs w:val="24"/>
        </w:rPr>
        <w:t xml:space="preserve"> particularly </w:t>
      </w:r>
      <w:r w:rsidR="006A7D6C">
        <w:rPr>
          <w:rFonts w:eastAsia="Arial" w:cs="Arial"/>
          <w:szCs w:val="24"/>
        </w:rPr>
        <w:t>Barangay Santa Ana</w:t>
      </w:r>
      <w:r>
        <w:rPr>
          <w:rFonts w:eastAsia="Arial" w:cs="Arial"/>
          <w:szCs w:val="24"/>
        </w:rPr>
        <w:t xml:space="preserve">. The researcher intends to conduct this research within one year after signing the memorandum of agreement with the researcher's partner, the Pateros Municipal Health Office. </w:t>
      </w:r>
    </w:p>
    <w:p w14:paraId="79F98177" w14:textId="6E4A6E5B" w:rsidR="007C6854" w:rsidRPr="006A7D6C" w:rsidRDefault="00E0219E" w:rsidP="006A7D6C">
      <w:pPr>
        <w:pBdr>
          <w:top w:val="nil"/>
          <w:left w:val="nil"/>
          <w:bottom w:val="nil"/>
          <w:right w:val="nil"/>
          <w:between w:val="nil"/>
        </w:pBdr>
        <w:spacing w:after="160" w:line="480" w:lineRule="auto"/>
        <w:ind w:firstLine="720"/>
        <w:jc w:val="both"/>
        <w:rPr>
          <w:rFonts w:eastAsia="Arial" w:cs="Arial"/>
          <w:szCs w:val="24"/>
        </w:rPr>
      </w:pPr>
      <w:r>
        <w:rPr>
          <w:rFonts w:eastAsia="Arial" w:cs="Arial"/>
          <w:szCs w:val="24"/>
        </w:rPr>
        <w:t xml:space="preserve">The study design was limited to a quantitative study, and qualitative data utilized a scale parameter to weigh the respondents' scores. Only variables on socio-demographic information, information on health literacy, and information on hypertension were collected among target participants. Socio-demographic variables such as sex, age, marital status, ethnic and cultural sub-groups, PhilHealth status, and income class were gathered. The information was gathered during the day while keeping age and gender variance in mind. However, </w:t>
      </w:r>
      <w:r w:rsidR="006A7D6C">
        <w:rPr>
          <w:rFonts w:eastAsia="Arial" w:cs="Arial"/>
          <w:szCs w:val="24"/>
        </w:rPr>
        <w:t>since</w:t>
      </w:r>
      <w:r>
        <w:rPr>
          <w:rFonts w:eastAsia="Arial" w:cs="Arial"/>
          <w:szCs w:val="24"/>
        </w:rPr>
        <w:t xml:space="preserve"> study participants were chosen based on convenience or respondent availability, </w:t>
      </w:r>
      <w:r w:rsidR="006A7D6C">
        <w:rPr>
          <w:rFonts w:eastAsia="Arial" w:cs="Arial"/>
          <w:szCs w:val="24"/>
        </w:rPr>
        <w:t>most</w:t>
      </w:r>
      <w:r>
        <w:rPr>
          <w:rFonts w:eastAsia="Arial" w:cs="Arial"/>
          <w:szCs w:val="24"/>
        </w:rPr>
        <w:t xml:space="preserve"> </w:t>
      </w:r>
      <w:r w:rsidR="006A7D6C">
        <w:rPr>
          <w:rFonts w:eastAsia="Arial" w:cs="Arial"/>
          <w:szCs w:val="24"/>
        </w:rPr>
        <w:t xml:space="preserve">of the </w:t>
      </w:r>
      <w:r>
        <w:rPr>
          <w:rFonts w:eastAsia="Arial" w:cs="Arial"/>
          <w:szCs w:val="24"/>
        </w:rPr>
        <w:t xml:space="preserve">recruited </w:t>
      </w:r>
      <w:r w:rsidR="006A7D6C">
        <w:rPr>
          <w:rFonts w:eastAsia="Arial" w:cs="Arial"/>
          <w:szCs w:val="24"/>
        </w:rPr>
        <w:t xml:space="preserve">respondents </w:t>
      </w:r>
      <w:r>
        <w:rPr>
          <w:rFonts w:eastAsia="Arial" w:cs="Arial"/>
          <w:szCs w:val="24"/>
        </w:rPr>
        <w:t xml:space="preserve">are older and female. The researcher did not take the study subject's blood pressure; instead, the researcher used a proxy question from a population-based study guide. The researcher limits the operational definition of hypertension to two proxy indicators of hypertension used by the WHO </w:t>
      </w:r>
      <w:proofErr w:type="spellStart"/>
      <w:r>
        <w:rPr>
          <w:rFonts w:eastAsia="Arial" w:cs="Arial"/>
          <w:szCs w:val="24"/>
        </w:rPr>
        <w:t>STEPwise</w:t>
      </w:r>
      <w:proofErr w:type="spellEnd"/>
      <w:r>
        <w:rPr>
          <w:rFonts w:eastAsia="Arial" w:cs="Arial"/>
          <w:szCs w:val="24"/>
        </w:rPr>
        <w:t xml:space="preserve"> Approach in NCD risk factor surveillance to classify the hypertension level using the International Society of Hypertension guidelines. This was decided due to the risk of COVID-19 infection and the anticipation of non-response issues among the subject population. In addition, health literacy questions were limited to nine questions based on the </w:t>
      </w:r>
      <w:proofErr w:type="spellStart"/>
      <w:r>
        <w:rPr>
          <w:rFonts w:eastAsia="Arial" w:cs="Arial"/>
          <w:szCs w:val="24"/>
        </w:rPr>
        <w:t>Nutbeam</w:t>
      </w:r>
      <w:proofErr w:type="spellEnd"/>
      <w:r>
        <w:rPr>
          <w:rFonts w:eastAsia="Arial" w:cs="Arial"/>
          <w:szCs w:val="24"/>
        </w:rPr>
        <w:t xml:space="preserve"> Schema adopted by Osborne, </w:t>
      </w:r>
      <w:proofErr w:type="spellStart"/>
      <w:r>
        <w:rPr>
          <w:rFonts w:eastAsia="Arial" w:cs="Arial"/>
          <w:szCs w:val="24"/>
        </w:rPr>
        <w:t>Batterham</w:t>
      </w:r>
      <w:proofErr w:type="spellEnd"/>
      <w:r>
        <w:rPr>
          <w:rFonts w:eastAsia="Arial" w:cs="Arial"/>
          <w:szCs w:val="24"/>
        </w:rPr>
        <w:t xml:space="preserve">, Elsworth, Hawkins, &amp; Buchbinder (2013). </w:t>
      </w:r>
      <w:r>
        <w:rPr>
          <w:rFonts w:eastAsia="Arial" w:cs="Arial"/>
          <w:szCs w:val="24"/>
        </w:rPr>
        <w:lastRenderedPageBreak/>
        <w:t xml:space="preserve">Each domain's questions were not explored. The study's generalizability is also in question since it utilized a non-probability sampling method. However, the generalization of its result only applies to the community under study, which could reflect hypertension and health literacy prevalence among 20-year-olds and older in the </w:t>
      </w:r>
      <w:proofErr w:type="spellStart"/>
      <w:r>
        <w:rPr>
          <w:rFonts w:eastAsia="Arial" w:cs="Arial"/>
          <w:szCs w:val="24"/>
        </w:rPr>
        <w:t>Bukuhan</w:t>
      </w:r>
      <w:proofErr w:type="spellEnd"/>
      <w:r>
        <w:rPr>
          <w:rFonts w:eastAsia="Arial" w:cs="Arial"/>
          <w:szCs w:val="24"/>
        </w:rPr>
        <w:t xml:space="preserve"> community. </w:t>
      </w:r>
      <w:r>
        <w:br w:type="page"/>
      </w:r>
    </w:p>
    <w:p w14:paraId="73E89F06" w14:textId="77777777" w:rsidR="007C6854" w:rsidRDefault="00E0219E" w:rsidP="00CA0720">
      <w:pPr>
        <w:pStyle w:val="Heading1"/>
        <w:spacing w:line="240" w:lineRule="auto"/>
        <w:jc w:val="center"/>
        <w:rPr>
          <w:rFonts w:eastAsia="Arial" w:cs="Arial"/>
          <w:sz w:val="24"/>
          <w:szCs w:val="24"/>
        </w:rPr>
      </w:pPr>
      <w:bookmarkStart w:id="7" w:name="_heading=h.lnxbz9" w:colFirst="0" w:colLast="0"/>
      <w:bookmarkEnd w:id="7"/>
      <w:r>
        <w:rPr>
          <w:rFonts w:eastAsia="Arial" w:cs="Arial"/>
          <w:sz w:val="24"/>
          <w:szCs w:val="24"/>
        </w:rPr>
        <w:lastRenderedPageBreak/>
        <w:t>Chapter II:</w:t>
      </w:r>
    </w:p>
    <w:p w14:paraId="202EC151" w14:textId="4A083082" w:rsidR="00CA0720" w:rsidRDefault="00E0219E" w:rsidP="00CA0720">
      <w:pPr>
        <w:pStyle w:val="Heading1"/>
        <w:spacing w:line="480" w:lineRule="auto"/>
        <w:jc w:val="center"/>
        <w:rPr>
          <w:rFonts w:eastAsia="Arial" w:cs="Arial"/>
          <w:sz w:val="24"/>
          <w:szCs w:val="24"/>
        </w:rPr>
      </w:pPr>
      <w:bookmarkStart w:id="8" w:name="_heading=h.35nkun2" w:colFirst="0" w:colLast="0"/>
      <w:bookmarkEnd w:id="8"/>
      <w:r>
        <w:rPr>
          <w:rFonts w:eastAsia="Arial" w:cs="Arial"/>
          <w:sz w:val="24"/>
          <w:szCs w:val="24"/>
        </w:rPr>
        <w:t>THEORETICAL BACKGROUND</w:t>
      </w:r>
      <w:bookmarkStart w:id="9" w:name="_heading=h.1ksv4uv" w:colFirst="0" w:colLast="0"/>
      <w:bookmarkEnd w:id="9"/>
    </w:p>
    <w:p w14:paraId="5DD8776B" w14:textId="08E6FAC3" w:rsidR="007C6854" w:rsidRDefault="00E0219E" w:rsidP="00CA0720">
      <w:pPr>
        <w:pStyle w:val="Heading2"/>
        <w:spacing w:line="480" w:lineRule="auto"/>
        <w:jc w:val="center"/>
        <w:rPr>
          <w:rFonts w:eastAsia="Arial" w:cs="Arial"/>
          <w:sz w:val="24"/>
          <w:szCs w:val="24"/>
        </w:rPr>
      </w:pPr>
      <w:r>
        <w:rPr>
          <w:rFonts w:eastAsia="Arial" w:cs="Arial"/>
          <w:sz w:val="24"/>
          <w:szCs w:val="24"/>
        </w:rPr>
        <w:t>A Review of Literature</w:t>
      </w:r>
    </w:p>
    <w:p w14:paraId="546A2B1F" w14:textId="77777777" w:rsidR="007C6854" w:rsidRDefault="007C6854"/>
    <w:p w14:paraId="080529A5" w14:textId="77777777" w:rsidR="007C6854" w:rsidRDefault="00E0219E">
      <w:pPr>
        <w:pStyle w:val="Heading3"/>
        <w:rPr>
          <w:rFonts w:eastAsia="Arial" w:cs="Arial"/>
          <w:sz w:val="24"/>
          <w:szCs w:val="24"/>
        </w:rPr>
      </w:pPr>
      <w:bookmarkStart w:id="10" w:name="_heading=h.44sinio" w:colFirst="0" w:colLast="0"/>
      <w:bookmarkEnd w:id="10"/>
      <w:r>
        <w:rPr>
          <w:rFonts w:eastAsia="Arial" w:cs="Arial"/>
          <w:sz w:val="24"/>
          <w:szCs w:val="24"/>
        </w:rPr>
        <w:t>Socio-demographic Factors</w:t>
      </w:r>
    </w:p>
    <w:p w14:paraId="491B4933" w14:textId="77777777" w:rsidR="007C6854" w:rsidRDefault="007C6854"/>
    <w:p w14:paraId="36D41473" w14:textId="77777777" w:rsidR="007C6854" w:rsidRDefault="00E0219E" w:rsidP="00113E43">
      <w:pPr>
        <w:pBdr>
          <w:top w:val="nil"/>
          <w:left w:val="nil"/>
          <w:bottom w:val="nil"/>
          <w:right w:val="nil"/>
          <w:between w:val="nil"/>
        </w:pBdr>
        <w:spacing w:after="160" w:line="480" w:lineRule="auto"/>
        <w:jc w:val="both"/>
        <w:rPr>
          <w:rFonts w:eastAsia="Arial" w:cs="Arial"/>
          <w:szCs w:val="24"/>
        </w:rPr>
      </w:pPr>
      <w:r>
        <w:rPr>
          <w:rFonts w:eastAsia="Arial" w:cs="Arial"/>
          <w:szCs w:val="24"/>
        </w:rPr>
        <w:tab/>
        <w:t xml:space="preserve">The United Nations Urbanization Prospects 2018 report reported that millions of people live in urban communities. By 2025, around 4.7 billion people will live in urban areas, compared to a baseline of 3.9 billion in 2015 at the end of the Millennium Development Goals (MDG) (UN, n.d.; Ritch, H., &amp; Roser, M., 2018). The Southeast Asian Region, where the Philippines belongs, shows a rapid increase in population from 2015 to 2025, while the Philippines alone shows 6% growth from 2010 to 2015 (UN, n.d.; UN-HABITAT, n.d.). However, the effect of urbanization has not changed in a decade. The Philippine Statistics Authority (PSA) reported that the level of urbanization, particularly in the National Capital Region, had not changed since 2015 compared to the 2020 census (PSA, 2022; O’Neil, 2023). The age population pyramid in the Philippines has not changed over the past few years or since the 2020 census. However, the last 2020 census revealed a 7.20 million-person increase in the population of urban barangay settlers. More so, from 1950 to 2020, the median age of Filipinos changed over time, but ages 15–64 remained the predominant age group (PSA, 2022; Statista, 2023). On sex distribution, it shows that males are more than females; the PSA reported that in 2020, the ratio was 103 males to 100 females (PSA, 2022). The Philippines is becoming more urbanized due to migration, and it is estimated that 20% of the urban population is poor (WHO, 2008). More informal </w:t>
      </w:r>
      <w:r>
        <w:rPr>
          <w:rFonts w:eastAsia="Arial" w:cs="Arial"/>
          <w:szCs w:val="24"/>
        </w:rPr>
        <w:lastRenderedPageBreak/>
        <w:t>settlers have no permanent houses; this is one primary effect of urbanization. It is estimated that 5 out of 10 Filipinos will be living in urban areas, and by the end of 2050, 84% of Filipinos are expected to reside in urban communities. (UN-HABITAT, n.d.) On the other hand, the study by Parker et al. (2018) showed that racial and ethnic diversity are significantly increasing in the US, with migration among the older population. However, the trend seems to vary across rural and urban communities. In the same report, urban communities reported growing in 2000 compared to rural populations (Parke et al.,2018). The effects of urbanization and population density include overcrowding and poverty. In Asia alone, urban slum populations make up 60% of the total world slum population (ADB, 2014; IIED, 2014). The Asian Development Bank (2014) cited that urban poverty in Asia is multidimensional, extending beyond income, including health and educational aspects, and a social security system that includes health insurance. In the same report, it was cited that a high proportion of those who live in slum areas are underpaid and are living in extreme poverty. Among urban communities, it was seen that female labor force participation increased, and most of the time, women were primarily employed in family enterprises or as piecemeal workers, street vendors, and domestic helpers. Further, those who are living in poverty lack access to health and education (ADB, 2014).</w:t>
      </w:r>
    </w:p>
    <w:p w14:paraId="789FE6BF" w14:textId="362EABA1" w:rsidR="007C6854" w:rsidRPr="008B7903" w:rsidRDefault="00E0219E" w:rsidP="008B7903">
      <w:pPr>
        <w:pStyle w:val="Heading3"/>
        <w:spacing w:line="480" w:lineRule="auto"/>
        <w:rPr>
          <w:rFonts w:eastAsia="Arial" w:cs="Arial"/>
          <w:sz w:val="24"/>
          <w:szCs w:val="24"/>
        </w:rPr>
      </w:pPr>
      <w:bookmarkStart w:id="11" w:name="_heading=h.2jxsxqh" w:colFirst="0" w:colLast="0"/>
      <w:bookmarkEnd w:id="11"/>
      <w:r>
        <w:rPr>
          <w:rFonts w:eastAsia="Arial" w:cs="Arial"/>
          <w:sz w:val="24"/>
          <w:szCs w:val="24"/>
        </w:rPr>
        <w:t>Hypertension</w:t>
      </w:r>
    </w:p>
    <w:p w14:paraId="29642AAB" w14:textId="0CB6D9B1" w:rsidR="007C6854" w:rsidRDefault="008B7903" w:rsidP="00113E43">
      <w:pPr>
        <w:pBdr>
          <w:top w:val="nil"/>
          <w:left w:val="nil"/>
          <w:bottom w:val="nil"/>
          <w:right w:val="nil"/>
          <w:between w:val="nil"/>
        </w:pBdr>
        <w:spacing w:after="160" w:line="480" w:lineRule="auto"/>
        <w:ind w:firstLine="420"/>
        <w:jc w:val="both"/>
        <w:rPr>
          <w:rFonts w:eastAsia="Arial" w:cs="Arial"/>
          <w:color w:val="000000"/>
          <w:szCs w:val="24"/>
        </w:rPr>
      </w:pPr>
      <w:r>
        <w:rPr>
          <w:rFonts w:eastAsia="Arial" w:cs="Arial"/>
          <w:szCs w:val="24"/>
        </w:rPr>
        <w:tab/>
      </w:r>
      <w:r w:rsidR="00E0219E">
        <w:rPr>
          <w:rFonts w:eastAsia="Arial" w:cs="Arial"/>
          <w:color w:val="000000"/>
          <w:szCs w:val="24"/>
        </w:rPr>
        <w:t xml:space="preserve">Hypertension, also known as high or raised blood pressure, is a condition in which the blood vessels have persistently raised pressure. Around 1.13 billion people globally have the disease globally (WHO, n.d.). Hypertension changes the structure of the </w:t>
      </w:r>
      <w:r w:rsidR="00E0219E">
        <w:rPr>
          <w:rFonts w:eastAsia="Arial" w:cs="Arial"/>
          <w:szCs w:val="24"/>
        </w:rPr>
        <w:t>arteries,</w:t>
      </w:r>
      <w:r w:rsidR="00E0219E">
        <w:rPr>
          <w:rFonts w:eastAsia="Arial" w:cs="Arial"/>
          <w:color w:val="000000"/>
          <w:szCs w:val="24"/>
        </w:rPr>
        <w:t xml:space="preserve"> resulting </w:t>
      </w:r>
      <w:r w:rsidR="00E0219E">
        <w:rPr>
          <w:rFonts w:eastAsia="Arial" w:cs="Arial"/>
          <w:szCs w:val="24"/>
        </w:rPr>
        <w:t>in an</w:t>
      </w:r>
      <w:r w:rsidR="00E0219E">
        <w:rPr>
          <w:rFonts w:eastAsia="Arial" w:cs="Arial"/>
          <w:color w:val="000000"/>
          <w:szCs w:val="24"/>
        </w:rPr>
        <w:t xml:space="preserve"> episode of stroke, heart disease, kidney failure, and other diseases. Globally, 51% of </w:t>
      </w:r>
      <w:r w:rsidR="00E0219E">
        <w:rPr>
          <w:rFonts w:eastAsia="Arial" w:cs="Arial"/>
          <w:szCs w:val="24"/>
        </w:rPr>
        <w:t>strokes</w:t>
      </w:r>
      <w:r w:rsidR="00E0219E">
        <w:rPr>
          <w:rFonts w:eastAsia="Arial" w:cs="Arial"/>
          <w:color w:val="000000"/>
          <w:szCs w:val="24"/>
        </w:rPr>
        <w:t xml:space="preserve"> and 45% of ischemic heart diseases are attributable to raised systolic blood pressure (WHO, 2009, p. 16). WHO (2011) stated </w:t>
      </w:r>
      <w:r w:rsidR="00E0219E">
        <w:rPr>
          <w:rFonts w:eastAsia="Arial" w:cs="Arial"/>
          <w:szCs w:val="24"/>
        </w:rPr>
        <w:lastRenderedPageBreak/>
        <w:t>that the worldwide</w:t>
      </w:r>
      <w:r w:rsidR="00E0219E">
        <w:rPr>
          <w:rFonts w:eastAsia="Arial" w:cs="Arial"/>
          <w:color w:val="000000"/>
          <w:szCs w:val="24"/>
        </w:rPr>
        <w:t xml:space="preserve"> death toll </w:t>
      </w:r>
      <w:r w:rsidR="00E0219E">
        <w:rPr>
          <w:rFonts w:eastAsia="Arial" w:cs="Arial"/>
          <w:szCs w:val="24"/>
        </w:rPr>
        <w:t>from</w:t>
      </w:r>
      <w:r w:rsidR="00E0219E">
        <w:rPr>
          <w:rFonts w:eastAsia="Arial" w:cs="Arial"/>
          <w:color w:val="000000"/>
          <w:szCs w:val="24"/>
        </w:rPr>
        <w:t xml:space="preserve"> raised blood pressure is 7.5 </w:t>
      </w:r>
      <w:r w:rsidR="00E0219E">
        <w:rPr>
          <w:rFonts w:eastAsia="Arial" w:cs="Arial"/>
          <w:szCs w:val="24"/>
        </w:rPr>
        <w:t>million, or</w:t>
      </w:r>
      <w:r w:rsidR="00E0219E">
        <w:rPr>
          <w:rFonts w:eastAsia="Arial" w:cs="Arial"/>
          <w:color w:val="000000"/>
          <w:szCs w:val="24"/>
        </w:rPr>
        <w:t xml:space="preserve"> about 12.5% of the total deaths. Mills, K. T. </w:t>
      </w:r>
      <w:r w:rsidR="00E0219E">
        <w:rPr>
          <w:rFonts w:eastAsia="Arial" w:cs="Arial"/>
          <w:szCs w:val="24"/>
        </w:rPr>
        <w:t>et al</w:t>
      </w:r>
      <w:r w:rsidR="00E0219E">
        <w:rPr>
          <w:rFonts w:eastAsia="Arial" w:cs="Arial"/>
          <w:color w:val="000000"/>
          <w:szCs w:val="24"/>
        </w:rPr>
        <w:t>. (2016) reported a disparity in hypertension prevalence globally. In 2010, the adult hypertension prevalence was 31.1%. The World Health Organiz</w:t>
      </w:r>
      <w:r w:rsidR="00E0219E">
        <w:rPr>
          <w:rFonts w:eastAsia="Arial" w:cs="Arial"/>
          <w:szCs w:val="24"/>
        </w:rPr>
        <w:t>ation (WHO, 2021) stated, “The prevalence of hypertension varies across regions and country income groups. The WHO African Region has the highest prevalence of hypertension (27%) while the WHO Region of the Americas has the lowest prevalence of hypertension (18%).” In the same report, the prevalence of hypertension increased from 1975 to 2015, with the most significant number of adults with hypertension seen in low- and middle-income countries. Other articles agree with this report. For example, Mills, K.T. et al. (2016) noted that the prevalence of hypertension in high-income countries was</w:t>
      </w:r>
      <w:r w:rsidR="00E0219E">
        <w:rPr>
          <w:rFonts w:eastAsia="Arial" w:cs="Arial"/>
          <w:color w:val="000000"/>
          <w:szCs w:val="24"/>
        </w:rPr>
        <w:t xml:space="preserve"> 28.5% and 31.5% in low- and middle-income </w:t>
      </w:r>
      <w:r w:rsidR="00E0219E">
        <w:rPr>
          <w:rFonts w:eastAsia="Arial" w:cs="Arial"/>
          <w:szCs w:val="24"/>
        </w:rPr>
        <w:t>countries, respectively</w:t>
      </w:r>
      <w:r w:rsidR="00E0219E">
        <w:rPr>
          <w:rFonts w:eastAsia="Arial" w:cs="Arial"/>
          <w:color w:val="000000"/>
          <w:szCs w:val="24"/>
        </w:rPr>
        <w:t xml:space="preserve">. The study of Sarki, A.M. </w:t>
      </w:r>
      <w:r w:rsidR="00E0219E">
        <w:rPr>
          <w:rFonts w:eastAsia="Arial" w:cs="Arial"/>
          <w:i/>
          <w:color w:val="000000"/>
          <w:szCs w:val="24"/>
        </w:rPr>
        <w:t xml:space="preserve">et al. </w:t>
      </w:r>
      <w:r w:rsidR="00E0219E">
        <w:rPr>
          <w:rFonts w:eastAsia="Arial" w:cs="Arial"/>
          <w:color w:val="000000"/>
          <w:szCs w:val="24"/>
        </w:rPr>
        <w:t xml:space="preserve">(2015) on the prevalence of </w:t>
      </w:r>
      <w:r w:rsidR="00E0219E">
        <w:rPr>
          <w:rFonts w:eastAsia="Arial" w:cs="Arial"/>
          <w:szCs w:val="24"/>
        </w:rPr>
        <w:t>Hypertension</w:t>
      </w:r>
      <w:r w:rsidR="00E0219E">
        <w:rPr>
          <w:rFonts w:eastAsia="Arial" w:cs="Arial"/>
          <w:color w:val="000000"/>
          <w:szCs w:val="24"/>
        </w:rPr>
        <w:t xml:space="preserve"> in low- and middle-income countries </w:t>
      </w:r>
      <w:r w:rsidR="00E0219E">
        <w:rPr>
          <w:rFonts w:eastAsia="Arial" w:cs="Arial"/>
          <w:szCs w:val="24"/>
        </w:rPr>
        <w:t>showed a</w:t>
      </w:r>
      <w:r w:rsidR="00E0219E">
        <w:rPr>
          <w:rFonts w:eastAsia="Arial" w:cs="Arial"/>
          <w:color w:val="000000"/>
          <w:szCs w:val="24"/>
        </w:rPr>
        <w:t xml:space="preserve"> 32.3% </w:t>
      </w:r>
      <w:r w:rsidR="00E0219E">
        <w:rPr>
          <w:rFonts w:eastAsia="Arial" w:cs="Arial"/>
          <w:szCs w:val="24"/>
        </w:rPr>
        <w:t>overall</w:t>
      </w:r>
      <w:r w:rsidR="00E0219E">
        <w:rPr>
          <w:rFonts w:eastAsia="Arial" w:cs="Arial"/>
          <w:color w:val="000000"/>
          <w:szCs w:val="24"/>
        </w:rPr>
        <w:t xml:space="preserve"> prevalence. It also revealed that the highest estimate was seen in Latin America and the Caribbean (39.1%), while in middle-income </w:t>
      </w:r>
      <w:r w:rsidR="00E0219E">
        <w:rPr>
          <w:rFonts w:eastAsia="Arial" w:cs="Arial"/>
          <w:szCs w:val="24"/>
        </w:rPr>
        <w:t>countries the result</w:t>
      </w:r>
      <w:r w:rsidR="00E0219E">
        <w:rPr>
          <w:rFonts w:eastAsia="Arial" w:cs="Arial"/>
          <w:color w:val="000000"/>
          <w:szCs w:val="24"/>
        </w:rPr>
        <w:t xml:space="preserve"> was 37.8%.</w:t>
      </w:r>
      <w:r w:rsidR="00E0219E">
        <w:rPr>
          <w:rFonts w:eastAsia="Arial" w:cs="Arial"/>
          <w:szCs w:val="24"/>
        </w:rPr>
        <w:t xml:space="preserve"> </w:t>
      </w:r>
      <w:r w:rsidR="00E0219E">
        <w:rPr>
          <w:rFonts w:eastAsia="Arial" w:cs="Arial"/>
          <w:color w:val="000000"/>
          <w:szCs w:val="24"/>
        </w:rPr>
        <w:t xml:space="preserve">Low-income countries showed the lowest prevalence (23.1%). </w:t>
      </w:r>
      <w:r w:rsidR="00E0219E">
        <w:rPr>
          <w:rFonts w:eastAsia="Arial" w:cs="Arial"/>
          <w:szCs w:val="24"/>
        </w:rPr>
        <w:t xml:space="preserve">Min H. </w:t>
      </w:r>
      <w:r w:rsidR="00E0219E">
        <w:rPr>
          <w:rFonts w:eastAsia="Arial" w:cs="Arial"/>
          <w:i/>
          <w:szCs w:val="24"/>
        </w:rPr>
        <w:t>et al. (</w:t>
      </w:r>
      <w:r w:rsidR="00E0219E">
        <w:rPr>
          <w:rFonts w:eastAsia="Arial" w:cs="Arial"/>
          <w:szCs w:val="24"/>
        </w:rPr>
        <w:t xml:space="preserve">2010) cited that the prevalence of hypertension in the Republic of Korea was about 28%, while their study showed a decrease of about 11.9%. Between urban and rural populations, the prevalence of hypertension was significantly higher among urban settlers, with an estimated prevalence of 32.7% compared to rural settlers 24.9% (Sarki A.M. </w:t>
      </w:r>
      <w:r w:rsidR="00E0219E">
        <w:rPr>
          <w:rFonts w:eastAsia="Arial" w:cs="Arial"/>
          <w:i/>
          <w:szCs w:val="24"/>
        </w:rPr>
        <w:t>et al. (2015);</w:t>
      </w:r>
      <w:r w:rsidR="00E0219E">
        <w:rPr>
          <w:rFonts w:eastAsia="Arial" w:cs="Arial"/>
          <w:szCs w:val="24"/>
        </w:rPr>
        <w:t xml:space="preserve"> Wang J. et al. (2018) reported a high prevalence of hypertension in rural areas compared to urban areas (25.93% versus 22.73%, respectively).</w:t>
      </w:r>
      <w:r w:rsidR="00E0219E">
        <w:rPr>
          <w:rFonts w:eastAsia="Arial" w:cs="Arial"/>
          <w:i/>
          <w:szCs w:val="24"/>
        </w:rPr>
        <w:t xml:space="preserve"> </w:t>
      </w:r>
      <w:r w:rsidR="00E0219E">
        <w:rPr>
          <w:rFonts w:eastAsia="Arial" w:cs="Arial"/>
          <w:szCs w:val="24"/>
        </w:rPr>
        <w:t xml:space="preserve">A study by Rush K. L. et al. (2018) reported a high prevalence of hypertension among Zambian rural areas (46.9%) compared to Zambian urban areas (22.9%). More so, Xing L. et al. (2019) reported a high prevalence among rural areas in northeastern China compared to </w:t>
      </w:r>
      <w:r w:rsidR="00E0219E">
        <w:rPr>
          <w:rFonts w:eastAsia="Arial" w:cs="Arial"/>
          <w:szCs w:val="24"/>
        </w:rPr>
        <w:lastRenderedPageBreak/>
        <w:t xml:space="preserve">urban areas (52.5% versus 43.5%). In addition, </w:t>
      </w:r>
      <w:proofErr w:type="spellStart"/>
      <w:r w:rsidR="00E0219E">
        <w:rPr>
          <w:rFonts w:eastAsia="Arial" w:cs="Arial"/>
          <w:szCs w:val="24"/>
        </w:rPr>
        <w:t>Bâ</w:t>
      </w:r>
      <w:proofErr w:type="spellEnd"/>
      <w:r w:rsidR="00E0219E">
        <w:rPr>
          <w:rFonts w:eastAsia="Arial" w:cs="Arial"/>
          <w:szCs w:val="24"/>
        </w:rPr>
        <w:t xml:space="preserve"> HO et al. (2018) cited an African community-based prevalence study that showed a higher prevalence ranging from 25% to 54%. The study by Dastan I. et al. (2017) discussed that the hypertension prevalence in urban settings in Turkey was 23.9%. Across demographic data, globally b</w:t>
      </w:r>
      <w:r w:rsidR="00E0219E">
        <w:rPr>
          <w:rFonts w:eastAsia="Arial" w:cs="Arial"/>
          <w:color w:val="000000"/>
          <w:szCs w:val="24"/>
        </w:rPr>
        <w:t xml:space="preserve">y age-specific, the overall prevalence in 2008 was 40% </w:t>
      </w:r>
      <w:r w:rsidR="00E0219E">
        <w:rPr>
          <w:rFonts w:eastAsia="Arial" w:cs="Arial"/>
          <w:szCs w:val="24"/>
        </w:rPr>
        <w:t>among those</w:t>
      </w:r>
      <w:r w:rsidR="00E0219E">
        <w:rPr>
          <w:rFonts w:eastAsia="Arial" w:cs="Arial"/>
          <w:color w:val="000000"/>
          <w:szCs w:val="24"/>
        </w:rPr>
        <w:t xml:space="preserve"> 25 and </w:t>
      </w:r>
      <w:r w:rsidR="00E0219E">
        <w:rPr>
          <w:rFonts w:eastAsia="Arial" w:cs="Arial"/>
          <w:szCs w:val="24"/>
        </w:rPr>
        <w:t>older</w:t>
      </w:r>
      <w:r w:rsidR="00E0219E">
        <w:rPr>
          <w:rFonts w:eastAsia="Arial" w:cs="Arial"/>
          <w:color w:val="000000"/>
          <w:szCs w:val="24"/>
        </w:rPr>
        <w:t xml:space="preserve"> (WHO, 2011). In 2010, Mills, K. T. et al. (2016) reported that people above 40 </w:t>
      </w:r>
      <w:r w:rsidR="00E0219E">
        <w:rPr>
          <w:rFonts w:eastAsia="Arial" w:cs="Arial"/>
          <w:szCs w:val="24"/>
        </w:rPr>
        <w:t>show</w:t>
      </w:r>
      <w:r w:rsidR="00E0219E">
        <w:rPr>
          <w:rFonts w:eastAsia="Arial" w:cs="Arial"/>
          <w:color w:val="000000"/>
          <w:szCs w:val="24"/>
        </w:rPr>
        <w:t xml:space="preserve"> high hypertension prevalence in all countries (see Table 1 below). </w:t>
      </w:r>
      <w:proofErr w:type="spellStart"/>
      <w:r w:rsidR="00E0219E">
        <w:rPr>
          <w:rFonts w:eastAsia="Arial" w:cs="Arial"/>
          <w:color w:val="000000"/>
          <w:szCs w:val="24"/>
        </w:rPr>
        <w:t>Khajedaluee</w:t>
      </w:r>
      <w:proofErr w:type="spellEnd"/>
      <w:r w:rsidR="00E0219E">
        <w:rPr>
          <w:rFonts w:eastAsia="Arial" w:cs="Arial"/>
          <w:color w:val="000000"/>
          <w:szCs w:val="24"/>
        </w:rPr>
        <w:t xml:space="preserve">, M. et al. (2016) observed that hypertension is high among elderly </w:t>
      </w:r>
      <w:r w:rsidR="00E0219E">
        <w:rPr>
          <w:rFonts w:eastAsia="Arial" w:cs="Arial"/>
          <w:szCs w:val="24"/>
        </w:rPr>
        <w:t>males,</w:t>
      </w:r>
      <w:r w:rsidR="00E0219E">
        <w:rPr>
          <w:rFonts w:eastAsia="Arial" w:cs="Arial"/>
          <w:color w:val="000000"/>
          <w:szCs w:val="24"/>
        </w:rPr>
        <w:t xml:space="preserve"> with </w:t>
      </w:r>
      <w:r w:rsidR="00E0219E">
        <w:rPr>
          <w:rFonts w:eastAsia="Arial" w:cs="Arial"/>
          <w:szCs w:val="24"/>
        </w:rPr>
        <w:t>a</w:t>
      </w:r>
      <w:r w:rsidR="00E0219E">
        <w:rPr>
          <w:rFonts w:eastAsia="Arial" w:cs="Arial"/>
          <w:color w:val="000000"/>
          <w:szCs w:val="24"/>
        </w:rPr>
        <w:t xml:space="preserve"> mean age of 46.10 years and an overall average age of 43.52 years. In the same study, </w:t>
      </w:r>
      <w:r w:rsidR="00E0219E">
        <w:rPr>
          <w:rFonts w:eastAsia="Arial" w:cs="Arial"/>
          <w:szCs w:val="24"/>
        </w:rPr>
        <w:t>it was</w:t>
      </w:r>
      <w:r w:rsidR="00E0219E">
        <w:rPr>
          <w:rFonts w:eastAsia="Arial" w:cs="Arial"/>
          <w:color w:val="000000"/>
          <w:szCs w:val="24"/>
        </w:rPr>
        <w:t xml:space="preserve"> also revealed that marital status and employment status were associated with hypertension. </w:t>
      </w:r>
      <w:r w:rsidR="00E0219E">
        <w:rPr>
          <w:rFonts w:eastAsia="Arial" w:cs="Arial"/>
          <w:szCs w:val="24"/>
        </w:rPr>
        <w:t>The</w:t>
      </w:r>
      <w:r w:rsidR="00E0219E">
        <w:rPr>
          <w:rFonts w:eastAsia="Arial" w:cs="Arial"/>
          <w:color w:val="000000"/>
          <w:szCs w:val="24"/>
        </w:rPr>
        <w:t xml:space="preserve"> study by Dogan, N. et al. (2012) showed that women were more at risk of having hypertension. Also, gender and income levels were</w:t>
      </w:r>
      <w:r w:rsidR="00E0219E">
        <w:rPr>
          <w:rFonts w:eastAsia="Arial" w:cs="Arial"/>
          <w:szCs w:val="24"/>
        </w:rPr>
        <w:t xml:space="preserve"> </w:t>
      </w:r>
      <w:r w:rsidR="00E0219E">
        <w:rPr>
          <w:rFonts w:eastAsia="Arial" w:cs="Arial"/>
          <w:color w:val="000000"/>
          <w:szCs w:val="24"/>
        </w:rPr>
        <w:t xml:space="preserve">significant risk factors </w:t>
      </w:r>
      <w:r w:rsidR="00E0219E">
        <w:rPr>
          <w:rFonts w:eastAsia="Arial" w:cs="Arial"/>
          <w:szCs w:val="24"/>
        </w:rPr>
        <w:t>for</w:t>
      </w:r>
      <w:r w:rsidR="00E0219E">
        <w:rPr>
          <w:rFonts w:eastAsia="Arial" w:cs="Arial"/>
          <w:color w:val="000000"/>
          <w:szCs w:val="24"/>
        </w:rPr>
        <w:t xml:space="preserve"> hypertension (Dogan, </w:t>
      </w:r>
      <w:r w:rsidR="00E0219E">
        <w:rPr>
          <w:rFonts w:eastAsia="Arial" w:cs="Arial"/>
          <w:szCs w:val="24"/>
        </w:rPr>
        <w:t>N.</w:t>
      </w:r>
      <w:r w:rsidR="00E0219E">
        <w:rPr>
          <w:rFonts w:eastAsia="Arial" w:cs="Arial"/>
          <w:color w:val="000000"/>
          <w:szCs w:val="24"/>
        </w:rPr>
        <w:t xml:space="preserve"> et al., 2016). On the other hand, the study by </w:t>
      </w:r>
      <w:r w:rsidR="00E0219E">
        <w:rPr>
          <w:rFonts w:eastAsia="Arial" w:cs="Arial"/>
          <w:szCs w:val="24"/>
          <w:highlight w:val="white"/>
        </w:rPr>
        <w:t>Matsuzaki, M., Sherr, K., and Augusto, O. </w:t>
      </w:r>
      <w:r w:rsidR="00E0219E">
        <w:rPr>
          <w:rFonts w:eastAsia="Arial" w:cs="Arial"/>
          <w:i/>
          <w:szCs w:val="24"/>
          <w:highlight w:val="white"/>
        </w:rPr>
        <w:t>et al.</w:t>
      </w:r>
      <w:r w:rsidR="00E0219E">
        <w:rPr>
          <w:rFonts w:eastAsia="Arial" w:cs="Arial"/>
          <w:szCs w:val="24"/>
        </w:rPr>
        <w:t xml:space="preserve"> </w:t>
      </w:r>
      <w:r w:rsidR="00E0219E">
        <w:rPr>
          <w:rFonts w:eastAsia="Arial" w:cs="Arial"/>
          <w:color w:val="000000"/>
          <w:szCs w:val="24"/>
        </w:rPr>
        <w:t xml:space="preserve">(2020) showed no significant difference </w:t>
      </w:r>
      <w:r w:rsidR="00E0219E">
        <w:rPr>
          <w:rFonts w:eastAsia="Arial" w:cs="Arial"/>
          <w:szCs w:val="24"/>
        </w:rPr>
        <w:t>i</w:t>
      </w:r>
      <w:r w:rsidR="00E0219E">
        <w:rPr>
          <w:rFonts w:eastAsia="Arial" w:cs="Arial"/>
          <w:color w:val="000000"/>
          <w:szCs w:val="24"/>
        </w:rPr>
        <w:t xml:space="preserve">n hypertension </w:t>
      </w:r>
      <w:r w:rsidR="00E0219E">
        <w:rPr>
          <w:rFonts w:eastAsia="Arial" w:cs="Arial"/>
          <w:szCs w:val="24"/>
        </w:rPr>
        <w:t>results</w:t>
      </w:r>
      <w:r w:rsidR="00E0219E">
        <w:rPr>
          <w:rFonts w:eastAsia="Arial" w:cs="Arial"/>
          <w:color w:val="000000"/>
          <w:szCs w:val="24"/>
        </w:rPr>
        <w:t xml:space="preserve"> between </w:t>
      </w:r>
      <w:r w:rsidR="00E0219E">
        <w:rPr>
          <w:rFonts w:eastAsia="Arial" w:cs="Arial"/>
          <w:szCs w:val="24"/>
        </w:rPr>
        <w:t>genders</w:t>
      </w:r>
      <w:r w:rsidR="00E0219E">
        <w:rPr>
          <w:rFonts w:eastAsia="Arial" w:cs="Arial"/>
          <w:color w:val="000000"/>
          <w:szCs w:val="24"/>
        </w:rPr>
        <w:t xml:space="preserve"> (Female = 15.7%, Male = 16.1%). However, in the same study</w:t>
      </w:r>
      <w:r w:rsidR="00E0219E">
        <w:rPr>
          <w:rFonts w:eastAsia="Arial" w:cs="Arial"/>
          <w:szCs w:val="24"/>
        </w:rPr>
        <w:t>,</w:t>
      </w:r>
      <w:r w:rsidR="00E0219E">
        <w:rPr>
          <w:rFonts w:eastAsia="Arial" w:cs="Arial"/>
          <w:color w:val="000000"/>
          <w:szCs w:val="24"/>
        </w:rPr>
        <w:t xml:space="preserve"> </w:t>
      </w:r>
      <w:r w:rsidR="00E0219E">
        <w:rPr>
          <w:rFonts w:eastAsia="Arial" w:cs="Arial"/>
          <w:szCs w:val="24"/>
        </w:rPr>
        <w:t>a</w:t>
      </w:r>
      <w:r w:rsidR="00E0219E">
        <w:rPr>
          <w:rFonts w:eastAsia="Arial" w:cs="Arial"/>
          <w:color w:val="000000"/>
          <w:szCs w:val="24"/>
        </w:rPr>
        <w:t xml:space="preserve"> positive association between wealth and blood </w:t>
      </w:r>
      <w:r w:rsidR="00E0219E">
        <w:rPr>
          <w:rFonts w:eastAsia="Arial" w:cs="Arial"/>
          <w:szCs w:val="24"/>
        </w:rPr>
        <w:t>pressure was noted</w:t>
      </w:r>
      <w:r w:rsidR="00E0219E">
        <w:rPr>
          <w:rFonts w:eastAsia="Arial" w:cs="Arial"/>
          <w:color w:val="000000"/>
          <w:szCs w:val="24"/>
        </w:rPr>
        <w:t xml:space="preserve"> (</w:t>
      </w:r>
      <w:r w:rsidR="00E0219E">
        <w:rPr>
          <w:rFonts w:eastAsia="Arial" w:cs="Arial"/>
          <w:szCs w:val="24"/>
          <w:highlight w:val="white"/>
        </w:rPr>
        <w:t>Matsuzaki, M., Sherr, K., Augusto, O., </w:t>
      </w:r>
      <w:r w:rsidR="00E0219E">
        <w:rPr>
          <w:rFonts w:eastAsia="Arial" w:cs="Arial"/>
          <w:i/>
          <w:szCs w:val="24"/>
          <w:highlight w:val="white"/>
        </w:rPr>
        <w:t>et al.</w:t>
      </w:r>
      <w:r w:rsidR="00E0219E">
        <w:rPr>
          <w:rFonts w:eastAsia="Arial" w:cs="Arial"/>
          <w:szCs w:val="24"/>
        </w:rPr>
        <w:t xml:space="preserve">, </w:t>
      </w:r>
      <w:r w:rsidR="00E0219E">
        <w:rPr>
          <w:rFonts w:eastAsia="Arial" w:cs="Arial"/>
          <w:color w:val="000000"/>
          <w:szCs w:val="24"/>
        </w:rPr>
        <w:t xml:space="preserve">2020). It was also reported that a 4.9% increase in global prevalence was noted, </w:t>
      </w:r>
      <w:r w:rsidR="00E0219E">
        <w:rPr>
          <w:rFonts w:eastAsia="Arial" w:cs="Arial"/>
          <w:szCs w:val="24"/>
        </w:rPr>
        <w:t>with</w:t>
      </w:r>
      <w:r w:rsidR="00E0219E">
        <w:rPr>
          <w:rFonts w:eastAsia="Arial" w:cs="Arial"/>
          <w:color w:val="000000"/>
          <w:szCs w:val="24"/>
        </w:rPr>
        <w:t xml:space="preserve"> a 5.3% decrease in high-income countries and an 8.1% increase in low- and middle-income countries between 2000 and 2010 (Mills, </w:t>
      </w:r>
      <w:r w:rsidR="00E0219E">
        <w:rPr>
          <w:rFonts w:eastAsia="Arial" w:cs="Arial"/>
          <w:szCs w:val="24"/>
        </w:rPr>
        <w:t>K.T.</w:t>
      </w:r>
      <w:r w:rsidR="00E0219E">
        <w:rPr>
          <w:rFonts w:eastAsia="Arial" w:cs="Arial"/>
          <w:color w:val="000000"/>
          <w:szCs w:val="24"/>
        </w:rPr>
        <w:t xml:space="preserve">, et </w:t>
      </w:r>
      <w:r w:rsidR="00E0219E">
        <w:rPr>
          <w:rFonts w:eastAsia="Arial" w:cs="Arial"/>
          <w:szCs w:val="24"/>
        </w:rPr>
        <w:t>al.</w:t>
      </w:r>
      <w:r w:rsidR="00E0219E">
        <w:rPr>
          <w:rFonts w:eastAsia="Arial" w:cs="Arial"/>
          <w:color w:val="000000"/>
          <w:szCs w:val="24"/>
        </w:rPr>
        <w:t>, 2016).</w:t>
      </w:r>
    </w:p>
    <w:p w14:paraId="2B60BD12" w14:textId="77777777" w:rsidR="008B7903" w:rsidRDefault="008B7903">
      <w:pPr>
        <w:rPr>
          <w:rFonts w:eastAsia="Arial" w:cs="Arial"/>
          <w:b/>
          <w:szCs w:val="24"/>
        </w:rPr>
      </w:pPr>
      <w:r>
        <w:rPr>
          <w:rFonts w:eastAsia="Arial" w:cs="Arial"/>
          <w:b/>
          <w:szCs w:val="24"/>
        </w:rPr>
        <w:br w:type="page"/>
      </w:r>
    </w:p>
    <w:p w14:paraId="02C5BC1D" w14:textId="5DCA0CFA" w:rsidR="007C6854" w:rsidRDefault="00E0219E">
      <w:pPr>
        <w:spacing w:after="160" w:line="360" w:lineRule="auto"/>
        <w:rPr>
          <w:rFonts w:eastAsia="Arial" w:cs="Arial"/>
          <w:b/>
          <w:szCs w:val="24"/>
        </w:rPr>
      </w:pPr>
      <w:r>
        <w:rPr>
          <w:rFonts w:eastAsia="Arial" w:cs="Arial"/>
          <w:b/>
          <w:szCs w:val="24"/>
        </w:rPr>
        <w:lastRenderedPageBreak/>
        <w:t>Table 1</w:t>
      </w:r>
    </w:p>
    <w:p w14:paraId="76CE5DC7" w14:textId="77777777" w:rsidR="007C6854" w:rsidRDefault="00E0219E">
      <w:pPr>
        <w:spacing w:after="160" w:line="360" w:lineRule="auto"/>
        <w:jc w:val="both"/>
        <w:rPr>
          <w:rFonts w:eastAsia="Arial" w:cs="Arial"/>
          <w:i/>
          <w:szCs w:val="24"/>
        </w:rPr>
      </w:pPr>
      <w:r>
        <w:rPr>
          <w:rFonts w:eastAsia="Arial" w:cs="Arial"/>
          <w:i/>
          <w:szCs w:val="24"/>
        </w:rPr>
        <w:t xml:space="preserve">Age-specific hypertension prevalence in high-income and low- and middle-income countries, 2010 </w:t>
      </w:r>
    </w:p>
    <w:tbl>
      <w:tblPr>
        <w:tblStyle w:val="afff1"/>
        <w:tblW w:w="83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62"/>
        <w:gridCol w:w="1661"/>
        <w:gridCol w:w="1661"/>
        <w:gridCol w:w="1661"/>
        <w:gridCol w:w="1661"/>
      </w:tblGrid>
      <w:tr w:rsidR="007C6854" w14:paraId="2AE521FF" w14:textId="77777777" w:rsidTr="008B7903">
        <w:tc>
          <w:tcPr>
            <w:tcW w:w="1662" w:type="dxa"/>
            <w:vMerge w:val="restart"/>
            <w:tcBorders>
              <w:top w:val="single" w:sz="4" w:space="0" w:color="auto"/>
              <w:left w:val="nil"/>
              <w:bottom w:val="nil"/>
              <w:right w:val="nil"/>
            </w:tcBorders>
            <w:shd w:val="clear" w:color="auto" w:fill="auto"/>
            <w:vAlign w:val="center"/>
          </w:tcPr>
          <w:p w14:paraId="65F092CE" w14:textId="77777777" w:rsidR="007C6854" w:rsidRDefault="00E0219E" w:rsidP="00FF6BF7">
            <w:pPr>
              <w:widowControl w:val="0"/>
              <w:pBdr>
                <w:top w:val="nil"/>
                <w:left w:val="nil"/>
                <w:bottom w:val="nil"/>
                <w:right w:val="nil"/>
                <w:between w:val="nil"/>
              </w:pBdr>
              <w:rPr>
                <w:rFonts w:eastAsia="Arial" w:cs="Arial"/>
                <w:color w:val="000000"/>
                <w:szCs w:val="24"/>
              </w:rPr>
            </w:pPr>
            <w:r>
              <w:rPr>
                <w:rFonts w:eastAsia="Arial" w:cs="Arial"/>
                <w:color w:val="000000"/>
                <w:szCs w:val="24"/>
              </w:rPr>
              <w:t>Age Group</w:t>
            </w:r>
          </w:p>
        </w:tc>
        <w:tc>
          <w:tcPr>
            <w:tcW w:w="3322" w:type="dxa"/>
            <w:gridSpan w:val="2"/>
            <w:tcBorders>
              <w:top w:val="single" w:sz="4" w:space="0" w:color="auto"/>
              <w:left w:val="nil"/>
              <w:bottom w:val="nil"/>
              <w:right w:val="nil"/>
            </w:tcBorders>
            <w:shd w:val="clear" w:color="auto" w:fill="auto"/>
            <w:vAlign w:val="center"/>
          </w:tcPr>
          <w:p w14:paraId="593CCED0"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High-income</w:t>
            </w:r>
          </w:p>
        </w:tc>
        <w:tc>
          <w:tcPr>
            <w:tcW w:w="3322" w:type="dxa"/>
            <w:gridSpan w:val="2"/>
            <w:tcBorders>
              <w:top w:val="single" w:sz="4" w:space="0" w:color="auto"/>
              <w:left w:val="nil"/>
              <w:bottom w:val="nil"/>
              <w:right w:val="nil"/>
            </w:tcBorders>
            <w:shd w:val="clear" w:color="auto" w:fill="auto"/>
            <w:vAlign w:val="center"/>
          </w:tcPr>
          <w:p w14:paraId="0CD6E392"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Low- and Middle-income</w:t>
            </w:r>
          </w:p>
        </w:tc>
      </w:tr>
      <w:tr w:rsidR="007C6854" w14:paraId="60E40EC5" w14:textId="77777777" w:rsidTr="008B7903">
        <w:tc>
          <w:tcPr>
            <w:tcW w:w="1662" w:type="dxa"/>
            <w:vMerge/>
            <w:tcBorders>
              <w:top w:val="nil"/>
              <w:left w:val="nil"/>
              <w:bottom w:val="single" w:sz="4" w:space="0" w:color="auto"/>
              <w:right w:val="nil"/>
            </w:tcBorders>
            <w:shd w:val="clear" w:color="auto" w:fill="auto"/>
            <w:vAlign w:val="center"/>
          </w:tcPr>
          <w:p w14:paraId="3355F1D4" w14:textId="77777777" w:rsidR="007C6854" w:rsidRDefault="007C6854" w:rsidP="00FF6BF7">
            <w:pPr>
              <w:widowControl w:val="0"/>
              <w:pBdr>
                <w:top w:val="nil"/>
                <w:left w:val="nil"/>
                <w:bottom w:val="nil"/>
                <w:right w:val="nil"/>
                <w:between w:val="nil"/>
              </w:pBdr>
              <w:rPr>
                <w:rFonts w:eastAsia="Arial" w:cs="Arial"/>
                <w:color w:val="000000"/>
                <w:szCs w:val="24"/>
              </w:rPr>
            </w:pPr>
          </w:p>
        </w:tc>
        <w:tc>
          <w:tcPr>
            <w:tcW w:w="1661" w:type="dxa"/>
            <w:tcBorders>
              <w:top w:val="nil"/>
              <w:left w:val="nil"/>
              <w:bottom w:val="single" w:sz="4" w:space="0" w:color="auto"/>
              <w:right w:val="nil"/>
            </w:tcBorders>
            <w:shd w:val="clear" w:color="auto" w:fill="auto"/>
            <w:vAlign w:val="center"/>
          </w:tcPr>
          <w:p w14:paraId="032B22B8"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Male</w:t>
            </w:r>
          </w:p>
        </w:tc>
        <w:tc>
          <w:tcPr>
            <w:tcW w:w="1661" w:type="dxa"/>
            <w:tcBorders>
              <w:top w:val="nil"/>
              <w:left w:val="nil"/>
              <w:bottom w:val="single" w:sz="4" w:space="0" w:color="auto"/>
              <w:right w:val="nil"/>
            </w:tcBorders>
            <w:shd w:val="clear" w:color="auto" w:fill="auto"/>
            <w:vAlign w:val="center"/>
          </w:tcPr>
          <w:p w14:paraId="28DF9203"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Female</w:t>
            </w:r>
          </w:p>
        </w:tc>
        <w:tc>
          <w:tcPr>
            <w:tcW w:w="1661" w:type="dxa"/>
            <w:tcBorders>
              <w:top w:val="nil"/>
              <w:left w:val="nil"/>
              <w:bottom w:val="single" w:sz="4" w:space="0" w:color="auto"/>
              <w:right w:val="nil"/>
            </w:tcBorders>
            <w:shd w:val="clear" w:color="auto" w:fill="auto"/>
            <w:vAlign w:val="center"/>
          </w:tcPr>
          <w:p w14:paraId="23F1342B"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Male</w:t>
            </w:r>
          </w:p>
        </w:tc>
        <w:tc>
          <w:tcPr>
            <w:tcW w:w="1661" w:type="dxa"/>
            <w:tcBorders>
              <w:top w:val="nil"/>
              <w:left w:val="nil"/>
              <w:bottom w:val="single" w:sz="4" w:space="0" w:color="auto"/>
              <w:right w:val="nil"/>
            </w:tcBorders>
            <w:shd w:val="clear" w:color="auto" w:fill="auto"/>
            <w:vAlign w:val="center"/>
          </w:tcPr>
          <w:p w14:paraId="776B0D24"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Female</w:t>
            </w:r>
          </w:p>
        </w:tc>
      </w:tr>
      <w:tr w:rsidR="007C6854" w14:paraId="10551D4F" w14:textId="77777777" w:rsidTr="008B7903">
        <w:tc>
          <w:tcPr>
            <w:tcW w:w="1662" w:type="dxa"/>
            <w:tcBorders>
              <w:top w:val="single" w:sz="4" w:space="0" w:color="auto"/>
              <w:left w:val="nil"/>
              <w:bottom w:val="nil"/>
              <w:right w:val="nil"/>
            </w:tcBorders>
            <w:shd w:val="clear" w:color="auto" w:fill="auto"/>
            <w:vAlign w:val="center"/>
          </w:tcPr>
          <w:p w14:paraId="28177C9A" w14:textId="77777777" w:rsidR="007C6854" w:rsidRDefault="00E0219E" w:rsidP="00FF6BF7">
            <w:pPr>
              <w:pBdr>
                <w:top w:val="nil"/>
                <w:left w:val="nil"/>
                <w:bottom w:val="nil"/>
                <w:right w:val="nil"/>
                <w:between w:val="nil"/>
              </w:pBdr>
              <w:spacing w:after="160"/>
              <w:rPr>
                <w:rFonts w:eastAsia="Arial" w:cs="Arial"/>
                <w:color w:val="000000"/>
                <w:szCs w:val="24"/>
              </w:rPr>
            </w:pPr>
            <w:r>
              <w:rPr>
                <w:rFonts w:eastAsia="Arial" w:cs="Arial"/>
                <w:color w:val="000000"/>
                <w:szCs w:val="24"/>
              </w:rPr>
              <w:t>20-29</w:t>
            </w:r>
          </w:p>
        </w:tc>
        <w:tc>
          <w:tcPr>
            <w:tcW w:w="1661" w:type="dxa"/>
            <w:tcBorders>
              <w:top w:val="single" w:sz="4" w:space="0" w:color="auto"/>
              <w:left w:val="nil"/>
              <w:bottom w:val="nil"/>
              <w:right w:val="nil"/>
            </w:tcBorders>
            <w:shd w:val="clear" w:color="auto" w:fill="auto"/>
            <w:vAlign w:val="center"/>
          </w:tcPr>
          <w:p w14:paraId="2813DC0A"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10.7</w:t>
            </w:r>
          </w:p>
        </w:tc>
        <w:tc>
          <w:tcPr>
            <w:tcW w:w="1661" w:type="dxa"/>
            <w:tcBorders>
              <w:top w:val="single" w:sz="4" w:space="0" w:color="auto"/>
              <w:left w:val="nil"/>
              <w:bottom w:val="nil"/>
              <w:right w:val="nil"/>
            </w:tcBorders>
            <w:shd w:val="clear" w:color="auto" w:fill="auto"/>
            <w:vAlign w:val="center"/>
          </w:tcPr>
          <w:p w14:paraId="1CED3909"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4.3</w:t>
            </w:r>
          </w:p>
        </w:tc>
        <w:tc>
          <w:tcPr>
            <w:tcW w:w="1661" w:type="dxa"/>
            <w:tcBorders>
              <w:top w:val="single" w:sz="4" w:space="0" w:color="auto"/>
              <w:left w:val="nil"/>
              <w:bottom w:val="nil"/>
              <w:right w:val="nil"/>
            </w:tcBorders>
            <w:shd w:val="clear" w:color="auto" w:fill="auto"/>
            <w:vAlign w:val="center"/>
          </w:tcPr>
          <w:p w14:paraId="53B1DA19"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15.2</w:t>
            </w:r>
          </w:p>
        </w:tc>
        <w:tc>
          <w:tcPr>
            <w:tcW w:w="1661" w:type="dxa"/>
            <w:tcBorders>
              <w:top w:val="single" w:sz="4" w:space="0" w:color="auto"/>
              <w:left w:val="nil"/>
              <w:bottom w:val="nil"/>
              <w:right w:val="nil"/>
            </w:tcBorders>
            <w:shd w:val="clear" w:color="auto" w:fill="auto"/>
            <w:vAlign w:val="center"/>
          </w:tcPr>
          <w:p w14:paraId="6908C407"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10.4</w:t>
            </w:r>
          </w:p>
        </w:tc>
      </w:tr>
      <w:tr w:rsidR="007C6854" w14:paraId="76AB4194" w14:textId="77777777" w:rsidTr="008B7903">
        <w:tc>
          <w:tcPr>
            <w:tcW w:w="1662" w:type="dxa"/>
            <w:tcBorders>
              <w:top w:val="nil"/>
              <w:left w:val="nil"/>
              <w:bottom w:val="nil"/>
              <w:right w:val="nil"/>
            </w:tcBorders>
            <w:shd w:val="clear" w:color="auto" w:fill="auto"/>
            <w:vAlign w:val="center"/>
          </w:tcPr>
          <w:p w14:paraId="2C520E3B" w14:textId="77777777" w:rsidR="007C6854" w:rsidRDefault="00E0219E" w:rsidP="00FF6BF7">
            <w:pPr>
              <w:pBdr>
                <w:top w:val="nil"/>
                <w:left w:val="nil"/>
                <w:bottom w:val="nil"/>
                <w:right w:val="nil"/>
                <w:between w:val="nil"/>
              </w:pBdr>
              <w:spacing w:after="160"/>
              <w:rPr>
                <w:rFonts w:eastAsia="Arial" w:cs="Arial"/>
                <w:color w:val="000000"/>
                <w:szCs w:val="24"/>
              </w:rPr>
            </w:pPr>
            <w:r>
              <w:rPr>
                <w:rFonts w:eastAsia="Arial" w:cs="Arial"/>
                <w:color w:val="000000"/>
                <w:szCs w:val="24"/>
              </w:rPr>
              <w:t>30-39</w:t>
            </w:r>
          </w:p>
        </w:tc>
        <w:tc>
          <w:tcPr>
            <w:tcW w:w="1661" w:type="dxa"/>
            <w:tcBorders>
              <w:top w:val="nil"/>
              <w:left w:val="nil"/>
              <w:bottom w:val="nil"/>
              <w:right w:val="nil"/>
            </w:tcBorders>
            <w:shd w:val="clear" w:color="auto" w:fill="auto"/>
            <w:vAlign w:val="center"/>
          </w:tcPr>
          <w:p w14:paraId="62F8BF8E"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18.5</w:t>
            </w:r>
          </w:p>
        </w:tc>
        <w:tc>
          <w:tcPr>
            <w:tcW w:w="1661" w:type="dxa"/>
            <w:tcBorders>
              <w:top w:val="nil"/>
              <w:left w:val="nil"/>
              <w:bottom w:val="nil"/>
              <w:right w:val="nil"/>
            </w:tcBorders>
            <w:shd w:val="clear" w:color="auto" w:fill="auto"/>
            <w:vAlign w:val="center"/>
          </w:tcPr>
          <w:p w14:paraId="7BD9876B"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9.1</w:t>
            </w:r>
          </w:p>
        </w:tc>
        <w:tc>
          <w:tcPr>
            <w:tcW w:w="1661" w:type="dxa"/>
            <w:tcBorders>
              <w:top w:val="nil"/>
              <w:left w:val="nil"/>
              <w:bottom w:val="nil"/>
              <w:right w:val="nil"/>
            </w:tcBorders>
            <w:shd w:val="clear" w:color="auto" w:fill="auto"/>
            <w:vAlign w:val="center"/>
          </w:tcPr>
          <w:p w14:paraId="632D1618"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22.1</w:t>
            </w:r>
          </w:p>
        </w:tc>
        <w:tc>
          <w:tcPr>
            <w:tcW w:w="1661" w:type="dxa"/>
            <w:tcBorders>
              <w:top w:val="nil"/>
              <w:left w:val="nil"/>
              <w:bottom w:val="nil"/>
              <w:right w:val="nil"/>
            </w:tcBorders>
            <w:shd w:val="clear" w:color="auto" w:fill="auto"/>
            <w:vAlign w:val="center"/>
          </w:tcPr>
          <w:p w14:paraId="53B58B3B"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17.4</w:t>
            </w:r>
          </w:p>
        </w:tc>
      </w:tr>
      <w:tr w:rsidR="007C6854" w14:paraId="4C7EBA00" w14:textId="77777777" w:rsidTr="008B7903">
        <w:tc>
          <w:tcPr>
            <w:tcW w:w="1662" w:type="dxa"/>
            <w:tcBorders>
              <w:top w:val="nil"/>
              <w:left w:val="nil"/>
              <w:bottom w:val="nil"/>
              <w:right w:val="nil"/>
            </w:tcBorders>
            <w:shd w:val="clear" w:color="auto" w:fill="auto"/>
            <w:vAlign w:val="center"/>
          </w:tcPr>
          <w:p w14:paraId="22FFC13B" w14:textId="77777777" w:rsidR="007C6854" w:rsidRDefault="00E0219E" w:rsidP="00FF6BF7">
            <w:pPr>
              <w:pBdr>
                <w:top w:val="nil"/>
                <w:left w:val="nil"/>
                <w:bottom w:val="nil"/>
                <w:right w:val="nil"/>
                <w:between w:val="nil"/>
              </w:pBdr>
              <w:spacing w:after="160"/>
              <w:rPr>
                <w:rFonts w:eastAsia="Arial" w:cs="Arial"/>
                <w:color w:val="000000"/>
                <w:szCs w:val="24"/>
              </w:rPr>
            </w:pPr>
            <w:r>
              <w:rPr>
                <w:rFonts w:eastAsia="Arial" w:cs="Arial"/>
                <w:color w:val="000000"/>
                <w:szCs w:val="24"/>
              </w:rPr>
              <w:t>40-49</w:t>
            </w:r>
          </w:p>
        </w:tc>
        <w:tc>
          <w:tcPr>
            <w:tcW w:w="1661" w:type="dxa"/>
            <w:tcBorders>
              <w:top w:val="nil"/>
              <w:left w:val="nil"/>
              <w:bottom w:val="nil"/>
              <w:right w:val="nil"/>
            </w:tcBorders>
            <w:shd w:val="clear" w:color="auto" w:fill="auto"/>
            <w:vAlign w:val="center"/>
          </w:tcPr>
          <w:p w14:paraId="48A4AEA7"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31.0</w:t>
            </w:r>
          </w:p>
        </w:tc>
        <w:tc>
          <w:tcPr>
            <w:tcW w:w="1661" w:type="dxa"/>
            <w:tcBorders>
              <w:top w:val="nil"/>
              <w:left w:val="nil"/>
              <w:bottom w:val="nil"/>
              <w:right w:val="nil"/>
            </w:tcBorders>
            <w:shd w:val="clear" w:color="auto" w:fill="auto"/>
            <w:vAlign w:val="center"/>
          </w:tcPr>
          <w:p w14:paraId="70CD1BAD"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22.0</w:t>
            </w:r>
          </w:p>
        </w:tc>
        <w:tc>
          <w:tcPr>
            <w:tcW w:w="1661" w:type="dxa"/>
            <w:tcBorders>
              <w:top w:val="nil"/>
              <w:left w:val="nil"/>
              <w:bottom w:val="nil"/>
              <w:right w:val="nil"/>
            </w:tcBorders>
            <w:shd w:val="clear" w:color="auto" w:fill="auto"/>
            <w:vAlign w:val="center"/>
          </w:tcPr>
          <w:p w14:paraId="07ABA1FB"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31.2</w:t>
            </w:r>
          </w:p>
        </w:tc>
        <w:tc>
          <w:tcPr>
            <w:tcW w:w="1661" w:type="dxa"/>
            <w:tcBorders>
              <w:top w:val="nil"/>
              <w:left w:val="nil"/>
              <w:bottom w:val="nil"/>
              <w:right w:val="nil"/>
            </w:tcBorders>
            <w:shd w:val="clear" w:color="auto" w:fill="auto"/>
            <w:vAlign w:val="center"/>
          </w:tcPr>
          <w:p w14:paraId="5E71BD79"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30.6</w:t>
            </w:r>
          </w:p>
        </w:tc>
      </w:tr>
      <w:tr w:rsidR="007C6854" w14:paraId="48034BF4" w14:textId="77777777" w:rsidTr="008B7903">
        <w:tc>
          <w:tcPr>
            <w:tcW w:w="1662" w:type="dxa"/>
            <w:tcBorders>
              <w:top w:val="nil"/>
              <w:left w:val="nil"/>
              <w:bottom w:val="nil"/>
              <w:right w:val="nil"/>
            </w:tcBorders>
            <w:shd w:val="clear" w:color="auto" w:fill="auto"/>
            <w:vAlign w:val="center"/>
          </w:tcPr>
          <w:p w14:paraId="34B2732F" w14:textId="77777777" w:rsidR="007C6854" w:rsidRDefault="00E0219E" w:rsidP="00FF6BF7">
            <w:pPr>
              <w:pBdr>
                <w:top w:val="nil"/>
                <w:left w:val="nil"/>
                <w:bottom w:val="nil"/>
                <w:right w:val="nil"/>
                <w:between w:val="nil"/>
              </w:pBdr>
              <w:spacing w:after="160"/>
              <w:rPr>
                <w:rFonts w:eastAsia="Arial" w:cs="Arial"/>
                <w:color w:val="000000"/>
                <w:szCs w:val="24"/>
              </w:rPr>
            </w:pPr>
            <w:r>
              <w:rPr>
                <w:rFonts w:eastAsia="Arial" w:cs="Arial"/>
                <w:color w:val="000000"/>
                <w:szCs w:val="24"/>
              </w:rPr>
              <w:t>50-59</w:t>
            </w:r>
          </w:p>
        </w:tc>
        <w:tc>
          <w:tcPr>
            <w:tcW w:w="1661" w:type="dxa"/>
            <w:tcBorders>
              <w:top w:val="nil"/>
              <w:left w:val="nil"/>
              <w:bottom w:val="nil"/>
              <w:right w:val="nil"/>
            </w:tcBorders>
            <w:shd w:val="clear" w:color="auto" w:fill="auto"/>
            <w:vAlign w:val="center"/>
          </w:tcPr>
          <w:p w14:paraId="3CF99C1B"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48.5</w:t>
            </w:r>
          </w:p>
        </w:tc>
        <w:tc>
          <w:tcPr>
            <w:tcW w:w="1661" w:type="dxa"/>
            <w:tcBorders>
              <w:top w:val="nil"/>
              <w:left w:val="nil"/>
              <w:bottom w:val="nil"/>
              <w:right w:val="nil"/>
            </w:tcBorders>
            <w:shd w:val="clear" w:color="auto" w:fill="auto"/>
            <w:vAlign w:val="center"/>
          </w:tcPr>
          <w:p w14:paraId="4EE67CF8"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41.0</w:t>
            </w:r>
          </w:p>
        </w:tc>
        <w:tc>
          <w:tcPr>
            <w:tcW w:w="1661" w:type="dxa"/>
            <w:tcBorders>
              <w:top w:val="nil"/>
              <w:left w:val="nil"/>
              <w:bottom w:val="nil"/>
              <w:right w:val="nil"/>
            </w:tcBorders>
            <w:shd w:val="clear" w:color="auto" w:fill="auto"/>
            <w:vAlign w:val="center"/>
          </w:tcPr>
          <w:p w14:paraId="7B5502AB"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43.0</w:t>
            </w:r>
          </w:p>
        </w:tc>
        <w:tc>
          <w:tcPr>
            <w:tcW w:w="1661" w:type="dxa"/>
            <w:tcBorders>
              <w:top w:val="nil"/>
              <w:left w:val="nil"/>
              <w:bottom w:val="nil"/>
              <w:right w:val="nil"/>
            </w:tcBorders>
            <w:shd w:val="clear" w:color="auto" w:fill="auto"/>
            <w:vAlign w:val="center"/>
          </w:tcPr>
          <w:p w14:paraId="07544C64"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47.2</w:t>
            </w:r>
          </w:p>
        </w:tc>
      </w:tr>
      <w:tr w:rsidR="007C6854" w14:paraId="61EF2F9E" w14:textId="77777777" w:rsidTr="008B7903">
        <w:tc>
          <w:tcPr>
            <w:tcW w:w="1662" w:type="dxa"/>
            <w:tcBorders>
              <w:top w:val="nil"/>
              <w:left w:val="nil"/>
              <w:bottom w:val="nil"/>
              <w:right w:val="nil"/>
            </w:tcBorders>
            <w:shd w:val="clear" w:color="auto" w:fill="auto"/>
            <w:vAlign w:val="center"/>
          </w:tcPr>
          <w:p w14:paraId="4185AF40" w14:textId="77777777" w:rsidR="007C6854" w:rsidRDefault="00E0219E" w:rsidP="00FF6BF7">
            <w:pPr>
              <w:pBdr>
                <w:top w:val="nil"/>
                <w:left w:val="nil"/>
                <w:bottom w:val="nil"/>
                <w:right w:val="nil"/>
                <w:between w:val="nil"/>
              </w:pBdr>
              <w:spacing w:after="160"/>
              <w:rPr>
                <w:rFonts w:eastAsia="Arial" w:cs="Arial"/>
                <w:color w:val="000000"/>
                <w:szCs w:val="24"/>
              </w:rPr>
            </w:pPr>
            <w:r>
              <w:rPr>
                <w:rFonts w:eastAsia="Arial" w:cs="Arial"/>
                <w:color w:val="000000"/>
                <w:szCs w:val="24"/>
              </w:rPr>
              <w:t>60-69</w:t>
            </w:r>
          </w:p>
        </w:tc>
        <w:tc>
          <w:tcPr>
            <w:tcW w:w="1661" w:type="dxa"/>
            <w:tcBorders>
              <w:top w:val="nil"/>
              <w:left w:val="nil"/>
              <w:bottom w:val="nil"/>
              <w:right w:val="nil"/>
            </w:tcBorders>
            <w:shd w:val="clear" w:color="auto" w:fill="auto"/>
            <w:vAlign w:val="center"/>
          </w:tcPr>
          <w:p w14:paraId="40A0FB66"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60.8</w:t>
            </w:r>
          </w:p>
        </w:tc>
        <w:tc>
          <w:tcPr>
            <w:tcW w:w="1661" w:type="dxa"/>
            <w:tcBorders>
              <w:top w:val="nil"/>
              <w:left w:val="nil"/>
              <w:bottom w:val="nil"/>
              <w:right w:val="nil"/>
            </w:tcBorders>
            <w:shd w:val="clear" w:color="auto" w:fill="auto"/>
            <w:vAlign w:val="center"/>
          </w:tcPr>
          <w:p w14:paraId="7AD94707"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60.9</w:t>
            </w:r>
          </w:p>
        </w:tc>
        <w:tc>
          <w:tcPr>
            <w:tcW w:w="1661" w:type="dxa"/>
            <w:tcBorders>
              <w:top w:val="nil"/>
              <w:left w:val="nil"/>
              <w:bottom w:val="nil"/>
              <w:right w:val="nil"/>
            </w:tcBorders>
            <w:shd w:val="clear" w:color="auto" w:fill="auto"/>
            <w:vAlign w:val="center"/>
          </w:tcPr>
          <w:p w14:paraId="7C86C29D"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55.3</w:t>
            </w:r>
          </w:p>
        </w:tc>
        <w:tc>
          <w:tcPr>
            <w:tcW w:w="1661" w:type="dxa"/>
            <w:tcBorders>
              <w:top w:val="nil"/>
              <w:left w:val="nil"/>
              <w:bottom w:val="nil"/>
              <w:right w:val="nil"/>
            </w:tcBorders>
            <w:shd w:val="clear" w:color="auto" w:fill="auto"/>
            <w:vAlign w:val="center"/>
          </w:tcPr>
          <w:p w14:paraId="58E4F09A"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61.9</w:t>
            </w:r>
          </w:p>
        </w:tc>
      </w:tr>
      <w:tr w:rsidR="007C6854" w14:paraId="73A4B96A" w14:textId="77777777" w:rsidTr="008B7903">
        <w:tc>
          <w:tcPr>
            <w:tcW w:w="1662" w:type="dxa"/>
            <w:tcBorders>
              <w:top w:val="nil"/>
              <w:left w:val="nil"/>
              <w:bottom w:val="single" w:sz="4" w:space="0" w:color="auto"/>
              <w:right w:val="nil"/>
            </w:tcBorders>
            <w:shd w:val="clear" w:color="auto" w:fill="auto"/>
            <w:vAlign w:val="center"/>
          </w:tcPr>
          <w:p w14:paraId="30029AEA" w14:textId="77777777" w:rsidR="007C6854" w:rsidRDefault="00000000" w:rsidP="00FF6BF7">
            <w:pPr>
              <w:pBdr>
                <w:top w:val="nil"/>
                <w:left w:val="nil"/>
                <w:bottom w:val="nil"/>
                <w:right w:val="nil"/>
                <w:between w:val="nil"/>
              </w:pBdr>
              <w:spacing w:after="160"/>
              <w:rPr>
                <w:rFonts w:eastAsia="Arial" w:cs="Arial"/>
                <w:color w:val="000000"/>
                <w:szCs w:val="24"/>
              </w:rPr>
            </w:pPr>
            <w:sdt>
              <w:sdtPr>
                <w:tag w:val="goog_rdk_8"/>
                <w:id w:val="-225607944"/>
              </w:sdtPr>
              <w:sdtContent>
                <w:r w:rsidR="00E0219E">
                  <w:rPr>
                    <w:rFonts w:ascii="Arial Unicode MS" w:eastAsia="Arial Unicode MS" w:hAnsi="Arial Unicode MS" w:cs="Arial Unicode MS"/>
                    <w:color w:val="000000"/>
                    <w:szCs w:val="24"/>
                  </w:rPr>
                  <w:t>≥ 70</w:t>
                </w:r>
              </w:sdtContent>
            </w:sdt>
          </w:p>
        </w:tc>
        <w:tc>
          <w:tcPr>
            <w:tcW w:w="1661" w:type="dxa"/>
            <w:tcBorders>
              <w:top w:val="nil"/>
              <w:left w:val="nil"/>
              <w:bottom w:val="single" w:sz="4" w:space="0" w:color="auto"/>
              <w:right w:val="nil"/>
            </w:tcBorders>
            <w:shd w:val="clear" w:color="auto" w:fill="auto"/>
            <w:vAlign w:val="center"/>
          </w:tcPr>
          <w:p w14:paraId="6EFDC6AA"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73.6</w:t>
            </w:r>
          </w:p>
        </w:tc>
        <w:tc>
          <w:tcPr>
            <w:tcW w:w="1661" w:type="dxa"/>
            <w:tcBorders>
              <w:top w:val="nil"/>
              <w:left w:val="nil"/>
              <w:bottom w:val="single" w:sz="4" w:space="0" w:color="auto"/>
              <w:right w:val="nil"/>
            </w:tcBorders>
            <w:shd w:val="clear" w:color="auto" w:fill="auto"/>
            <w:vAlign w:val="center"/>
          </w:tcPr>
          <w:p w14:paraId="18BB68C9"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77.5</w:t>
            </w:r>
          </w:p>
        </w:tc>
        <w:tc>
          <w:tcPr>
            <w:tcW w:w="1661" w:type="dxa"/>
            <w:tcBorders>
              <w:top w:val="nil"/>
              <w:left w:val="nil"/>
              <w:bottom w:val="single" w:sz="4" w:space="0" w:color="auto"/>
              <w:right w:val="nil"/>
            </w:tcBorders>
            <w:shd w:val="clear" w:color="auto" w:fill="auto"/>
            <w:vAlign w:val="center"/>
          </w:tcPr>
          <w:p w14:paraId="68AFB8C4"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65.6</w:t>
            </w:r>
          </w:p>
        </w:tc>
        <w:tc>
          <w:tcPr>
            <w:tcW w:w="1661" w:type="dxa"/>
            <w:tcBorders>
              <w:top w:val="nil"/>
              <w:left w:val="nil"/>
              <w:bottom w:val="single" w:sz="4" w:space="0" w:color="auto"/>
              <w:right w:val="nil"/>
            </w:tcBorders>
            <w:shd w:val="clear" w:color="auto" w:fill="auto"/>
            <w:vAlign w:val="center"/>
          </w:tcPr>
          <w:p w14:paraId="38501790"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74.7</w:t>
            </w:r>
          </w:p>
        </w:tc>
      </w:tr>
      <w:tr w:rsidR="007C6854" w14:paraId="7897BC9D" w14:textId="77777777" w:rsidTr="008B7903">
        <w:tc>
          <w:tcPr>
            <w:tcW w:w="1662" w:type="dxa"/>
            <w:tcBorders>
              <w:top w:val="single" w:sz="4" w:space="0" w:color="auto"/>
              <w:left w:val="nil"/>
              <w:bottom w:val="single" w:sz="4" w:space="0" w:color="auto"/>
              <w:right w:val="nil"/>
            </w:tcBorders>
            <w:shd w:val="clear" w:color="auto" w:fill="auto"/>
            <w:vAlign w:val="center"/>
          </w:tcPr>
          <w:p w14:paraId="116A0A00" w14:textId="77777777" w:rsidR="007C6854" w:rsidRDefault="00E0219E" w:rsidP="00FF6BF7">
            <w:pPr>
              <w:pBdr>
                <w:top w:val="nil"/>
                <w:left w:val="nil"/>
                <w:bottom w:val="nil"/>
                <w:right w:val="nil"/>
                <w:between w:val="nil"/>
              </w:pBdr>
              <w:spacing w:after="160"/>
              <w:rPr>
                <w:rFonts w:eastAsia="Arial" w:cs="Arial"/>
                <w:color w:val="000000"/>
                <w:szCs w:val="24"/>
              </w:rPr>
            </w:pPr>
            <w:r>
              <w:rPr>
                <w:rFonts w:eastAsia="Arial" w:cs="Arial"/>
                <w:color w:val="000000"/>
                <w:szCs w:val="24"/>
              </w:rPr>
              <w:t>Over-all</w:t>
            </w:r>
          </w:p>
        </w:tc>
        <w:tc>
          <w:tcPr>
            <w:tcW w:w="1661" w:type="dxa"/>
            <w:tcBorders>
              <w:top w:val="single" w:sz="4" w:space="0" w:color="auto"/>
              <w:left w:val="nil"/>
              <w:bottom w:val="single" w:sz="4" w:space="0" w:color="auto"/>
              <w:right w:val="nil"/>
            </w:tcBorders>
            <w:shd w:val="clear" w:color="auto" w:fill="auto"/>
            <w:vAlign w:val="center"/>
          </w:tcPr>
          <w:p w14:paraId="2C0E6A75"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31.6</w:t>
            </w:r>
          </w:p>
        </w:tc>
        <w:tc>
          <w:tcPr>
            <w:tcW w:w="1661" w:type="dxa"/>
            <w:tcBorders>
              <w:top w:val="single" w:sz="4" w:space="0" w:color="auto"/>
              <w:left w:val="nil"/>
              <w:bottom w:val="single" w:sz="4" w:space="0" w:color="auto"/>
              <w:right w:val="nil"/>
            </w:tcBorders>
            <w:shd w:val="clear" w:color="auto" w:fill="auto"/>
            <w:vAlign w:val="center"/>
          </w:tcPr>
          <w:p w14:paraId="4016D6C8"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25.3</w:t>
            </w:r>
          </w:p>
        </w:tc>
        <w:tc>
          <w:tcPr>
            <w:tcW w:w="1661" w:type="dxa"/>
            <w:tcBorders>
              <w:top w:val="single" w:sz="4" w:space="0" w:color="auto"/>
              <w:left w:val="nil"/>
              <w:bottom w:val="single" w:sz="4" w:space="0" w:color="auto"/>
              <w:right w:val="nil"/>
            </w:tcBorders>
            <w:shd w:val="clear" w:color="auto" w:fill="auto"/>
            <w:vAlign w:val="center"/>
          </w:tcPr>
          <w:p w14:paraId="473A8D0C"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31.7</w:t>
            </w:r>
          </w:p>
        </w:tc>
        <w:tc>
          <w:tcPr>
            <w:tcW w:w="1661" w:type="dxa"/>
            <w:tcBorders>
              <w:top w:val="single" w:sz="4" w:space="0" w:color="auto"/>
              <w:left w:val="nil"/>
              <w:bottom w:val="single" w:sz="4" w:space="0" w:color="auto"/>
              <w:right w:val="nil"/>
            </w:tcBorders>
            <w:shd w:val="clear" w:color="auto" w:fill="auto"/>
            <w:vAlign w:val="center"/>
          </w:tcPr>
          <w:p w14:paraId="2C41EFC2" w14:textId="77777777" w:rsidR="007C6854" w:rsidRDefault="00E0219E" w:rsidP="00FF6BF7">
            <w:pPr>
              <w:pBdr>
                <w:top w:val="nil"/>
                <w:left w:val="nil"/>
                <w:bottom w:val="nil"/>
                <w:right w:val="nil"/>
                <w:between w:val="nil"/>
              </w:pBdr>
              <w:spacing w:after="160"/>
              <w:jc w:val="center"/>
              <w:rPr>
                <w:rFonts w:eastAsia="Arial" w:cs="Arial"/>
                <w:color w:val="000000"/>
                <w:szCs w:val="24"/>
              </w:rPr>
            </w:pPr>
            <w:r>
              <w:rPr>
                <w:rFonts w:eastAsia="Arial" w:cs="Arial"/>
                <w:color w:val="000000"/>
                <w:szCs w:val="24"/>
              </w:rPr>
              <w:t>31.2</w:t>
            </w:r>
          </w:p>
        </w:tc>
      </w:tr>
    </w:tbl>
    <w:p w14:paraId="3AC28132" w14:textId="063C8DF0" w:rsidR="007C6854" w:rsidRPr="00FF6BF7" w:rsidRDefault="00FF6BF7" w:rsidP="00C774CE">
      <w:pPr>
        <w:spacing w:after="0" w:line="480" w:lineRule="auto"/>
        <w:rPr>
          <w:rFonts w:eastAsia="Arial" w:cs="Arial"/>
          <w:szCs w:val="24"/>
        </w:rPr>
      </w:pPr>
      <w:r>
        <w:rPr>
          <w:rFonts w:eastAsia="Arial" w:cs="Arial"/>
          <w:szCs w:val="24"/>
        </w:rPr>
        <w:br/>
      </w:r>
      <w:r w:rsidR="008B7903" w:rsidRPr="008B7903">
        <w:rPr>
          <w:rFonts w:eastAsia="Arial" w:cs="Arial"/>
          <w:i/>
          <w:iCs/>
          <w:color w:val="000000"/>
          <w:szCs w:val="24"/>
        </w:rPr>
        <w:t>Source: Mills, K.T., et al., 2016</w:t>
      </w:r>
      <w:r w:rsidR="008B7903">
        <w:rPr>
          <w:rFonts w:eastAsia="Arial" w:cs="Arial"/>
          <w:color w:val="000000"/>
          <w:szCs w:val="24"/>
        </w:rPr>
        <w:br/>
      </w:r>
      <w:r w:rsidR="008B7903">
        <w:br/>
      </w:r>
      <w:r w:rsidR="008B7903">
        <w:tab/>
      </w:r>
      <w:r w:rsidR="00E0219E" w:rsidRPr="008B7903">
        <w:t>In the Philippines, the mortality rate due to hypertensive diseases (including primary or essential hypertension and secondary hypertension) was 32.3/100,000 in 2016, compared to the cerebrovascular disease rate of 54.9/100,000 in the population (PHS, 2016, p. 105). The World Health Organization (2014) reported that the country's prevalence of raised blood pressure was 22.6%. According to the Food Nutrition Research Institute (FNRI), national prevalence increased from 22.3% in 2013 to 23.9% in 2015 (National Nutrition Council [NNC], May 22</w:t>
      </w:r>
      <w:r w:rsidR="00E0219E">
        <w:rPr>
          <w:rFonts w:eastAsia="Arial" w:cs="Arial"/>
          <w:szCs w:val="24"/>
        </w:rPr>
        <w:t xml:space="preserve">, </w:t>
      </w:r>
      <w:r w:rsidR="00E0219E">
        <w:rPr>
          <w:rFonts w:eastAsia="Arial" w:cs="Arial"/>
          <w:color w:val="000000"/>
          <w:szCs w:val="24"/>
        </w:rPr>
        <w:t>2018). While the Expanded National Nutrition</w:t>
      </w:r>
      <w:r w:rsidR="00E0219E">
        <w:rPr>
          <w:rFonts w:eastAsia="Arial" w:cs="Arial"/>
          <w:szCs w:val="24"/>
        </w:rPr>
        <w:t xml:space="preserve"> </w:t>
      </w:r>
      <w:r w:rsidR="00E0219E">
        <w:rPr>
          <w:rFonts w:eastAsia="Arial" w:cs="Arial"/>
          <w:color w:val="000000"/>
          <w:szCs w:val="24"/>
        </w:rPr>
        <w:t xml:space="preserve">Survey showed a decrease in raised blood pressure among adults 20 years old and </w:t>
      </w:r>
      <w:r w:rsidR="00E0219E">
        <w:rPr>
          <w:rFonts w:eastAsia="Arial" w:cs="Arial"/>
          <w:szCs w:val="24"/>
        </w:rPr>
        <w:t>older</w:t>
      </w:r>
      <w:r w:rsidR="00E0219E">
        <w:rPr>
          <w:rFonts w:eastAsia="Arial" w:cs="Arial"/>
          <w:color w:val="000000"/>
          <w:szCs w:val="24"/>
        </w:rPr>
        <w:t xml:space="preserve"> to about 19.2% from 23.9% in 2015 (FNRI, </w:t>
      </w:r>
      <w:r w:rsidR="00E0219E">
        <w:rPr>
          <w:rFonts w:eastAsia="Arial" w:cs="Arial"/>
          <w:color w:val="000000"/>
          <w:szCs w:val="24"/>
        </w:rPr>
        <w:lastRenderedPageBreak/>
        <w:t>2018)</w:t>
      </w:r>
      <w:r w:rsidR="00E0219E">
        <w:rPr>
          <w:rFonts w:eastAsia="Arial" w:cs="Arial"/>
          <w:szCs w:val="24"/>
        </w:rPr>
        <w:t>,</w:t>
      </w:r>
      <w:r w:rsidR="00E0219E">
        <w:rPr>
          <w:rFonts w:eastAsia="Arial" w:cs="Arial"/>
          <w:color w:val="000000"/>
          <w:szCs w:val="24"/>
        </w:rPr>
        <w:t xml:space="preserve"> raised blood</w:t>
      </w:r>
      <w:r w:rsidR="00E0219E">
        <w:rPr>
          <w:rFonts w:eastAsia="Arial" w:cs="Arial"/>
          <w:szCs w:val="24"/>
        </w:rPr>
        <w:t xml:space="preserve"> pressure was still high among 50–59-year-olds (30%) in 2018, compared to 36.3% in 2015</w:t>
      </w:r>
      <w:r w:rsidR="00E0219E">
        <w:rPr>
          <w:rFonts w:eastAsia="Arial" w:cs="Arial"/>
          <w:color w:val="000000"/>
          <w:szCs w:val="24"/>
        </w:rPr>
        <w:t xml:space="preserve"> (FNRI, 2018). In the same study (FNRI, 2018), elevated blood pressure among the elderly was 35% in 2018 compared to 41.2% in 2015. The </w:t>
      </w:r>
      <w:r w:rsidR="00E0219E">
        <w:rPr>
          <w:rFonts w:eastAsia="Arial" w:cs="Arial"/>
          <w:szCs w:val="24"/>
        </w:rPr>
        <w:t>study was</w:t>
      </w:r>
      <w:r w:rsidR="00E0219E">
        <w:rPr>
          <w:rFonts w:eastAsia="Arial" w:cs="Arial"/>
          <w:color w:val="000000"/>
          <w:szCs w:val="24"/>
        </w:rPr>
        <w:t xml:space="preserve"> conducted by Reyes-Gibby, C.C. &amp; Aday, L.A. (2000) </w:t>
      </w:r>
      <w:r w:rsidR="00E0219E">
        <w:rPr>
          <w:rFonts w:eastAsia="Arial" w:cs="Arial"/>
          <w:szCs w:val="24"/>
        </w:rPr>
        <w:t>revealed that</w:t>
      </w:r>
      <w:r w:rsidR="00E0219E">
        <w:rPr>
          <w:rFonts w:eastAsia="Arial" w:cs="Arial"/>
          <w:color w:val="000000"/>
          <w:szCs w:val="24"/>
        </w:rPr>
        <w:t xml:space="preserve"> hypertension prevalence among </w:t>
      </w:r>
      <w:r w:rsidR="00E0219E">
        <w:rPr>
          <w:rFonts w:eastAsia="Arial" w:cs="Arial"/>
          <w:szCs w:val="24"/>
        </w:rPr>
        <w:t>30-year-olds</w:t>
      </w:r>
      <w:r w:rsidR="00E0219E">
        <w:rPr>
          <w:rFonts w:eastAsia="Arial" w:cs="Arial"/>
          <w:color w:val="000000"/>
          <w:szCs w:val="24"/>
        </w:rPr>
        <w:t xml:space="preserve"> and older rural residents in Nueva Ecija </w:t>
      </w:r>
      <w:r w:rsidR="00E0219E">
        <w:rPr>
          <w:rFonts w:eastAsia="Arial" w:cs="Arial"/>
          <w:szCs w:val="24"/>
        </w:rPr>
        <w:t>was</w:t>
      </w:r>
      <w:r w:rsidR="00E0219E">
        <w:rPr>
          <w:rFonts w:eastAsia="Arial" w:cs="Arial"/>
          <w:color w:val="000000"/>
          <w:szCs w:val="24"/>
        </w:rPr>
        <w:t xml:space="preserve"> 23%. The study by Sison, </w:t>
      </w:r>
      <w:r w:rsidR="00E0219E">
        <w:rPr>
          <w:rFonts w:eastAsia="Arial" w:cs="Arial"/>
          <w:szCs w:val="24"/>
        </w:rPr>
        <w:t>O. et al.</w:t>
      </w:r>
      <w:r w:rsidR="00E0219E">
        <w:rPr>
          <w:rFonts w:eastAsia="Arial" w:cs="Arial"/>
          <w:color w:val="000000"/>
          <w:szCs w:val="24"/>
        </w:rPr>
        <w:t xml:space="preserve"> (2019) resulted in a </w:t>
      </w:r>
      <w:r w:rsidR="00E0219E">
        <w:rPr>
          <w:rFonts w:eastAsia="Arial" w:cs="Arial"/>
          <w:szCs w:val="24"/>
        </w:rPr>
        <w:t>32.4% overall</w:t>
      </w:r>
      <w:r w:rsidR="00E0219E">
        <w:rPr>
          <w:rFonts w:eastAsia="Arial" w:cs="Arial"/>
          <w:color w:val="000000"/>
          <w:szCs w:val="24"/>
        </w:rPr>
        <w:t xml:space="preserve"> prevalence of hypertension among community health workers in selected villages in the Philippines. </w:t>
      </w:r>
      <w:r w:rsidR="008B7903">
        <w:rPr>
          <w:rFonts w:eastAsia="Arial" w:cs="Arial"/>
          <w:color w:val="000000"/>
          <w:szCs w:val="24"/>
        </w:rPr>
        <w:br/>
      </w:r>
      <w:r w:rsidR="008B7903">
        <w:rPr>
          <w:rFonts w:eastAsia="Arial" w:cs="Arial"/>
          <w:color w:val="000000"/>
          <w:szCs w:val="24"/>
        </w:rPr>
        <w:tab/>
      </w:r>
      <w:r w:rsidR="00E0219E">
        <w:rPr>
          <w:rFonts w:eastAsia="Arial" w:cs="Arial"/>
          <w:color w:val="000000"/>
          <w:szCs w:val="24"/>
        </w:rPr>
        <w:t xml:space="preserve">Compared to the national death rate due to heart disease, </w:t>
      </w:r>
      <w:r w:rsidR="00E0219E">
        <w:rPr>
          <w:rFonts w:eastAsia="Arial" w:cs="Arial"/>
          <w:szCs w:val="24"/>
        </w:rPr>
        <w:t>the National</w:t>
      </w:r>
      <w:r w:rsidR="00E0219E">
        <w:rPr>
          <w:rFonts w:eastAsia="Arial" w:cs="Arial"/>
          <w:color w:val="000000"/>
          <w:szCs w:val="24"/>
        </w:rPr>
        <w:t xml:space="preserve"> Capital Region (NCR) rate was </w:t>
      </w:r>
      <w:r w:rsidR="00E0219E">
        <w:rPr>
          <w:rFonts w:eastAsia="Arial" w:cs="Arial"/>
          <w:szCs w:val="24"/>
        </w:rPr>
        <w:t>155.3 per 100,000</w:t>
      </w:r>
      <w:r w:rsidR="00E0219E">
        <w:rPr>
          <w:rFonts w:eastAsia="Arial" w:cs="Arial"/>
          <w:color w:val="000000"/>
          <w:szCs w:val="24"/>
        </w:rPr>
        <w:t xml:space="preserve"> population. NCR </w:t>
      </w:r>
      <w:r w:rsidR="00E0219E">
        <w:rPr>
          <w:rFonts w:eastAsia="Arial" w:cs="Arial"/>
          <w:szCs w:val="24"/>
        </w:rPr>
        <w:t>was among</w:t>
      </w:r>
      <w:r w:rsidR="00E0219E">
        <w:rPr>
          <w:rFonts w:eastAsia="Arial" w:cs="Arial"/>
          <w:color w:val="000000"/>
          <w:szCs w:val="24"/>
        </w:rPr>
        <w:t xml:space="preserve"> the top three regions in the country with a high death rate due to diseases of the heart (PHS, 2016, pp. </w:t>
      </w:r>
      <w:r w:rsidR="00E0219E">
        <w:rPr>
          <w:rFonts w:eastAsia="Arial" w:cs="Arial"/>
          <w:szCs w:val="24"/>
        </w:rPr>
        <w:t>161–166</w:t>
      </w:r>
      <w:r w:rsidR="00E0219E">
        <w:rPr>
          <w:rFonts w:eastAsia="Arial" w:cs="Arial"/>
          <w:color w:val="000000"/>
          <w:szCs w:val="24"/>
        </w:rPr>
        <w:t xml:space="preserve">). Meanwhile, the Municipality of Pateros was </w:t>
      </w:r>
      <w:r w:rsidR="00E0219E">
        <w:rPr>
          <w:rFonts w:eastAsia="Arial" w:cs="Arial"/>
          <w:szCs w:val="24"/>
        </w:rPr>
        <w:t>in</w:t>
      </w:r>
      <w:r w:rsidR="00E0219E">
        <w:rPr>
          <w:rFonts w:eastAsia="Arial" w:cs="Arial"/>
          <w:color w:val="000000"/>
          <w:szCs w:val="24"/>
        </w:rPr>
        <w:t xml:space="preserve"> the top six among the cities and </w:t>
      </w:r>
      <w:r w:rsidR="00E0219E">
        <w:rPr>
          <w:rFonts w:eastAsia="Arial" w:cs="Arial"/>
          <w:szCs w:val="24"/>
        </w:rPr>
        <w:t>was the only</w:t>
      </w:r>
      <w:r w:rsidR="00E0219E">
        <w:rPr>
          <w:rFonts w:eastAsia="Arial" w:cs="Arial"/>
          <w:color w:val="000000"/>
          <w:szCs w:val="24"/>
        </w:rPr>
        <w:t xml:space="preserve"> municipality in the NCR, with a rate of </w:t>
      </w:r>
      <w:r w:rsidR="00E0219E">
        <w:rPr>
          <w:rFonts w:eastAsia="Arial" w:cs="Arial"/>
          <w:szCs w:val="24"/>
        </w:rPr>
        <w:t>187.9 per 100,000</w:t>
      </w:r>
      <w:r w:rsidR="00E0219E">
        <w:rPr>
          <w:rFonts w:eastAsia="Arial" w:cs="Arial"/>
          <w:color w:val="000000"/>
          <w:szCs w:val="24"/>
        </w:rPr>
        <w:t xml:space="preserve"> population. Table 2 shows that the Municipality of Pateros reported increased hypertension cases seen at the primary health facilities from 2015 to 2018 (PHD, 2018).</w:t>
      </w:r>
    </w:p>
    <w:p w14:paraId="1829A718" w14:textId="77777777" w:rsidR="00FF6BF7" w:rsidRDefault="00FF6BF7">
      <w:pPr>
        <w:rPr>
          <w:rFonts w:eastAsia="Arial" w:cs="Arial"/>
          <w:b/>
          <w:szCs w:val="24"/>
        </w:rPr>
      </w:pPr>
      <w:r>
        <w:rPr>
          <w:rFonts w:eastAsia="Arial" w:cs="Arial"/>
          <w:b/>
          <w:szCs w:val="24"/>
        </w:rPr>
        <w:br w:type="page"/>
      </w:r>
    </w:p>
    <w:p w14:paraId="52E330A8" w14:textId="5B0634EF" w:rsidR="007C6854" w:rsidRDefault="00E0219E">
      <w:pPr>
        <w:spacing w:before="200" w:after="0" w:line="360" w:lineRule="auto"/>
        <w:rPr>
          <w:rFonts w:eastAsia="Arial" w:cs="Arial"/>
          <w:b/>
          <w:szCs w:val="24"/>
        </w:rPr>
      </w:pPr>
      <w:r>
        <w:rPr>
          <w:rFonts w:eastAsia="Arial" w:cs="Arial"/>
          <w:b/>
          <w:szCs w:val="24"/>
        </w:rPr>
        <w:lastRenderedPageBreak/>
        <w:t>Table 2</w:t>
      </w:r>
    </w:p>
    <w:p w14:paraId="70CE8089" w14:textId="77777777" w:rsidR="007C6854" w:rsidRDefault="00E0219E">
      <w:pPr>
        <w:spacing w:before="200" w:after="0" w:line="480" w:lineRule="auto"/>
        <w:jc w:val="both"/>
        <w:rPr>
          <w:rFonts w:eastAsia="Arial" w:cs="Arial"/>
          <w:i/>
          <w:szCs w:val="24"/>
        </w:rPr>
      </w:pPr>
      <w:r>
        <w:rPr>
          <w:rFonts w:eastAsia="Arial" w:cs="Arial"/>
          <w:i/>
          <w:szCs w:val="24"/>
        </w:rPr>
        <w:t>Hypertension Cases Seen at the Primary Health Facilities, Pateros, 2015-2018</w:t>
      </w:r>
    </w:p>
    <w:tbl>
      <w:tblPr>
        <w:tblStyle w:val="afff2"/>
        <w:tblW w:w="9052" w:type="dxa"/>
        <w:jc w:val="center"/>
        <w:tblLayout w:type="fixed"/>
        <w:tblLook w:val="0600" w:firstRow="0" w:lastRow="0" w:firstColumn="0" w:lastColumn="0" w:noHBand="1" w:noVBand="1"/>
      </w:tblPr>
      <w:tblGrid>
        <w:gridCol w:w="2752"/>
        <w:gridCol w:w="1575"/>
        <w:gridCol w:w="1575"/>
        <w:gridCol w:w="1575"/>
        <w:gridCol w:w="1575"/>
      </w:tblGrid>
      <w:tr w:rsidR="007C6854" w14:paraId="4F1232F8" w14:textId="77777777" w:rsidTr="00FF6BF7">
        <w:trPr>
          <w:jc w:val="center"/>
        </w:trPr>
        <w:tc>
          <w:tcPr>
            <w:tcW w:w="2752" w:type="dxa"/>
            <w:tcBorders>
              <w:top w:val="single" w:sz="4" w:space="0" w:color="auto"/>
              <w:bottom w:val="single" w:sz="4" w:space="0" w:color="auto"/>
            </w:tcBorders>
            <w:shd w:val="clear" w:color="auto" w:fill="auto"/>
            <w:tcMar>
              <w:top w:w="100" w:type="dxa"/>
              <w:left w:w="100" w:type="dxa"/>
              <w:bottom w:w="100" w:type="dxa"/>
              <w:right w:w="100" w:type="dxa"/>
            </w:tcMar>
            <w:vAlign w:val="center"/>
          </w:tcPr>
          <w:p w14:paraId="3D25EA00" w14:textId="77777777" w:rsidR="007C6854" w:rsidRDefault="00E0219E" w:rsidP="00FF6BF7">
            <w:pPr>
              <w:widowControl w:val="0"/>
              <w:pBdr>
                <w:top w:val="nil"/>
                <w:left w:val="nil"/>
                <w:bottom w:val="nil"/>
                <w:right w:val="nil"/>
                <w:between w:val="nil"/>
              </w:pBdr>
              <w:rPr>
                <w:rFonts w:eastAsia="Arial" w:cs="Arial"/>
                <w:szCs w:val="24"/>
              </w:rPr>
            </w:pPr>
            <w:r>
              <w:rPr>
                <w:rFonts w:eastAsia="Arial" w:cs="Arial"/>
                <w:szCs w:val="24"/>
              </w:rPr>
              <w:t>Health Center (HC)</w:t>
            </w:r>
          </w:p>
        </w:tc>
        <w:tc>
          <w:tcPr>
            <w:tcW w:w="1575" w:type="dxa"/>
            <w:tcBorders>
              <w:top w:val="single" w:sz="4" w:space="0" w:color="auto"/>
              <w:bottom w:val="single" w:sz="4" w:space="0" w:color="auto"/>
            </w:tcBorders>
            <w:shd w:val="clear" w:color="auto" w:fill="auto"/>
            <w:tcMar>
              <w:top w:w="100" w:type="dxa"/>
              <w:left w:w="100" w:type="dxa"/>
              <w:bottom w:w="100" w:type="dxa"/>
              <w:right w:w="100" w:type="dxa"/>
            </w:tcMar>
            <w:vAlign w:val="center"/>
          </w:tcPr>
          <w:p w14:paraId="728EE0EE" w14:textId="77777777" w:rsidR="007C6854" w:rsidRDefault="00E0219E" w:rsidP="00FF6BF7">
            <w:pPr>
              <w:widowControl w:val="0"/>
              <w:pBdr>
                <w:top w:val="nil"/>
                <w:left w:val="nil"/>
                <w:bottom w:val="nil"/>
                <w:right w:val="nil"/>
                <w:between w:val="nil"/>
              </w:pBdr>
              <w:jc w:val="center"/>
              <w:rPr>
                <w:rFonts w:eastAsia="Arial" w:cs="Arial"/>
                <w:szCs w:val="24"/>
              </w:rPr>
            </w:pPr>
            <w:r>
              <w:rPr>
                <w:rFonts w:eastAsia="Arial" w:cs="Arial"/>
                <w:szCs w:val="24"/>
              </w:rPr>
              <w:t>2018</w:t>
            </w:r>
          </w:p>
        </w:tc>
        <w:tc>
          <w:tcPr>
            <w:tcW w:w="1575" w:type="dxa"/>
            <w:tcBorders>
              <w:top w:val="single" w:sz="4" w:space="0" w:color="auto"/>
              <w:bottom w:val="single" w:sz="4" w:space="0" w:color="auto"/>
            </w:tcBorders>
            <w:shd w:val="clear" w:color="auto" w:fill="auto"/>
            <w:tcMar>
              <w:top w:w="100" w:type="dxa"/>
              <w:left w:w="100" w:type="dxa"/>
              <w:bottom w:w="100" w:type="dxa"/>
              <w:right w:w="100" w:type="dxa"/>
            </w:tcMar>
            <w:vAlign w:val="center"/>
          </w:tcPr>
          <w:p w14:paraId="6E580FFB" w14:textId="77777777" w:rsidR="007C6854" w:rsidRDefault="00E0219E" w:rsidP="00FF6BF7">
            <w:pPr>
              <w:widowControl w:val="0"/>
              <w:pBdr>
                <w:top w:val="nil"/>
                <w:left w:val="nil"/>
                <w:bottom w:val="nil"/>
                <w:right w:val="nil"/>
                <w:between w:val="nil"/>
              </w:pBdr>
              <w:jc w:val="center"/>
              <w:rPr>
                <w:rFonts w:eastAsia="Arial" w:cs="Arial"/>
                <w:szCs w:val="24"/>
              </w:rPr>
            </w:pPr>
            <w:r>
              <w:rPr>
                <w:rFonts w:eastAsia="Arial" w:cs="Arial"/>
                <w:szCs w:val="24"/>
              </w:rPr>
              <w:t>2017</w:t>
            </w:r>
          </w:p>
        </w:tc>
        <w:tc>
          <w:tcPr>
            <w:tcW w:w="1575" w:type="dxa"/>
            <w:tcBorders>
              <w:top w:val="single" w:sz="4" w:space="0" w:color="auto"/>
              <w:bottom w:val="single" w:sz="4" w:space="0" w:color="auto"/>
            </w:tcBorders>
            <w:shd w:val="clear" w:color="auto" w:fill="auto"/>
            <w:tcMar>
              <w:top w:w="100" w:type="dxa"/>
              <w:left w:w="100" w:type="dxa"/>
              <w:bottom w:w="100" w:type="dxa"/>
              <w:right w:w="100" w:type="dxa"/>
            </w:tcMar>
            <w:vAlign w:val="center"/>
          </w:tcPr>
          <w:p w14:paraId="436A0466" w14:textId="77777777" w:rsidR="007C6854" w:rsidRDefault="00E0219E" w:rsidP="00FF6BF7">
            <w:pPr>
              <w:widowControl w:val="0"/>
              <w:pBdr>
                <w:top w:val="nil"/>
                <w:left w:val="nil"/>
                <w:bottom w:val="nil"/>
                <w:right w:val="nil"/>
                <w:between w:val="nil"/>
              </w:pBdr>
              <w:jc w:val="center"/>
              <w:rPr>
                <w:rFonts w:eastAsia="Arial" w:cs="Arial"/>
                <w:szCs w:val="24"/>
              </w:rPr>
            </w:pPr>
            <w:r>
              <w:rPr>
                <w:rFonts w:eastAsia="Arial" w:cs="Arial"/>
                <w:szCs w:val="24"/>
              </w:rPr>
              <w:t>2016</w:t>
            </w:r>
          </w:p>
        </w:tc>
        <w:tc>
          <w:tcPr>
            <w:tcW w:w="1575" w:type="dxa"/>
            <w:tcBorders>
              <w:top w:val="single" w:sz="4" w:space="0" w:color="auto"/>
              <w:bottom w:val="single" w:sz="4" w:space="0" w:color="auto"/>
            </w:tcBorders>
            <w:shd w:val="clear" w:color="auto" w:fill="auto"/>
            <w:tcMar>
              <w:top w:w="100" w:type="dxa"/>
              <w:left w:w="100" w:type="dxa"/>
              <w:bottom w:w="100" w:type="dxa"/>
              <w:right w:w="100" w:type="dxa"/>
            </w:tcMar>
            <w:vAlign w:val="center"/>
          </w:tcPr>
          <w:p w14:paraId="55378C67" w14:textId="77777777" w:rsidR="007C6854" w:rsidRDefault="00E0219E" w:rsidP="00FF6BF7">
            <w:pPr>
              <w:widowControl w:val="0"/>
              <w:pBdr>
                <w:top w:val="nil"/>
                <w:left w:val="nil"/>
                <w:bottom w:val="nil"/>
                <w:right w:val="nil"/>
                <w:between w:val="nil"/>
              </w:pBdr>
              <w:jc w:val="center"/>
              <w:rPr>
                <w:rFonts w:eastAsia="Arial" w:cs="Arial"/>
                <w:szCs w:val="24"/>
              </w:rPr>
            </w:pPr>
            <w:r>
              <w:rPr>
                <w:rFonts w:eastAsia="Arial" w:cs="Arial"/>
                <w:szCs w:val="24"/>
              </w:rPr>
              <w:t>2015</w:t>
            </w:r>
          </w:p>
        </w:tc>
      </w:tr>
      <w:tr w:rsidR="007C6854" w14:paraId="11FDA7F6" w14:textId="77777777" w:rsidTr="00FF6BF7">
        <w:trPr>
          <w:jc w:val="center"/>
        </w:trPr>
        <w:tc>
          <w:tcPr>
            <w:tcW w:w="2752" w:type="dxa"/>
            <w:tcBorders>
              <w:top w:val="single" w:sz="4" w:space="0" w:color="auto"/>
            </w:tcBorders>
            <w:shd w:val="clear" w:color="auto" w:fill="auto"/>
            <w:tcMar>
              <w:top w:w="100" w:type="dxa"/>
              <w:left w:w="100" w:type="dxa"/>
              <w:bottom w:w="100" w:type="dxa"/>
              <w:right w:w="100" w:type="dxa"/>
            </w:tcMar>
            <w:vAlign w:val="center"/>
          </w:tcPr>
          <w:p w14:paraId="083A2EFC" w14:textId="77777777" w:rsidR="007C6854" w:rsidRDefault="00E0219E" w:rsidP="00FF6BF7">
            <w:pPr>
              <w:widowControl w:val="0"/>
              <w:pBdr>
                <w:top w:val="nil"/>
                <w:left w:val="nil"/>
                <w:bottom w:val="nil"/>
                <w:right w:val="nil"/>
                <w:between w:val="nil"/>
              </w:pBdr>
              <w:rPr>
                <w:rFonts w:eastAsia="Arial" w:cs="Arial"/>
                <w:szCs w:val="24"/>
              </w:rPr>
            </w:pPr>
            <w:r>
              <w:rPr>
                <w:rFonts w:eastAsia="Arial" w:cs="Arial"/>
                <w:szCs w:val="24"/>
              </w:rPr>
              <w:t>Juan R. Sanchez HC (Santa Ana)</w:t>
            </w:r>
          </w:p>
        </w:tc>
        <w:tc>
          <w:tcPr>
            <w:tcW w:w="1575" w:type="dxa"/>
            <w:tcBorders>
              <w:top w:val="single" w:sz="4" w:space="0" w:color="auto"/>
            </w:tcBorders>
            <w:shd w:val="clear" w:color="auto" w:fill="auto"/>
            <w:tcMar>
              <w:top w:w="100" w:type="dxa"/>
              <w:left w:w="100" w:type="dxa"/>
              <w:bottom w:w="100" w:type="dxa"/>
              <w:right w:w="100" w:type="dxa"/>
            </w:tcMar>
            <w:vAlign w:val="center"/>
          </w:tcPr>
          <w:p w14:paraId="3B2939B0" w14:textId="77777777" w:rsidR="007C6854" w:rsidRDefault="00E0219E" w:rsidP="00FF6BF7">
            <w:pPr>
              <w:widowControl w:val="0"/>
              <w:pBdr>
                <w:top w:val="nil"/>
                <w:left w:val="nil"/>
                <w:bottom w:val="nil"/>
                <w:right w:val="nil"/>
                <w:between w:val="nil"/>
              </w:pBdr>
              <w:jc w:val="center"/>
              <w:rPr>
                <w:rFonts w:eastAsia="Arial" w:cs="Arial"/>
                <w:szCs w:val="24"/>
              </w:rPr>
            </w:pPr>
            <w:r>
              <w:rPr>
                <w:rFonts w:eastAsia="Arial" w:cs="Arial"/>
                <w:szCs w:val="24"/>
              </w:rPr>
              <w:t>43</w:t>
            </w:r>
          </w:p>
        </w:tc>
        <w:tc>
          <w:tcPr>
            <w:tcW w:w="1575" w:type="dxa"/>
            <w:tcBorders>
              <w:top w:val="single" w:sz="4" w:space="0" w:color="auto"/>
            </w:tcBorders>
            <w:shd w:val="clear" w:color="auto" w:fill="auto"/>
            <w:tcMar>
              <w:top w:w="100" w:type="dxa"/>
              <w:left w:w="100" w:type="dxa"/>
              <w:bottom w:w="100" w:type="dxa"/>
              <w:right w:w="100" w:type="dxa"/>
            </w:tcMar>
            <w:vAlign w:val="center"/>
          </w:tcPr>
          <w:p w14:paraId="3796DAFF" w14:textId="77777777" w:rsidR="007C6854" w:rsidRDefault="00E0219E" w:rsidP="00FF6BF7">
            <w:pPr>
              <w:widowControl w:val="0"/>
              <w:pBdr>
                <w:top w:val="nil"/>
                <w:left w:val="nil"/>
                <w:bottom w:val="nil"/>
                <w:right w:val="nil"/>
                <w:between w:val="nil"/>
              </w:pBdr>
              <w:jc w:val="center"/>
              <w:rPr>
                <w:rFonts w:eastAsia="Arial" w:cs="Arial"/>
                <w:szCs w:val="24"/>
              </w:rPr>
            </w:pPr>
            <w:r>
              <w:rPr>
                <w:rFonts w:eastAsia="Arial" w:cs="Arial"/>
                <w:szCs w:val="24"/>
              </w:rPr>
              <w:t>31</w:t>
            </w:r>
          </w:p>
        </w:tc>
        <w:tc>
          <w:tcPr>
            <w:tcW w:w="1575" w:type="dxa"/>
            <w:tcBorders>
              <w:top w:val="single" w:sz="4" w:space="0" w:color="auto"/>
            </w:tcBorders>
            <w:shd w:val="clear" w:color="auto" w:fill="auto"/>
            <w:tcMar>
              <w:top w:w="100" w:type="dxa"/>
              <w:left w:w="100" w:type="dxa"/>
              <w:bottom w:w="100" w:type="dxa"/>
              <w:right w:w="100" w:type="dxa"/>
            </w:tcMar>
            <w:vAlign w:val="center"/>
          </w:tcPr>
          <w:p w14:paraId="315C3C1C" w14:textId="77777777" w:rsidR="007C6854" w:rsidRDefault="00E0219E" w:rsidP="00FF6BF7">
            <w:pPr>
              <w:widowControl w:val="0"/>
              <w:pBdr>
                <w:top w:val="nil"/>
                <w:left w:val="nil"/>
                <w:bottom w:val="nil"/>
                <w:right w:val="nil"/>
                <w:between w:val="nil"/>
              </w:pBdr>
              <w:jc w:val="center"/>
              <w:rPr>
                <w:rFonts w:eastAsia="Arial" w:cs="Arial"/>
                <w:szCs w:val="24"/>
              </w:rPr>
            </w:pPr>
            <w:r>
              <w:rPr>
                <w:rFonts w:eastAsia="Arial" w:cs="Arial"/>
                <w:szCs w:val="24"/>
              </w:rPr>
              <w:t>20</w:t>
            </w:r>
          </w:p>
        </w:tc>
        <w:tc>
          <w:tcPr>
            <w:tcW w:w="1575" w:type="dxa"/>
            <w:tcBorders>
              <w:top w:val="single" w:sz="4" w:space="0" w:color="auto"/>
            </w:tcBorders>
            <w:shd w:val="clear" w:color="auto" w:fill="auto"/>
            <w:tcMar>
              <w:top w:w="100" w:type="dxa"/>
              <w:left w:w="100" w:type="dxa"/>
              <w:bottom w:w="100" w:type="dxa"/>
              <w:right w:w="100" w:type="dxa"/>
            </w:tcMar>
            <w:vAlign w:val="center"/>
          </w:tcPr>
          <w:p w14:paraId="3A7ABEFC" w14:textId="77777777" w:rsidR="007C6854" w:rsidRDefault="00E0219E" w:rsidP="00FF6BF7">
            <w:pPr>
              <w:widowControl w:val="0"/>
              <w:pBdr>
                <w:top w:val="nil"/>
                <w:left w:val="nil"/>
                <w:bottom w:val="nil"/>
                <w:right w:val="nil"/>
                <w:between w:val="nil"/>
              </w:pBdr>
              <w:jc w:val="center"/>
              <w:rPr>
                <w:rFonts w:eastAsia="Arial" w:cs="Arial"/>
                <w:szCs w:val="24"/>
              </w:rPr>
            </w:pPr>
            <w:r>
              <w:rPr>
                <w:rFonts w:eastAsia="Arial" w:cs="Arial"/>
                <w:szCs w:val="24"/>
              </w:rPr>
              <w:t>55</w:t>
            </w:r>
          </w:p>
        </w:tc>
      </w:tr>
      <w:tr w:rsidR="007C6854" w14:paraId="1CB93657" w14:textId="77777777" w:rsidTr="00FF6BF7">
        <w:trPr>
          <w:jc w:val="center"/>
        </w:trPr>
        <w:tc>
          <w:tcPr>
            <w:tcW w:w="2752" w:type="dxa"/>
            <w:shd w:val="clear" w:color="auto" w:fill="auto"/>
            <w:tcMar>
              <w:top w:w="100" w:type="dxa"/>
              <w:left w:w="100" w:type="dxa"/>
              <w:bottom w:w="100" w:type="dxa"/>
              <w:right w:w="100" w:type="dxa"/>
            </w:tcMar>
            <w:vAlign w:val="center"/>
          </w:tcPr>
          <w:p w14:paraId="4B2136BF" w14:textId="77777777" w:rsidR="007C6854" w:rsidRDefault="00E0219E" w:rsidP="00FF6BF7">
            <w:pPr>
              <w:widowControl w:val="0"/>
              <w:pBdr>
                <w:top w:val="nil"/>
                <w:left w:val="nil"/>
                <w:bottom w:val="nil"/>
                <w:right w:val="nil"/>
                <w:between w:val="nil"/>
              </w:pBdr>
              <w:rPr>
                <w:rFonts w:eastAsia="Arial" w:cs="Arial"/>
                <w:szCs w:val="24"/>
              </w:rPr>
            </w:pPr>
            <w:r>
              <w:rPr>
                <w:rFonts w:eastAsia="Arial" w:cs="Arial"/>
                <w:szCs w:val="24"/>
              </w:rPr>
              <w:t>Delfin C. Salonga HC</w:t>
            </w:r>
          </w:p>
        </w:tc>
        <w:tc>
          <w:tcPr>
            <w:tcW w:w="1575" w:type="dxa"/>
            <w:shd w:val="clear" w:color="auto" w:fill="auto"/>
            <w:tcMar>
              <w:top w:w="100" w:type="dxa"/>
              <w:left w:w="100" w:type="dxa"/>
              <w:bottom w:w="100" w:type="dxa"/>
              <w:right w:w="100" w:type="dxa"/>
            </w:tcMar>
            <w:vAlign w:val="center"/>
          </w:tcPr>
          <w:p w14:paraId="543E27EF" w14:textId="77777777" w:rsidR="007C6854" w:rsidRDefault="00E0219E" w:rsidP="00FF6BF7">
            <w:pPr>
              <w:widowControl w:val="0"/>
              <w:pBdr>
                <w:top w:val="nil"/>
                <w:left w:val="nil"/>
                <w:bottom w:val="nil"/>
                <w:right w:val="nil"/>
                <w:between w:val="nil"/>
              </w:pBdr>
              <w:jc w:val="center"/>
              <w:rPr>
                <w:rFonts w:eastAsia="Arial" w:cs="Arial"/>
                <w:szCs w:val="24"/>
              </w:rPr>
            </w:pPr>
            <w:r>
              <w:rPr>
                <w:rFonts w:eastAsia="Arial" w:cs="Arial"/>
                <w:szCs w:val="24"/>
              </w:rPr>
              <w:t>63</w:t>
            </w:r>
          </w:p>
        </w:tc>
        <w:tc>
          <w:tcPr>
            <w:tcW w:w="1575" w:type="dxa"/>
            <w:shd w:val="clear" w:color="auto" w:fill="auto"/>
            <w:tcMar>
              <w:top w:w="100" w:type="dxa"/>
              <w:left w:w="100" w:type="dxa"/>
              <w:bottom w:w="100" w:type="dxa"/>
              <w:right w:w="100" w:type="dxa"/>
            </w:tcMar>
            <w:vAlign w:val="center"/>
          </w:tcPr>
          <w:p w14:paraId="6F8EE0E6" w14:textId="77777777" w:rsidR="007C6854" w:rsidRDefault="00E0219E" w:rsidP="00FF6BF7">
            <w:pPr>
              <w:widowControl w:val="0"/>
              <w:pBdr>
                <w:top w:val="nil"/>
                <w:left w:val="nil"/>
                <w:bottom w:val="nil"/>
                <w:right w:val="nil"/>
                <w:between w:val="nil"/>
              </w:pBdr>
              <w:jc w:val="center"/>
              <w:rPr>
                <w:rFonts w:eastAsia="Arial" w:cs="Arial"/>
                <w:szCs w:val="24"/>
              </w:rPr>
            </w:pPr>
            <w:r>
              <w:rPr>
                <w:rFonts w:eastAsia="Arial" w:cs="Arial"/>
                <w:szCs w:val="24"/>
              </w:rPr>
              <w:t>25</w:t>
            </w:r>
          </w:p>
        </w:tc>
        <w:tc>
          <w:tcPr>
            <w:tcW w:w="1575" w:type="dxa"/>
            <w:shd w:val="clear" w:color="auto" w:fill="auto"/>
            <w:tcMar>
              <w:top w:w="100" w:type="dxa"/>
              <w:left w:w="100" w:type="dxa"/>
              <w:bottom w:w="100" w:type="dxa"/>
              <w:right w:w="100" w:type="dxa"/>
            </w:tcMar>
            <w:vAlign w:val="center"/>
          </w:tcPr>
          <w:p w14:paraId="5756D908" w14:textId="77777777" w:rsidR="007C6854" w:rsidRDefault="00E0219E" w:rsidP="00FF6BF7">
            <w:pPr>
              <w:widowControl w:val="0"/>
              <w:pBdr>
                <w:top w:val="nil"/>
                <w:left w:val="nil"/>
                <w:bottom w:val="nil"/>
                <w:right w:val="nil"/>
                <w:between w:val="nil"/>
              </w:pBdr>
              <w:jc w:val="center"/>
              <w:rPr>
                <w:rFonts w:eastAsia="Arial" w:cs="Arial"/>
                <w:szCs w:val="24"/>
              </w:rPr>
            </w:pPr>
            <w:r>
              <w:rPr>
                <w:rFonts w:eastAsia="Arial" w:cs="Arial"/>
                <w:szCs w:val="24"/>
              </w:rPr>
              <w:t>34</w:t>
            </w:r>
          </w:p>
        </w:tc>
        <w:tc>
          <w:tcPr>
            <w:tcW w:w="1575" w:type="dxa"/>
            <w:shd w:val="clear" w:color="auto" w:fill="auto"/>
            <w:tcMar>
              <w:top w:w="100" w:type="dxa"/>
              <w:left w:w="100" w:type="dxa"/>
              <w:bottom w:w="100" w:type="dxa"/>
              <w:right w:w="100" w:type="dxa"/>
            </w:tcMar>
            <w:vAlign w:val="center"/>
          </w:tcPr>
          <w:p w14:paraId="39D0DCF3" w14:textId="77777777" w:rsidR="007C6854" w:rsidRDefault="00E0219E" w:rsidP="00FF6BF7">
            <w:pPr>
              <w:widowControl w:val="0"/>
              <w:pBdr>
                <w:top w:val="nil"/>
                <w:left w:val="nil"/>
                <w:bottom w:val="nil"/>
                <w:right w:val="nil"/>
                <w:between w:val="nil"/>
              </w:pBdr>
              <w:jc w:val="center"/>
              <w:rPr>
                <w:rFonts w:eastAsia="Arial" w:cs="Arial"/>
                <w:szCs w:val="24"/>
              </w:rPr>
            </w:pPr>
            <w:r>
              <w:rPr>
                <w:rFonts w:eastAsia="Arial" w:cs="Arial"/>
                <w:szCs w:val="24"/>
              </w:rPr>
              <w:t>27</w:t>
            </w:r>
          </w:p>
        </w:tc>
      </w:tr>
      <w:tr w:rsidR="007C6854" w14:paraId="405167FF" w14:textId="77777777" w:rsidTr="00FF6BF7">
        <w:trPr>
          <w:jc w:val="center"/>
        </w:trPr>
        <w:tc>
          <w:tcPr>
            <w:tcW w:w="2752" w:type="dxa"/>
            <w:shd w:val="clear" w:color="auto" w:fill="auto"/>
            <w:tcMar>
              <w:top w:w="100" w:type="dxa"/>
              <w:left w:w="100" w:type="dxa"/>
              <w:bottom w:w="100" w:type="dxa"/>
              <w:right w:w="100" w:type="dxa"/>
            </w:tcMar>
            <w:vAlign w:val="center"/>
          </w:tcPr>
          <w:p w14:paraId="086655D7" w14:textId="77777777" w:rsidR="007C6854" w:rsidRDefault="00E0219E" w:rsidP="00FF6BF7">
            <w:pPr>
              <w:widowControl w:val="0"/>
              <w:pBdr>
                <w:top w:val="nil"/>
                <w:left w:val="nil"/>
                <w:bottom w:val="nil"/>
                <w:right w:val="nil"/>
                <w:between w:val="nil"/>
              </w:pBdr>
              <w:rPr>
                <w:rFonts w:eastAsia="Arial" w:cs="Arial"/>
                <w:szCs w:val="24"/>
              </w:rPr>
            </w:pPr>
            <w:r>
              <w:rPr>
                <w:rFonts w:eastAsia="Arial" w:cs="Arial"/>
                <w:szCs w:val="24"/>
              </w:rPr>
              <w:t>Moises R. Flores HC</w:t>
            </w:r>
          </w:p>
        </w:tc>
        <w:tc>
          <w:tcPr>
            <w:tcW w:w="1575" w:type="dxa"/>
            <w:shd w:val="clear" w:color="auto" w:fill="auto"/>
            <w:tcMar>
              <w:top w:w="100" w:type="dxa"/>
              <w:left w:w="100" w:type="dxa"/>
              <w:bottom w:w="100" w:type="dxa"/>
              <w:right w:w="100" w:type="dxa"/>
            </w:tcMar>
            <w:vAlign w:val="center"/>
          </w:tcPr>
          <w:p w14:paraId="58F7CF5A" w14:textId="77777777" w:rsidR="007C6854" w:rsidRDefault="00E0219E" w:rsidP="00FF6BF7">
            <w:pPr>
              <w:widowControl w:val="0"/>
              <w:pBdr>
                <w:top w:val="nil"/>
                <w:left w:val="nil"/>
                <w:bottom w:val="nil"/>
                <w:right w:val="nil"/>
                <w:between w:val="nil"/>
              </w:pBdr>
              <w:jc w:val="center"/>
              <w:rPr>
                <w:rFonts w:eastAsia="Arial" w:cs="Arial"/>
                <w:szCs w:val="24"/>
              </w:rPr>
            </w:pPr>
            <w:r>
              <w:rPr>
                <w:rFonts w:eastAsia="Arial" w:cs="Arial"/>
                <w:szCs w:val="24"/>
              </w:rPr>
              <w:t>14</w:t>
            </w:r>
          </w:p>
        </w:tc>
        <w:tc>
          <w:tcPr>
            <w:tcW w:w="1575" w:type="dxa"/>
            <w:shd w:val="clear" w:color="auto" w:fill="auto"/>
            <w:tcMar>
              <w:top w:w="100" w:type="dxa"/>
              <w:left w:w="100" w:type="dxa"/>
              <w:bottom w:w="100" w:type="dxa"/>
              <w:right w:w="100" w:type="dxa"/>
            </w:tcMar>
            <w:vAlign w:val="center"/>
          </w:tcPr>
          <w:p w14:paraId="35DA9D04" w14:textId="77777777" w:rsidR="007C6854" w:rsidRDefault="00E0219E" w:rsidP="00FF6BF7">
            <w:pPr>
              <w:widowControl w:val="0"/>
              <w:pBdr>
                <w:top w:val="nil"/>
                <w:left w:val="nil"/>
                <w:bottom w:val="nil"/>
                <w:right w:val="nil"/>
                <w:between w:val="nil"/>
              </w:pBdr>
              <w:jc w:val="center"/>
              <w:rPr>
                <w:rFonts w:eastAsia="Arial" w:cs="Arial"/>
                <w:szCs w:val="24"/>
              </w:rPr>
            </w:pPr>
            <w:r>
              <w:rPr>
                <w:rFonts w:eastAsia="Arial" w:cs="Arial"/>
                <w:szCs w:val="24"/>
              </w:rPr>
              <w:t>8</w:t>
            </w:r>
          </w:p>
        </w:tc>
        <w:tc>
          <w:tcPr>
            <w:tcW w:w="1575" w:type="dxa"/>
            <w:shd w:val="clear" w:color="auto" w:fill="auto"/>
            <w:tcMar>
              <w:top w:w="100" w:type="dxa"/>
              <w:left w:w="100" w:type="dxa"/>
              <w:bottom w:w="100" w:type="dxa"/>
              <w:right w:w="100" w:type="dxa"/>
            </w:tcMar>
            <w:vAlign w:val="center"/>
          </w:tcPr>
          <w:p w14:paraId="1EC67CD2" w14:textId="77777777" w:rsidR="007C6854" w:rsidRDefault="00E0219E" w:rsidP="00FF6BF7">
            <w:pPr>
              <w:widowControl w:val="0"/>
              <w:pBdr>
                <w:top w:val="nil"/>
                <w:left w:val="nil"/>
                <w:bottom w:val="nil"/>
                <w:right w:val="nil"/>
                <w:between w:val="nil"/>
              </w:pBdr>
              <w:jc w:val="center"/>
              <w:rPr>
                <w:rFonts w:eastAsia="Arial" w:cs="Arial"/>
                <w:szCs w:val="24"/>
              </w:rPr>
            </w:pPr>
            <w:r>
              <w:rPr>
                <w:rFonts w:eastAsia="Arial" w:cs="Arial"/>
                <w:szCs w:val="24"/>
              </w:rPr>
              <w:t>10</w:t>
            </w:r>
          </w:p>
        </w:tc>
        <w:tc>
          <w:tcPr>
            <w:tcW w:w="1575" w:type="dxa"/>
            <w:shd w:val="clear" w:color="auto" w:fill="auto"/>
            <w:tcMar>
              <w:top w:w="100" w:type="dxa"/>
              <w:left w:w="100" w:type="dxa"/>
              <w:bottom w:w="100" w:type="dxa"/>
              <w:right w:w="100" w:type="dxa"/>
            </w:tcMar>
            <w:vAlign w:val="center"/>
          </w:tcPr>
          <w:p w14:paraId="3FAF3A03" w14:textId="77777777" w:rsidR="007C6854" w:rsidRDefault="00E0219E" w:rsidP="00FF6BF7">
            <w:pPr>
              <w:widowControl w:val="0"/>
              <w:pBdr>
                <w:top w:val="nil"/>
                <w:left w:val="nil"/>
                <w:bottom w:val="nil"/>
                <w:right w:val="nil"/>
                <w:between w:val="nil"/>
              </w:pBdr>
              <w:jc w:val="center"/>
              <w:rPr>
                <w:rFonts w:eastAsia="Arial" w:cs="Arial"/>
                <w:szCs w:val="24"/>
              </w:rPr>
            </w:pPr>
            <w:r>
              <w:rPr>
                <w:rFonts w:eastAsia="Arial" w:cs="Arial"/>
                <w:szCs w:val="24"/>
              </w:rPr>
              <w:t>20</w:t>
            </w:r>
          </w:p>
        </w:tc>
      </w:tr>
      <w:tr w:rsidR="007C6854" w14:paraId="3914BC54" w14:textId="77777777" w:rsidTr="00FF6BF7">
        <w:trPr>
          <w:jc w:val="center"/>
        </w:trPr>
        <w:tc>
          <w:tcPr>
            <w:tcW w:w="2752" w:type="dxa"/>
            <w:shd w:val="clear" w:color="auto" w:fill="auto"/>
            <w:tcMar>
              <w:top w:w="100" w:type="dxa"/>
              <w:left w:w="100" w:type="dxa"/>
              <w:bottom w:w="100" w:type="dxa"/>
              <w:right w:w="100" w:type="dxa"/>
            </w:tcMar>
            <w:vAlign w:val="center"/>
          </w:tcPr>
          <w:p w14:paraId="0E0F727D" w14:textId="77777777" w:rsidR="007C6854" w:rsidRDefault="00E0219E" w:rsidP="00FF6BF7">
            <w:pPr>
              <w:widowControl w:val="0"/>
              <w:pBdr>
                <w:top w:val="nil"/>
                <w:left w:val="nil"/>
                <w:bottom w:val="nil"/>
                <w:right w:val="nil"/>
                <w:between w:val="nil"/>
              </w:pBdr>
              <w:rPr>
                <w:rFonts w:eastAsia="Arial" w:cs="Arial"/>
                <w:szCs w:val="24"/>
              </w:rPr>
            </w:pPr>
            <w:proofErr w:type="spellStart"/>
            <w:r>
              <w:rPr>
                <w:rFonts w:eastAsia="Arial" w:cs="Arial"/>
                <w:szCs w:val="24"/>
              </w:rPr>
              <w:t>Masikap</w:t>
            </w:r>
            <w:proofErr w:type="spellEnd"/>
            <w:r>
              <w:rPr>
                <w:rFonts w:eastAsia="Arial" w:cs="Arial"/>
                <w:szCs w:val="24"/>
              </w:rPr>
              <w:t xml:space="preserve"> HC</w:t>
            </w:r>
          </w:p>
        </w:tc>
        <w:tc>
          <w:tcPr>
            <w:tcW w:w="1575" w:type="dxa"/>
            <w:shd w:val="clear" w:color="auto" w:fill="auto"/>
            <w:tcMar>
              <w:top w:w="100" w:type="dxa"/>
              <w:left w:w="100" w:type="dxa"/>
              <w:bottom w:w="100" w:type="dxa"/>
              <w:right w:w="100" w:type="dxa"/>
            </w:tcMar>
            <w:vAlign w:val="center"/>
          </w:tcPr>
          <w:p w14:paraId="01A7D884" w14:textId="77777777" w:rsidR="007C6854" w:rsidRDefault="00E0219E" w:rsidP="00FF6BF7">
            <w:pPr>
              <w:widowControl w:val="0"/>
              <w:pBdr>
                <w:top w:val="nil"/>
                <w:left w:val="nil"/>
                <w:bottom w:val="nil"/>
                <w:right w:val="nil"/>
                <w:between w:val="nil"/>
              </w:pBdr>
              <w:jc w:val="center"/>
              <w:rPr>
                <w:rFonts w:eastAsia="Arial" w:cs="Arial"/>
                <w:szCs w:val="24"/>
              </w:rPr>
            </w:pPr>
            <w:r>
              <w:rPr>
                <w:rFonts w:eastAsia="Arial" w:cs="Arial"/>
                <w:szCs w:val="24"/>
              </w:rPr>
              <w:t>23</w:t>
            </w:r>
          </w:p>
        </w:tc>
        <w:tc>
          <w:tcPr>
            <w:tcW w:w="1575" w:type="dxa"/>
            <w:shd w:val="clear" w:color="auto" w:fill="auto"/>
            <w:tcMar>
              <w:top w:w="100" w:type="dxa"/>
              <w:left w:w="100" w:type="dxa"/>
              <w:bottom w:w="100" w:type="dxa"/>
              <w:right w:w="100" w:type="dxa"/>
            </w:tcMar>
            <w:vAlign w:val="center"/>
          </w:tcPr>
          <w:p w14:paraId="1F29EEC9" w14:textId="77777777" w:rsidR="007C6854" w:rsidRDefault="00E0219E" w:rsidP="00FF6BF7">
            <w:pPr>
              <w:widowControl w:val="0"/>
              <w:pBdr>
                <w:top w:val="nil"/>
                <w:left w:val="nil"/>
                <w:bottom w:val="nil"/>
                <w:right w:val="nil"/>
                <w:between w:val="nil"/>
              </w:pBdr>
              <w:jc w:val="center"/>
              <w:rPr>
                <w:rFonts w:eastAsia="Arial" w:cs="Arial"/>
                <w:szCs w:val="24"/>
              </w:rPr>
            </w:pPr>
            <w:r>
              <w:rPr>
                <w:rFonts w:eastAsia="Arial" w:cs="Arial"/>
                <w:szCs w:val="24"/>
              </w:rPr>
              <w:t>13</w:t>
            </w:r>
          </w:p>
        </w:tc>
        <w:tc>
          <w:tcPr>
            <w:tcW w:w="1575" w:type="dxa"/>
            <w:shd w:val="clear" w:color="auto" w:fill="auto"/>
            <w:tcMar>
              <w:top w:w="100" w:type="dxa"/>
              <w:left w:w="100" w:type="dxa"/>
              <w:bottom w:w="100" w:type="dxa"/>
              <w:right w:w="100" w:type="dxa"/>
            </w:tcMar>
            <w:vAlign w:val="center"/>
          </w:tcPr>
          <w:p w14:paraId="26BA5CA7" w14:textId="77777777" w:rsidR="007C6854" w:rsidRDefault="00E0219E" w:rsidP="00FF6BF7">
            <w:pPr>
              <w:widowControl w:val="0"/>
              <w:pBdr>
                <w:top w:val="nil"/>
                <w:left w:val="nil"/>
                <w:bottom w:val="nil"/>
                <w:right w:val="nil"/>
                <w:between w:val="nil"/>
              </w:pBdr>
              <w:jc w:val="center"/>
              <w:rPr>
                <w:rFonts w:eastAsia="Arial" w:cs="Arial"/>
                <w:szCs w:val="24"/>
              </w:rPr>
            </w:pPr>
            <w:r>
              <w:rPr>
                <w:rFonts w:eastAsia="Arial" w:cs="Arial"/>
                <w:szCs w:val="24"/>
              </w:rPr>
              <w:t>51</w:t>
            </w:r>
          </w:p>
        </w:tc>
        <w:tc>
          <w:tcPr>
            <w:tcW w:w="1575" w:type="dxa"/>
            <w:shd w:val="clear" w:color="auto" w:fill="auto"/>
            <w:tcMar>
              <w:top w:w="100" w:type="dxa"/>
              <w:left w:w="100" w:type="dxa"/>
              <w:bottom w:w="100" w:type="dxa"/>
              <w:right w:w="100" w:type="dxa"/>
            </w:tcMar>
            <w:vAlign w:val="center"/>
          </w:tcPr>
          <w:p w14:paraId="56814A85" w14:textId="77777777" w:rsidR="007C6854" w:rsidRDefault="00E0219E" w:rsidP="00FF6BF7">
            <w:pPr>
              <w:widowControl w:val="0"/>
              <w:pBdr>
                <w:top w:val="nil"/>
                <w:left w:val="nil"/>
                <w:bottom w:val="nil"/>
                <w:right w:val="nil"/>
                <w:between w:val="nil"/>
              </w:pBdr>
              <w:jc w:val="center"/>
              <w:rPr>
                <w:rFonts w:eastAsia="Arial" w:cs="Arial"/>
                <w:szCs w:val="24"/>
              </w:rPr>
            </w:pPr>
            <w:r>
              <w:rPr>
                <w:rFonts w:eastAsia="Arial" w:cs="Arial"/>
                <w:szCs w:val="24"/>
              </w:rPr>
              <w:t>38</w:t>
            </w:r>
          </w:p>
        </w:tc>
      </w:tr>
      <w:tr w:rsidR="007C6854" w14:paraId="46215A5B" w14:textId="77777777" w:rsidTr="00FF6BF7">
        <w:trPr>
          <w:jc w:val="center"/>
        </w:trPr>
        <w:tc>
          <w:tcPr>
            <w:tcW w:w="2752" w:type="dxa"/>
            <w:shd w:val="clear" w:color="auto" w:fill="auto"/>
            <w:tcMar>
              <w:top w:w="100" w:type="dxa"/>
              <w:left w:w="100" w:type="dxa"/>
              <w:bottom w:w="100" w:type="dxa"/>
              <w:right w:w="100" w:type="dxa"/>
            </w:tcMar>
            <w:vAlign w:val="center"/>
          </w:tcPr>
          <w:p w14:paraId="6B89A2CD" w14:textId="77777777" w:rsidR="007C6854" w:rsidRDefault="00E0219E" w:rsidP="00FF6BF7">
            <w:pPr>
              <w:widowControl w:val="0"/>
              <w:pBdr>
                <w:top w:val="nil"/>
                <w:left w:val="nil"/>
                <w:bottom w:val="nil"/>
                <w:right w:val="nil"/>
                <w:between w:val="nil"/>
              </w:pBdr>
              <w:rPr>
                <w:rFonts w:eastAsia="Arial" w:cs="Arial"/>
                <w:szCs w:val="24"/>
              </w:rPr>
            </w:pPr>
            <w:r>
              <w:rPr>
                <w:rFonts w:eastAsia="Arial" w:cs="Arial"/>
                <w:szCs w:val="24"/>
              </w:rPr>
              <w:t>Quintin De Borja HC</w:t>
            </w:r>
          </w:p>
        </w:tc>
        <w:tc>
          <w:tcPr>
            <w:tcW w:w="1575" w:type="dxa"/>
            <w:shd w:val="clear" w:color="auto" w:fill="auto"/>
            <w:tcMar>
              <w:top w:w="100" w:type="dxa"/>
              <w:left w:w="100" w:type="dxa"/>
              <w:bottom w:w="100" w:type="dxa"/>
              <w:right w:w="100" w:type="dxa"/>
            </w:tcMar>
            <w:vAlign w:val="center"/>
          </w:tcPr>
          <w:p w14:paraId="1A378CD5" w14:textId="77777777" w:rsidR="007C6854" w:rsidRDefault="00E0219E" w:rsidP="00FF6BF7">
            <w:pPr>
              <w:widowControl w:val="0"/>
              <w:pBdr>
                <w:top w:val="nil"/>
                <w:left w:val="nil"/>
                <w:bottom w:val="nil"/>
                <w:right w:val="nil"/>
                <w:between w:val="nil"/>
              </w:pBdr>
              <w:jc w:val="center"/>
              <w:rPr>
                <w:rFonts w:eastAsia="Arial" w:cs="Arial"/>
                <w:szCs w:val="24"/>
              </w:rPr>
            </w:pPr>
            <w:r>
              <w:rPr>
                <w:rFonts w:eastAsia="Arial" w:cs="Arial"/>
                <w:szCs w:val="24"/>
              </w:rPr>
              <w:t>109</w:t>
            </w:r>
          </w:p>
        </w:tc>
        <w:tc>
          <w:tcPr>
            <w:tcW w:w="1575" w:type="dxa"/>
            <w:shd w:val="clear" w:color="auto" w:fill="auto"/>
            <w:tcMar>
              <w:top w:w="100" w:type="dxa"/>
              <w:left w:w="100" w:type="dxa"/>
              <w:bottom w:w="100" w:type="dxa"/>
              <w:right w:w="100" w:type="dxa"/>
            </w:tcMar>
            <w:vAlign w:val="center"/>
          </w:tcPr>
          <w:p w14:paraId="602292AE" w14:textId="77777777" w:rsidR="007C6854" w:rsidRDefault="00E0219E" w:rsidP="00FF6BF7">
            <w:pPr>
              <w:widowControl w:val="0"/>
              <w:pBdr>
                <w:top w:val="nil"/>
                <w:left w:val="nil"/>
                <w:bottom w:val="nil"/>
                <w:right w:val="nil"/>
                <w:between w:val="nil"/>
              </w:pBdr>
              <w:jc w:val="center"/>
              <w:rPr>
                <w:rFonts w:eastAsia="Arial" w:cs="Arial"/>
                <w:szCs w:val="24"/>
              </w:rPr>
            </w:pPr>
            <w:r>
              <w:rPr>
                <w:rFonts w:eastAsia="Arial" w:cs="Arial"/>
                <w:szCs w:val="24"/>
              </w:rPr>
              <w:t>43</w:t>
            </w:r>
          </w:p>
        </w:tc>
        <w:tc>
          <w:tcPr>
            <w:tcW w:w="1575" w:type="dxa"/>
            <w:shd w:val="clear" w:color="auto" w:fill="auto"/>
            <w:tcMar>
              <w:top w:w="100" w:type="dxa"/>
              <w:left w:w="100" w:type="dxa"/>
              <w:bottom w:w="100" w:type="dxa"/>
              <w:right w:w="100" w:type="dxa"/>
            </w:tcMar>
            <w:vAlign w:val="center"/>
          </w:tcPr>
          <w:p w14:paraId="29620C1B" w14:textId="77777777" w:rsidR="007C6854" w:rsidRDefault="00E0219E" w:rsidP="00FF6BF7">
            <w:pPr>
              <w:widowControl w:val="0"/>
              <w:pBdr>
                <w:top w:val="nil"/>
                <w:left w:val="nil"/>
                <w:bottom w:val="nil"/>
                <w:right w:val="nil"/>
                <w:between w:val="nil"/>
              </w:pBdr>
              <w:jc w:val="center"/>
              <w:rPr>
                <w:rFonts w:eastAsia="Arial" w:cs="Arial"/>
                <w:szCs w:val="24"/>
              </w:rPr>
            </w:pPr>
            <w:r>
              <w:rPr>
                <w:rFonts w:eastAsia="Arial" w:cs="Arial"/>
                <w:szCs w:val="24"/>
              </w:rPr>
              <w:t>60</w:t>
            </w:r>
          </w:p>
        </w:tc>
        <w:tc>
          <w:tcPr>
            <w:tcW w:w="1575" w:type="dxa"/>
            <w:shd w:val="clear" w:color="auto" w:fill="auto"/>
            <w:tcMar>
              <w:top w:w="100" w:type="dxa"/>
              <w:left w:w="100" w:type="dxa"/>
              <w:bottom w:w="100" w:type="dxa"/>
              <w:right w:w="100" w:type="dxa"/>
            </w:tcMar>
            <w:vAlign w:val="center"/>
          </w:tcPr>
          <w:p w14:paraId="31773B0E" w14:textId="77777777" w:rsidR="007C6854" w:rsidRDefault="00E0219E" w:rsidP="00FF6BF7">
            <w:pPr>
              <w:widowControl w:val="0"/>
              <w:pBdr>
                <w:top w:val="nil"/>
                <w:left w:val="nil"/>
                <w:bottom w:val="nil"/>
                <w:right w:val="nil"/>
                <w:between w:val="nil"/>
              </w:pBdr>
              <w:jc w:val="center"/>
              <w:rPr>
                <w:rFonts w:eastAsia="Arial" w:cs="Arial"/>
                <w:szCs w:val="24"/>
              </w:rPr>
            </w:pPr>
            <w:r>
              <w:rPr>
                <w:rFonts w:eastAsia="Arial" w:cs="Arial"/>
                <w:szCs w:val="24"/>
              </w:rPr>
              <w:t>60</w:t>
            </w:r>
          </w:p>
        </w:tc>
      </w:tr>
      <w:tr w:rsidR="007C6854" w14:paraId="519758CA" w14:textId="77777777" w:rsidTr="00FF6BF7">
        <w:trPr>
          <w:jc w:val="center"/>
        </w:trPr>
        <w:tc>
          <w:tcPr>
            <w:tcW w:w="2752" w:type="dxa"/>
            <w:tcBorders>
              <w:bottom w:val="single" w:sz="4" w:space="0" w:color="auto"/>
            </w:tcBorders>
            <w:shd w:val="clear" w:color="auto" w:fill="auto"/>
            <w:tcMar>
              <w:top w:w="100" w:type="dxa"/>
              <w:left w:w="100" w:type="dxa"/>
              <w:bottom w:w="100" w:type="dxa"/>
              <w:right w:w="100" w:type="dxa"/>
            </w:tcMar>
            <w:vAlign w:val="center"/>
          </w:tcPr>
          <w:p w14:paraId="08943FD6" w14:textId="77777777" w:rsidR="007C6854" w:rsidRDefault="00E0219E" w:rsidP="00FF6BF7">
            <w:pPr>
              <w:widowControl w:val="0"/>
              <w:pBdr>
                <w:top w:val="nil"/>
                <w:left w:val="nil"/>
                <w:bottom w:val="nil"/>
                <w:right w:val="nil"/>
                <w:between w:val="nil"/>
              </w:pBdr>
              <w:rPr>
                <w:rFonts w:eastAsia="Arial" w:cs="Arial"/>
                <w:szCs w:val="24"/>
              </w:rPr>
            </w:pPr>
            <w:r>
              <w:rPr>
                <w:rFonts w:eastAsia="Arial" w:cs="Arial"/>
                <w:szCs w:val="24"/>
              </w:rPr>
              <w:t>Pateros</w:t>
            </w:r>
          </w:p>
        </w:tc>
        <w:tc>
          <w:tcPr>
            <w:tcW w:w="1575" w:type="dxa"/>
            <w:tcBorders>
              <w:bottom w:val="single" w:sz="4" w:space="0" w:color="auto"/>
            </w:tcBorders>
            <w:shd w:val="clear" w:color="auto" w:fill="auto"/>
            <w:tcMar>
              <w:top w:w="100" w:type="dxa"/>
              <w:left w:w="100" w:type="dxa"/>
              <w:bottom w:w="100" w:type="dxa"/>
              <w:right w:w="100" w:type="dxa"/>
            </w:tcMar>
            <w:vAlign w:val="center"/>
          </w:tcPr>
          <w:p w14:paraId="3A61A200" w14:textId="77777777" w:rsidR="007C6854" w:rsidRDefault="00E0219E" w:rsidP="00FF6BF7">
            <w:pPr>
              <w:widowControl w:val="0"/>
              <w:pBdr>
                <w:top w:val="nil"/>
                <w:left w:val="nil"/>
                <w:bottom w:val="nil"/>
                <w:right w:val="nil"/>
                <w:between w:val="nil"/>
              </w:pBdr>
              <w:jc w:val="center"/>
              <w:rPr>
                <w:rFonts w:eastAsia="Arial" w:cs="Arial"/>
                <w:szCs w:val="24"/>
              </w:rPr>
            </w:pPr>
            <w:r>
              <w:rPr>
                <w:rFonts w:eastAsia="Arial" w:cs="Arial"/>
                <w:szCs w:val="24"/>
              </w:rPr>
              <w:t>252</w:t>
            </w:r>
          </w:p>
        </w:tc>
        <w:tc>
          <w:tcPr>
            <w:tcW w:w="1575" w:type="dxa"/>
            <w:tcBorders>
              <w:bottom w:val="single" w:sz="4" w:space="0" w:color="auto"/>
            </w:tcBorders>
            <w:shd w:val="clear" w:color="auto" w:fill="auto"/>
            <w:tcMar>
              <w:top w:w="100" w:type="dxa"/>
              <w:left w:w="100" w:type="dxa"/>
              <w:bottom w:w="100" w:type="dxa"/>
              <w:right w:w="100" w:type="dxa"/>
            </w:tcMar>
            <w:vAlign w:val="center"/>
          </w:tcPr>
          <w:p w14:paraId="4E90A8C0" w14:textId="77777777" w:rsidR="007C6854" w:rsidRDefault="00E0219E" w:rsidP="00FF6BF7">
            <w:pPr>
              <w:widowControl w:val="0"/>
              <w:pBdr>
                <w:top w:val="nil"/>
                <w:left w:val="nil"/>
                <w:bottom w:val="nil"/>
                <w:right w:val="nil"/>
                <w:between w:val="nil"/>
              </w:pBdr>
              <w:jc w:val="center"/>
              <w:rPr>
                <w:rFonts w:eastAsia="Arial" w:cs="Arial"/>
                <w:szCs w:val="24"/>
              </w:rPr>
            </w:pPr>
            <w:r>
              <w:rPr>
                <w:rFonts w:eastAsia="Arial" w:cs="Arial"/>
                <w:szCs w:val="24"/>
              </w:rPr>
              <w:t>120</w:t>
            </w:r>
          </w:p>
        </w:tc>
        <w:tc>
          <w:tcPr>
            <w:tcW w:w="1575" w:type="dxa"/>
            <w:tcBorders>
              <w:bottom w:val="single" w:sz="4" w:space="0" w:color="auto"/>
            </w:tcBorders>
            <w:shd w:val="clear" w:color="auto" w:fill="auto"/>
            <w:tcMar>
              <w:top w:w="100" w:type="dxa"/>
              <w:left w:w="100" w:type="dxa"/>
              <w:bottom w:w="100" w:type="dxa"/>
              <w:right w:w="100" w:type="dxa"/>
            </w:tcMar>
            <w:vAlign w:val="center"/>
          </w:tcPr>
          <w:p w14:paraId="1EA6A3EB" w14:textId="77777777" w:rsidR="007C6854" w:rsidRDefault="00E0219E" w:rsidP="00FF6BF7">
            <w:pPr>
              <w:widowControl w:val="0"/>
              <w:pBdr>
                <w:top w:val="nil"/>
                <w:left w:val="nil"/>
                <w:bottom w:val="nil"/>
                <w:right w:val="nil"/>
                <w:between w:val="nil"/>
              </w:pBdr>
              <w:jc w:val="center"/>
              <w:rPr>
                <w:rFonts w:eastAsia="Arial" w:cs="Arial"/>
                <w:szCs w:val="24"/>
              </w:rPr>
            </w:pPr>
            <w:r>
              <w:rPr>
                <w:rFonts w:eastAsia="Arial" w:cs="Arial"/>
                <w:szCs w:val="24"/>
              </w:rPr>
              <w:t>175</w:t>
            </w:r>
          </w:p>
        </w:tc>
        <w:tc>
          <w:tcPr>
            <w:tcW w:w="1575" w:type="dxa"/>
            <w:tcBorders>
              <w:bottom w:val="single" w:sz="4" w:space="0" w:color="auto"/>
            </w:tcBorders>
            <w:shd w:val="clear" w:color="auto" w:fill="auto"/>
            <w:tcMar>
              <w:top w:w="100" w:type="dxa"/>
              <w:left w:w="100" w:type="dxa"/>
              <w:bottom w:w="100" w:type="dxa"/>
              <w:right w:w="100" w:type="dxa"/>
            </w:tcMar>
            <w:vAlign w:val="center"/>
          </w:tcPr>
          <w:p w14:paraId="79EB43DC" w14:textId="77777777" w:rsidR="007C6854" w:rsidRDefault="00E0219E" w:rsidP="00FF6BF7">
            <w:pPr>
              <w:widowControl w:val="0"/>
              <w:pBdr>
                <w:top w:val="nil"/>
                <w:left w:val="nil"/>
                <w:bottom w:val="nil"/>
                <w:right w:val="nil"/>
                <w:between w:val="nil"/>
              </w:pBdr>
              <w:jc w:val="center"/>
              <w:rPr>
                <w:rFonts w:eastAsia="Arial" w:cs="Arial"/>
                <w:szCs w:val="24"/>
              </w:rPr>
            </w:pPr>
            <w:r>
              <w:rPr>
                <w:rFonts w:eastAsia="Arial" w:cs="Arial"/>
                <w:szCs w:val="24"/>
              </w:rPr>
              <w:t>190</w:t>
            </w:r>
          </w:p>
        </w:tc>
      </w:tr>
    </w:tbl>
    <w:p w14:paraId="75E8B8F3" w14:textId="1B54218D" w:rsidR="007759A3" w:rsidRPr="00FF6BF7" w:rsidRDefault="00E0219E" w:rsidP="00FF6BF7">
      <w:pPr>
        <w:pBdr>
          <w:top w:val="nil"/>
          <w:left w:val="nil"/>
          <w:bottom w:val="nil"/>
          <w:right w:val="nil"/>
          <w:between w:val="nil"/>
        </w:pBdr>
        <w:spacing w:after="0" w:line="360" w:lineRule="auto"/>
        <w:jc w:val="right"/>
        <w:rPr>
          <w:rFonts w:eastAsia="Arial" w:cs="Arial"/>
          <w:color w:val="000000"/>
          <w:szCs w:val="24"/>
        </w:rPr>
      </w:pPr>
      <w:r>
        <w:rPr>
          <w:rFonts w:eastAsia="Arial" w:cs="Arial"/>
          <w:color w:val="000000"/>
          <w:szCs w:val="24"/>
        </w:rPr>
        <w:t xml:space="preserve">               </w:t>
      </w:r>
      <w:bookmarkStart w:id="12" w:name="_heading=h.z337ya" w:colFirst="0" w:colLast="0"/>
      <w:bookmarkEnd w:id="12"/>
      <w:r>
        <w:rPr>
          <w:rFonts w:eastAsia="Arial" w:cs="Arial"/>
          <w:color w:val="000000"/>
          <w:szCs w:val="24"/>
        </w:rPr>
        <w:t xml:space="preserve">    </w:t>
      </w:r>
    </w:p>
    <w:p w14:paraId="7AA4B9C7" w14:textId="62A7E38E" w:rsidR="007759A3" w:rsidRPr="00FF6BF7" w:rsidRDefault="00FF6BF7" w:rsidP="00FF6BF7">
      <w:pPr>
        <w:spacing w:after="0"/>
        <w:rPr>
          <w:i/>
          <w:iCs/>
        </w:rPr>
      </w:pPr>
      <w:r w:rsidRPr="00FF6BF7">
        <w:rPr>
          <w:rFonts w:eastAsia="Arial" w:cs="Arial"/>
          <w:i/>
          <w:iCs/>
          <w:color w:val="000000"/>
          <w:szCs w:val="24"/>
        </w:rPr>
        <w:t>Source: Pateros Health Department (PHD) Annual Report, 2018</w:t>
      </w:r>
    </w:p>
    <w:p w14:paraId="45088B83" w14:textId="77777777" w:rsidR="00FF6BF7" w:rsidRDefault="00FF6BF7">
      <w:pPr>
        <w:pStyle w:val="Heading3"/>
        <w:rPr>
          <w:rFonts w:eastAsia="Arial" w:cs="Arial"/>
          <w:sz w:val="24"/>
          <w:szCs w:val="24"/>
        </w:rPr>
      </w:pPr>
    </w:p>
    <w:p w14:paraId="68BE4E6C" w14:textId="708292F4" w:rsidR="007C6854" w:rsidRPr="00C774CE" w:rsidRDefault="00E0219E" w:rsidP="00C774CE">
      <w:pPr>
        <w:pStyle w:val="Heading3"/>
        <w:spacing w:line="480" w:lineRule="auto"/>
        <w:rPr>
          <w:rFonts w:eastAsia="Arial" w:cs="Arial"/>
          <w:sz w:val="24"/>
          <w:szCs w:val="24"/>
        </w:rPr>
      </w:pPr>
      <w:r>
        <w:rPr>
          <w:rFonts w:eastAsia="Arial" w:cs="Arial"/>
          <w:sz w:val="24"/>
          <w:szCs w:val="24"/>
        </w:rPr>
        <w:t xml:space="preserve">Health Literacy </w:t>
      </w:r>
    </w:p>
    <w:p w14:paraId="22B03E5F" w14:textId="3D0AB071" w:rsidR="00FF6BF7" w:rsidRPr="00FF6BF7" w:rsidRDefault="007759A3" w:rsidP="00C774CE">
      <w:pPr>
        <w:pBdr>
          <w:top w:val="nil"/>
          <w:left w:val="nil"/>
          <w:bottom w:val="nil"/>
          <w:right w:val="nil"/>
          <w:between w:val="nil"/>
        </w:pBdr>
        <w:spacing w:after="160" w:line="480" w:lineRule="auto"/>
        <w:ind w:firstLine="420"/>
        <w:jc w:val="both"/>
        <w:rPr>
          <w:rFonts w:eastAsia="Arial" w:cs="Arial"/>
          <w:color w:val="000000"/>
          <w:szCs w:val="24"/>
        </w:rPr>
      </w:pPr>
      <w:r>
        <w:rPr>
          <w:rFonts w:eastAsia="Arial" w:cs="Arial"/>
          <w:szCs w:val="24"/>
        </w:rPr>
        <w:tab/>
      </w:r>
      <w:r w:rsidR="00E0219E">
        <w:rPr>
          <w:rFonts w:eastAsia="Arial" w:cs="Arial"/>
          <w:szCs w:val="24"/>
        </w:rPr>
        <w:t xml:space="preserve">The United Nations report on the Millennium Development Goals (2015), particularly Goal 2, Achieving Universal Primary Education, pointed out that health literacy increased globally among 15- to 24-year-olds between 1990 and 2015. In the same report on gender equality also indicates that more girls are now in school compared to the past few years. (United Nations [UN], 2015) The Economist (2021) cited that many studies quantify the impact of low literacy on a person. In the United States alone, healthcare costs have increased over the years, and this was associated with poor health literacy. In the study of Sørensen K. et al. (2015), eight European countries showed insufficient and problematic health literacy. In the same study, several subgroups, such as poverty and poor social status, low educational status, and the elderly, impacted health literacy. In the study among urban elderly, health literacy increased as the person ages. It was low among individuals aged 30 to 40 </w:t>
      </w:r>
      <w:r w:rsidR="00E0219E">
        <w:rPr>
          <w:rFonts w:eastAsia="Arial" w:cs="Arial"/>
          <w:szCs w:val="24"/>
        </w:rPr>
        <w:lastRenderedPageBreak/>
        <w:t xml:space="preserve">years old and highest among individuals aged 65 years old and above. It also showed that health literacy is lower among women (Tiller, D., Herzog, B., </w:t>
      </w:r>
      <w:proofErr w:type="spellStart"/>
      <w:r w:rsidR="00E0219E">
        <w:rPr>
          <w:rFonts w:eastAsia="Arial" w:cs="Arial"/>
          <w:szCs w:val="24"/>
        </w:rPr>
        <w:t>Kluttig</w:t>
      </w:r>
      <w:proofErr w:type="spellEnd"/>
      <w:r w:rsidR="00E0219E">
        <w:rPr>
          <w:rFonts w:eastAsia="Arial" w:cs="Arial"/>
          <w:szCs w:val="24"/>
        </w:rPr>
        <w:t>, A., et al</w:t>
      </w:r>
      <w:r w:rsidR="00E0219E">
        <w:rPr>
          <w:rFonts w:eastAsia="Arial" w:cs="Arial"/>
          <w:i/>
          <w:szCs w:val="24"/>
        </w:rPr>
        <w:t>.</w:t>
      </w:r>
      <w:r w:rsidR="00E0219E">
        <w:rPr>
          <w:rFonts w:eastAsia="Arial" w:cs="Arial"/>
          <w:szCs w:val="24"/>
        </w:rPr>
        <w:t xml:space="preserve">, 2015). Garcia-Codina et al. (2019) identified the determinants of health literacy in the general population. The study said that educational level, socioeconomic status, and physical limitations affect health literacy. In addition, a study among patients with diabetes shows that health literacy is associated with employment status, annual income, social support, clarity of the physician’s explanation, and empowerment perception (Xu et al., 2018). Levinthal, B.R., </w:t>
      </w:r>
      <w:r w:rsidR="00E0219E">
        <w:rPr>
          <w:rFonts w:eastAsia="Arial" w:cs="Arial"/>
          <w:i/>
          <w:szCs w:val="24"/>
        </w:rPr>
        <w:t xml:space="preserve">et al. </w:t>
      </w:r>
      <w:r w:rsidR="00E0219E">
        <w:rPr>
          <w:rFonts w:eastAsia="Arial" w:cs="Arial"/>
          <w:szCs w:val="24"/>
        </w:rPr>
        <w:t xml:space="preserve">(2008) showed that age, education, and race affect the health literacy of patients with hypertension. More so, patients with hypertension with less knowledge of the disease had low health literacy scores (Du, S., </w:t>
      </w:r>
      <w:r w:rsidR="00E0219E">
        <w:rPr>
          <w:rFonts w:eastAsia="Arial" w:cs="Arial"/>
          <w:i/>
          <w:szCs w:val="24"/>
        </w:rPr>
        <w:t xml:space="preserve">et al., </w:t>
      </w:r>
      <w:r w:rsidR="00E0219E">
        <w:rPr>
          <w:rFonts w:eastAsia="Arial" w:cs="Arial"/>
          <w:szCs w:val="24"/>
        </w:rPr>
        <w:t xml:space="preserve">2018). In Sri Lanka, a study by </w:t>
      </w:r>
      <w:proofErr w:type="spellStart"/>
      <w:r w:rsidR="00E0219E">
        <w:rPr>
          <w:rFonts w:eastAsia="Arial" w:cs="Arial"/>
          <w:szCs w:val="24"/>
        </w:rPr>
        <w:t>Denuwara</w:t>
      </w:r>
      <w:proofErr w:type="spellEnd"/>
      <w:r w:rsidR="00E0219E">
        <w:rPr>
          <w:rFonts w:eastAsia="Arial" w:cs="Arial"/>
          <w:szCs w:val="24"/>
        </w:rPr>
        <w:t xml:space="preserve"> &amp; Gunawardena (2017) showed 31.5% of teachers had ‘problematic’ and ‘inadequate’ health literacy. It was associated with length of tenure, monthly salary income, social participation, and access to healthcare services. </w:t>
      </w:r>
      <w:r w:rsidR="00E0219E">
        <w:rPr>
          <w:rFonts w:eastAsia="Arial" w:cs="Arial"/>
          <w:color w:val="000000"/>
          <w:szCs w:val="24"/>
        </w:rPr>
        <w:t xml:space="preserve">Among Filipinos, the ability to read and write is </w:t>
      </w:r>
      <w:r w:rsidR="00E0219E">
        <w:rPr>
          <w:rFonts w:eastAsia="Arial" w:cs="Arial"/>
          <w:szCs w:val="24"/>
        </w:rPr>
        <w:t>given priority</w:t>
      </w:r>
      <w:r w:rsidR="00E0219E">
        <w:rPr>
          <w:rFonts w:eastAsia="Arial" w:cs="Arial"/>
          <w:color w:val="000000"/>
          <w:szCs w:val="24"/>
        </w:rPr>
        <w:t xml:space="preserve">. Dina </w:t>
      </w:r>
      <w:r w:rsidR="00E0219E">
        <w:rPr>
          <w:rFonts w:eastAsia="Arial" w:cs="Arial"/>
          <w:szCs w:val="24"/>
        </w:rPr>
        <w:t>Ocampo,</w:t>
      </w:r>
      <w:r w:rsidR="00E0219E">
        <w:rPr>
          <w:rFonts w:eastAsia="Arial" w:cs="Arial"/>
          <w:color w:val="000000"/>
          <w:szCs w:val="24"/>
        </w:rPr>
        <w:t xml:space="preserve"> the Officer-</w:t>
      </w:r>
      <w:r w:rsidR="00E0219E">
        <w:rPr>
          <w:rFonts w:eastAsia="Arial" w:cs="Arial"/>
          <w:szCs w:val="24"/>
        </w:rPr>
        <w:t>in</w:t>
      </w:r>
      <w:r w:rsidR="00E0219E">
        <w:rPr>
          <w:rFonts w:eastAsia="Arial" w:cs="Arial"/>
          <w:color w:val="000000"/>
          <w:szCs w:val="24"/>
        </w:rPr>
        <w:t xml:space="preserve">-Charge of the Department of Education’s (DepEd) Literacy Coordinating </w:t>
      </w:r>
      <w:r w:rsidR="00E0219E">
        <w:rPr>
          <w:rFonts w:eastAsia="Arial" w:cs="Arial"/>
          <w:szCs w:val="24"/>
        </w:rPr>
        <w:t>Council,</w:t>
      </w:r>
      <w:r w:rsidR="00E0219E">
        <w:rPr>
          <w:rFonts w:eastAsia="Arial" w:cs="Arial"/>
          <w:color w:val="000000"/>
          <w:szCs w:val="24"/>
        </w:rPr>
        <w:t xml:space="preserve"> said, “It is through literacy that one is empowered to interact in his community and realizes his worth, what he can do, and eventually makes him do things that contribute to the sustainable development of his society</w:t>
      </w:r>
      <w:r w:rsidR="00E0219E">
        <w:rPr>
          <w:rFonts w:eastAsia="Arial" w:cs="Arial"/>
          <w:szCs w:val="24"/>
        </w:rPr>
        <w:t>”</w:t>
      </w:r>
      <w:r w:rsidR="00E0219E">
        <w:rPr>
          <w:rFonts w:eastAsia="Arial" w:cs="Arial"/>
          <w:color w:val="000000"/>
          <w:szCs w:val="24"/>
        </w:rPr>
        <w:t xml:space="preserve"> (Cristobal, L., 2015). </w:t>
      </w:r>
      <w:r w:rsidR="00E0219E">
        <w:rPr>
          <w:rFonts w:eastAsia="Arial" w:cs="Arial"/>
          <w:szCs w:val="24"/>
        </w:rPr>
        <w:t>The Philippine</w:t>
      </w:r>
      <w:r w:rsidR="00E0219E">
        <w:rPr>
          <w:rFonts w:eastAsia="Arial" w:cs="Arial"/>
          <w:color w:val="000000"/>
          <w:szCs w:val="24"/>
        </w:rPr>
        <w:t xml:space="preserve"> Statistics Authority report on literacy rate among 10 years old and older showed improvement </w:t>
      </w:r>
      <w:r w:rsidR="00E0219E">
        <w:rPr>
          <w:rFonts w:eastAsia="Arial" w:cs="Arial"/>
          <w:szCs w:val="24"/>
        </w:rPr>
        <w:t>in the 2010</w:t>
      </w:r>
      <w:r w:rsidR="00E0219E">
        <w:rPr>
          <w:rFonts w:eastAsia="Arial" w:cs="Arial"/>
          <w:color w:val="000000"/>
          <w:szCs w:val="24"/>
        </w:rPr>
        <w:t xml:space="preserve"> Census of Population and Housing (97.5%) compared </w:t>
      </w:r>
      <w:r w:rsidR="00E0219E">
        <w:rPr>
          <w:rFonts w:eastAsia="Arial" w:cs="Arial"/>
          <w:szCs w:val="24"/>
        </w:rPr>
        <w:t>to the 2000</w:t>
      </w:r>
      <w:r w:rsidR="00E0219E">
        <w:rPr>
          <w:rFonts w:eastAsia="Arial" w:cs="Arial"/>
          <w:color w:val="000000"/>
          <w:szCs w:val="24"/>
        </w:rPr>
        <w:t xml:space="preserve"> report of 92.3%. While </w:t>
      </w:r>
      <w:r w:rsidR="00E0219E">
        <w:rPr>
          <w:rFonts w:eastAsia="Arial" w:cs="Arial"/>
          <w:szCs w:val="24"/>
        </w:rPr>
        <w:t>a Functional</w:t>
      </w:r>
      <w:r w:rsidR="00E0219E">
        <w:rPr>
          <w:rFonts w:eastAsia="Arial" w:cs="Arial"/>
          <w:color w:val="000000"/>
          <w:szCs w:val="24"/>
        </w:rPr>
        <w:t xml:space="preserve"> Literacy, Education, and Mass Media Survey (FLEMM) report in 2008 reported functional literacy was high </w:t>
      </w:r>
      <w:r w:rsidR="00E0219E">
        <w:rPr>
          <w:rFonts w:eastAsia="Arial" w:cs="Arial"/>
          <w:szCs w:val="24"/>
        </w:rPr>
        <w:t>for</w:t>
      </w:r>
      <w:r w:rsidR="00E0219E">
        <w:rPr>
          <w:rFonts w:eastAsia="Arial" w:cs="Arial"/>
          <w:color w:val="000000"/>
          <w:szCs w:val="24"/>
        </w:rPr>
        <w:t xml:space="preserve"> both men and women exposed to different mass media (PSA, 2011). However, health literacy </w:t>
      </w:r>
      <w:r w:rsidR="00E0219E">
        <w:rPr>
          <w:rFonts w:eastAsia="Arial" w:cs="Arial"/>
          <w:szCs w:val="24"/>
        </w:rPr>
        <w:t>(HL) has</w:t>
      </w:r>
      <w:r w:rsidR="00E0219E">
        <w:rPr>
          <w:rFonts w:eastAsia="Arial" w:cs="Arial"/>
          <w:color w:val="000000"/>
          <w:szCs w:val="24"/>
        </w:rPr>
        <w:t xml:space="preserve"> gained attention </w:t>
      </w:r>
      <w:r w:rsidR="00E0219E">
        <w:rPr>
          <w:rFonts w:eastAsia="Arial" w:cs="Arial"/>
          <w:szCs w:val="24"/>
        </w:rPr>
        <w:t>in</w:t>
      </w:r>
      <w:r w:rsidR="00E0219E">
        <w:rPr>
          <w:rFonts w:eastAsia="Arial" w:cs="Arial"/>
          <w:color w:val="000000"/>
          <w:szCs w:val="24"/>
        </w:rPr>
        <w:t xml:space="preserve"> public health. </w:t>
      </w:r>
      <w:r w:rsidR="00E0219E">
        <w:rPr>
          <w:rFonts w:eastAsia="Arial" w:cs="Arial"/>
          <w:szCs w:val="24"/>
        </w:rPr>
        <w:t>A recent</w:t>
      </w:r>
      <w:r w:rsidR="00E0219E">
        <w:rPr>
          <w:rFonts w:eastAsia="Arial" w:cs="Arial"/>
          <w:color w:val="000000"/>
          <w:szCs w:val="24"/>
        </w:rPr>
        <w:t xml:space="preserve"> study showed that the level of health literacy in the selected </w:t>
      </w:r>
      <w:r w:rsidR="00E0219E">
        <w:rPr>
          <w:rFonts w:eastAsia="Arial" w:cs="Arial"/>
          <w:szCs w:val="24"/>
        </w:rPr>
        <w:t>sites</w:t>
      </w:r>
      <w:r w:rsidR="00E0219E">
        <w:rPr>
          <w:rFonts w:eastAsia="Arial" w:cs="Arial"/>
          <w:color w:val="000000"/>
          <w:szCs w:val="24"/>
        </w:rPr>
        <w:t xml:space="preserve"> in Luzon (47.8%) </w:t>
      </w:r>
      <w:r w:rsidR="00E0219E">
        <w:rPr>
          <w:rFonts w:eastAsia="Arial" w:cs="Arial"/>
          <w:color w:val="000000"/>
          <w:szCs w:val="24"/>
        </w:rPr>
        <w:lastRenderedPageBreak/>
        <w:t xml:space="preserve">and Mindanao (46.3%) </w:t>
      </w:r>
      <w:r w:rsidR="00E0219E">
        <w:rPr>
          <w:rFonts w:eastAsia="Arial" w:cs="Arial"/>
          <w:szCs w:val="24"/>
        </w:rPr>
        <w:t>was</w:t>
      </w:r>
      <w:r w:rsidR="00E0219E">
        <w:rPr>
          <w:rFonts w:eastAsia="Arial" w:cs="Arial"/>
          <w:color w:val="000000"/>
          <w:szCs w:val="24"/>
        </w:rPr>
        <w:t xml:space="preserve"> low, while in the Visayas </w:t>
      </w:r>
      <w:r w:rsidR="00E0219E">
        <w:rPr>
          <w:rFonts w:eastAsia="Arial" w:cs="Arial"/>
          <w:szCs w:val="24"/>
        </w:rPr>
        <w:t>(56.6%) it</w:t>
      </w:r>
      <w:r w:rsidR="00E0219E">
        <w:rPr>
          <w:rFonts w:eastAsia="Arial" w:cs="Arial"/>
          <w:color w:val="000000"/>
          <w:szCs w:val="24"/>
        </w:rPr>
        <w:t xml:space="preserve"> was medium. The National Capital Region (83.7%) showed high health</w:t>
      </w:r>
      <w:r w:rsidR="00E0219E">
        <w:rPr>
          <w:rFonts w:eastAsia="Arial" w:cs="Arial"/>
          <w:szCs w:val="24"/>
        </w:rPr>
        <w:t xml:space="preserve"> </w:t>
      </w:r>
      <w:r w:rsidR="00E0219E">
        <w:rPr>
          <w:rFonts w:eastAsia="Arial" w:cs="Arial"/>
          <w:color w:val="000000"/>
          <w:szCs w:val="24"/>
        </w:rPr>
        <w:t xml:space="preserve">literacy (PCHRD, 2018). Across demographic data, </w:t>
      </w:r>
      <w:r w:rsidR="00E0219E">
        <w:rPr>
          <w:rFonts w:eastAsia="Arial" w:cs="Arial"/>
          <w:szCs w:val="24"/>
        </w:rPr>
        <w:t>t</w:t>
      </w:r>
      <w:r w:rsidR="00E0219E">
        <w:rPr>
          <w:rFonts w:eastAsia="Arial" w:cs="Arial"/>
          <w:color w:val="000000"/>
          <w:szCs w:val="24"/>
        </w:rPr>
        <w:t xml:space="preserve">he World Health Organization (2018) </w:t>
      </w:r>
      <w:r w:rsidR="00E0219E">
        <w:rPr>
          <w:rFonts w:eastAsia="Arial" w:cs="Arial"/>
          <w:szCs w:val="24"/>
        </w:rPr>
        <w:t>reported that</w:t>
      </w:r>
      <w:r w:rsidR="00E0219E">
        <w:rPr>
          <w:rFonts w:eastAsia="Arial" w:cs="Arial"/>
          <w:color w:val="000000"/>
          <w:szCs w:val="24"/>
        </w:rPr>
        <w:t xml:space="preserve"> the average health</w:t>
      </w:r>
      <w:r w:rsidR="00E0219E">
        <w:rPr>
          <w:rFonts w:eastAsia="Arial" w:cs="Arial"/>
          <w:szCs w:val="24"/>
        </w:rPr>
        <w:t xml:space="preserve"> literacy rate</w:t>
      </w:r>
      <w:r w:rsidR="00E0219E">
        <w:rPr>
          <w:rFonts w:eastAsia="Arial" w:cs="Arial"/>
          <w:color w:val="000000"/>
          <w:szCs w:val="24"/>
        </w:rPr>
        <w:t xml:space="preserve"> in the Philippines among adults aged </w:t>
      </w:r>
      <m:oMath>
        <m:r>
          <w:rPr>
            <w:rFonts w:ascii="Cambria Math" w:hAnsi="Cambria Math"/>
          </w:rPr>
          <m:t>≥</m:t>
        </m:r>
      </m:oMath>
      <w:r w:rsidR="00E0219E">
        <w:rPr>
          <w:rFonts w:eastAsia="Arial" w:cs="Arial"/>
          <w:color w:val="000000"/>
          <w:szCs w:val="24"/>
        </w:rPr>
        <w:t xml:space="preserve"> 15</w:t>
      </w:r>
      <w:r w:rsidR="00E0219E">
        <w:rPr>
          <w:rFonts w:eastAsia="Arial" w:cs="Arial"/>
          <w:szCs w:val="24"/>
        </w:rPr>
        <w:t xml:space="preserve"> </w:t>
      </w:r>
      <w:r w:rsidR="00E0219E">
        <w:rPr>
          <w:rFonts w:eastAsia="Arial" w:cs="Arial"/>
          <w:color w:val="000000"/>
          <w:szCs w:val="24"/>
        </w:rPr>
        <w:t xml:space="preserve">years from 2007 to 2012 was 95%. Simple health literacy indicators </w:t>
      </w:r>
      <w:r w:rsidR="00E0219E">
        <w:rPr>
          <w:rFonts w:eastAsia="Arial" w:cs="Arial"/>
          <w:szCs w:val="24"/>
        </w:rPr>
        <w:t>among children</w:t>
      </w:r>
      <w:r w:rsidR="00E0219E">
        <w:rPr>
          <w:rFonts w:eastAsia="Arial" w:cs="Arial"/>
          <w:color w:val="000000"/>
          <w:szCs w:val="24"/>
        </w:rPr>
        <w:t xml:space="preserve"> ten </w:t>
      </w:r>
      <w:r w:rsidR="00E0219E">
        <w:rPr>
          <w:rFonts w:eastAsia="Arial" w:cs="Arial"/>
          <w:szCs w:val="24"/>
        </w:rPr>
        <w:t xml:space="preserve">years of age </w:t>
      </w:r>
      <w:r w:rsidR="00E0219E">
        <w:rPr>
          <w:rFonts w:eastAsia="Arial" w:cs="Arial"/>
          <w:color w:val="000000"/>
          <w:szCs w:val="24"/>
        </w:rPr>
        <w:t xml:space="preserve">and </w:t>
      </w:r>
      <w:r w:rsidR="00E0219E">
        <w:rPr>
          <w:rFonts w:eastAsia="Arial" w:cs="Arial"/>
          <w:szCs w:val="24"/>
        </w:rPr>
        <w:t>older</w:t>
      </w:r>
      <w:r w:rsidR="00E0219E">
        <w:rPr>
          <w:rFonts w:eastAsia="Arial" w:cs="Arial"/>
          <w:color w:val="000000"/>
          <w:szCs w:val="24"/>
        </w:rPr>
        <w:t xml:space="preserve"> revealed improvement from 1990 to 2005 (World Health Organization [WHO], 2011, p. 3). </w:t>
      </w:r>
      <w:r w:rsidR="00E0219E">
        <w:rPr>
          <w:rFonts w:eastAsia="Arial" w:cs="Arial"/>
          <w:szCs w:val="24"/>
        </w:rPr>
        <w:t>A study</w:t>
      </w:r>
      <w:r w:rsidR="00E0219E">
        <w:rPr>
          <w:rFonts w:eastAsia="Arial" w:cs="Arial"/>
          <w:color w:val="000000"/>
          <w:szCs w:val="24"/>
        </w:rPr>
        <w:t xml:space="preserve"> by Agosto</w:t>
      </w:r>
      <w:r w:rsidR="00E0219E">
        <w:rPr>
          <w:rFonts w:eastAsia="Arial" w:cs="Arial"/>
          <w:szCs w:val="24"/>
        </w:rPr>
        <w:t xml:space="preserve"> et al.</w:t>
      </w:r>
      <w:r w:rsidR="00E0219E">
        <w:rPr>
          <w:rFonts w:eastAsia="Arial" w:cs="Arial"/>
          <w:color w:val="000000"/>
          <w:szCs w:val="24"/>
        </w:rPr>
        <w:t xml:space="preserve"> (201</w:t>
      </w:r>
      <w:r w:rsidR="00E0219E">
        <w:rPr>
          <w:rFonts w:eastAsia="Arial" w:cs="Arial"/>
          <w:szCs w:val="24"/>
        </w:rPr>
        <w:t>8</w:t>
      </w:r>
      <w:r w:rsidR="00E0219E">
        <w:rPr>
          <w:rFonts w:eastAsia="Arial" w:cs="Arial"/>
          <w:color w:val="000000"/>
          <w:szCs w:val="24"/>
        </w:rPr>
        <w:t xml:space="preserve">) on health literacy among Filipinos aged </w:t>
      </w:r>
      <w:r w:rsidR="00E0219E">
        <w:rPr>
          <w:rFonts w:eastAsia="Arial" w:cs="Arial"/>
          <w:szCs w:val="24"/>
        </w:rPr>
        <w:t>50–70</w:t>
      </w:r>
      <w:r w:rsidR="00E0219E">
        <w:rPr>
          <w:rFonts w:eastAsia="Arial" w:cs="Arial"/>
          <w:color w:val="000000"/>
          <w:szCs w:val="24"/>
        </w:rPr>
        <w:t xml:space="preserve"> belonging to low-income families in selected communities showed ninety-four percent (94%) of participants had problematic or inadequate health literacy </w:t>
      </w:r>
      <w:r w:rsidR="00E0219E">
        <w:rPr>
          <w:rFonts w:eastAsia="Arial" w:cs="Arial"/>
          <w:szCs w:val="24"/>
        </w:rPr>
        <w:t>levels</w:t>
      </w:r>
      <w:r w:rsidR="00E0219E">
        <w:rPr>
          <w:rFonts w:eastAsia="Arial" w:cs="Arial"/>
          <w:color w:val="000000"/>
          <w:szCs w:val="24"/>
        </w:rPr>
        <w:t xml:space="preserve">. It was seen among individuals with low educational status. Also, among these clients, they were not able to </w:t>
      </w:r>
      <w:r w:rsidR="00E0219E">
        <w:rPr>
          <w:rFonts w:eastAsia="Arial" w:cs="Arial"/>
          <w:szCs w:val="24"/>
        </w:rPr>
        <w:t>visit a medical</w:t>
      </w:r>
      <w:r w:rsidR="00E0219E">
        <w:rPr>
          <w:rFonts w:eastAsia="Arial" w:cs="Arial"/>
          <w:color w:val="000000"/>
          <w:szCs w:val="24"/>
        </w:rPr>
        <w:t xml:space="preserve"> doctor in the past 12 months (Agosto, </w:t>
      </w:r>
      <w:r w:rsidR="00E0219E">
        <w:rPr>
          <w:rFonts w:eastAsia="Arial" w:cs="Arial"/>
          <w:szCs w:val="24"/>
        </w:rPr>
        <w:t>H.G.,</w:t>
      </w:r>
      <w:r w:rsidR="00E0219E">
        <w:rPr>
          <w:rFonts w:eastAsia="Arial" w:cs="Arial"/>
          <w:color w:val="000000"/>
          <w:szCs w:val="24"/>
        </w:rPr>
        <w:t xml:space="preserve"> et al., 2018).</w:t>
      </w:r>
      <w:bookmarkStart w:id="13" w:name="_heading=h.3j2qqm3" w:colFirst="0" w:colLast="0"/>
      <w:bookmarkEnd w:id="13"/>
      <w:r w:rsidR="00FF6BF7">
        <w:rPr>
          <w:rFonts w:eastAsia="Arial" w:cs="Arial"/>
          <w:color w:val="000000"/>
          <w:szCs w:val="24"/>
        </w:rPr>
        <w:br/>
      </w:r>
      <w:r w:rsidR="00FF6BF7">
        <w:rPr>
          <w:rFonts w:eastAsia="Arial" w:cs="Arial"/>
          <w:color w:val="000000"/>
          <w:szCs w:val="24"/>
        </w:rPr>
        <w:br/>
      </w:r>
      <w:r w:rsidR="00E0219E" w:rsidRPr="00FF6BF7">
        <w:rPr>
          <w:rFonts w:eastAsia="Arial" w:cs="Arial"/>
          <w:b/>
          <w:bCs/>
          <w:szCs w:val="24"/>
        </w:rPr>
        <w:t>Association of Health Literacy with Hypertension</w:t>
      </w:r>
    </w:p>
    <w:p w14:paraId="11E65379" w14:textId="5E1FACFA" w:rsidR="007C6854" w:rsidRPr="00FF6BF7" w:rsidRDefault="00FF6BF7" w:rsidP="00FF6BF7">
      <w:pPr>
        <w:spacing w:line="480" w:lineRule="auto"/>
        <w:jc w:val="both"/>
        <w:rPr>
          <w:color w:val="000000"/>
        </w:rPr>
      </w:pPr>
      <w:r>
        <w:tab/>
      </w:r>
      <w:r w:rsidR="00E0219E" w:rsidRPr="007759A3">
        <w:t xml:space="preserve">High health literacy may improve the client’s quality of life in patients with hypertension. The study conducted by Shi, D., </w:t>
      </w:r>
      <w:r w:rsidR="00E0219E" w:rsidRPr="007759A3">
        <w:rPr>
          <w:i/>
        </w:rPr>
        <w:t xml:space="preserve">et al. </w:t>
      </w:r>
      <w:r w:rsidR="00E0219E" w:rsidRPr="007759A3">
        <w:t xml:space="preserve">(2017) showed that patients with high health literacy have better hypertension control. It was also evident that hypertensive clients with low literacy had poorer knowledge of hypertension management (Du, S., </w:t>
      </w:r>
      <w:r w:rsidR="00E0219E" w:rsidRPr="007759A3">
        <w:rPr>
          <w:i/>
        </w:rPr>
        <w:t>et al.</w:t>
      </w:r>
      <w:r w:rsidR="00E0219E" w:rsidRPr="007759A3">
        <w:t xml:space="preserve">, 2018). William, M.V., </w:t>
      </w:r>
      <w:r w:rsidR="00E0219E" w:rsidRPr="007759A3">
        <w:rPr>
          <w:i/>
        </w:rPr>
        <w:t xml:space="preserve">et al. </w:t>
      </w:r>
      <w:r w:rsidR="00E0219E" w:rsidRPr="007759A3">
        <w:t xml:space="preserve">(1998) examined the relationship between functional health literacy level and the patient’s knowledge of their disease. It showed that 42% of clients with hypertension knew that a BP of 130/80 mm Hg was low, compared to 45% who did not know that a BP of 160/100 was high (William, M.V., </w:t>
      </w:r>
      <w:r w:rsidR="00E0219E" w:rsidRPr="007759A3">
        <w:rPr>
          <w:i/>
        </w:rPr>
        <w:t>et al.</w:t>
      </w:r>
      <w:r w:rsidR="00E0219E" w:rsidRPr="007759A3">
        <w:t xml:space="preserve">, 1998). Shi, D., </w:t>
      </w:r>
      <w:r w:rsidR="00E0219E" w:rsidRPr="007759A3">
        <w:rPr>
          <w:i/>
        </w:rPr>
        <w:t xml:space="preserve">et al. </w:t>
      </w:r>
      <w:r w:rsidR="00E0219E" w:rsidRPr="007759A3">
        <w:t xml:space="preserve">(2017) identified the association between health literacy and education, home blood pressure measurement, regular medication, and systolic blood pressure. More so, Du, S., </w:t>
      </w:r>
      <w:r w:rsidR="00E0219E" w:rsidRPr="007759A3">
        <w:rPr>
          <w:i/>
        </w:rPr>
        <w:t>et al.</w:t>
      </w:r>
      <w:r w:rsidR="00E0219E" w:rsidRPr="007759A3">
        <w:t xml:space="preserve"> (2018) showed the association of health literacy with hypertension, with behavioral outcomes: self-care, self-efficacy, </w:t>
      </w:r>
      <w:r w:rsidR="00E0219E" w:rsidRPr="007759A3">
        <w:lastRenderedPageBreak/>
        <w:t xml:space="preserve">and adherence, and with patient-physician interaction outcomes: patient-physician communication, patient trust, and involvement in decision-making. </w:t>
      </w:r>
      <w:proofErr w:type="spellStart"/>
      <w:r w:rsidR="00E0219E" w:rsidRPr="007759A3">
        <w:rPr>
          <w:color w:val="000000"/>
        </w:rPr>
        <w:t>Khajedaluee</w:t>
      </w:r>
      <w:proofErr w:type="spellEnd"/>
      <w:r w:rsidR="00E0219E" w:rsidRPr="007759A3">
        <w:rPr>
          <w:color w:val="000000"/>
        </w:rPr>
        <w:t xml:space="preserve">, M., et al. </w:t>
      </w:r>
      <w:r w:rsidR="00E0219E" w:rsidRPr="007759A3">
        <w:t>(2016) have</w:t>
      </w:r>
      <w:r w:rsidR="00E0219E" w:rsidRPr="007759A3">
        <w:rPr>
          <w:color w:val="000000"/>
        </w:rPr>
        <w:t xml:space="preserve"> seen a significant result </w:t>
      </w:r>
      <w:r w:rsidR="00E0219E" w:rsidRPr="007759A3">
        <w:t>of the</w:t>
      </w:r>
      <w:r w:rsidR="00E0219E" w:rsidRPr="007759A3">
        <w:rPr>
          <w:color w:val="000000"/>
        </w:rPr>
        <w:t xml:space="preserve"> high prevalence of hypertension among illiterate and </w:t>
      </w:r>
      <w:r w:rsidR="00E0219E" w:rsidRPr="007759A3">
        <w:t>low-educated</w:t>
      </w:r>
      <w:r w:rsidR="00E0219E" w:rsidRPr="007759A3">
        <w:rPr>
          <w:color w:val="000000"/>
        </w:rPr>
        <w:t xml:space="preserve"> individuals.</w:t>
      </w:r>
      <w:r w:rsidR="00E0219E" w:rsidRPr="007759A3">
        <w:t xml:space="preserve"> In addition, the study of Lor, M., </w:t>
      </w:r>
      <w:r w:rsidR="00E0219E" w:rsidRPr="007759A3">
        <w:rPr>
          <w:i/>
        </w:rPr>
        <w:t xml:space="preserve">et al. (2019) </w:t>
      </w:r>
      <w:r w:rsidR="00E0219E" w:rsidRPr="007759A3">
        <w:t>on medication adherence among Hispanics with hypertension showed that clients with adequate health literacy have higher adherence scores compared to clients with lower health literacy measures. Thus, health literacy increases after giving health education to patients with hypertension (</w:t>
      </w:r>
      <w:proofErr w:type="spellStart"/>
      <w:r w:rsidR="00E0219E" w:rsidRPr="007759A3">
        <w:t>Xiaorou</w:t>
      </w:r>
      <w:proofErr w:type="spellEnd"/>
      <w:r w:rsidR="00E0219E" w:rsidRPr="007759A3">
        <w:t xml:space="preserve">, Z., </w:t>
      </w:r>
      <w:r w:rsidR="00E0219E" w:rsidRPr="007759A3">
        <w:rPr>
          <w:i/>
        </w:rPr>
        <w:t>et al.</w:t>
      </w:r>
      <w:r w:rsidR="00E0219E" w:rsidRPr="007759A3">
        <w:t>, 2018)</w:t>
      </w:r>
    </w:p>
    <w:p w14:paraId="4C1D00A1" w14:textId="40DFA877" w:rsidR="007C6854" w:rsidRDefault="00E0219E" w:rsidP="007759A3">
      <w:pPr>
        <w:pStyle w:val="Heading2"/>
        <w:spacing w:line="480" w:lineRule="auto"/>
        <w:rPr>
          <w:rFonts w:eastAsia="Arial" w:cs="Arial"/>
          <w:sz w:val="24"/>
          <w:szCs w:val="24"/>
        </w:rPr>
      </w:pPr>
      <w:bookmarkStart w:id="14" w:name="_heading=h.4i7ojhp" w:colFirst="0" w:colLast="0"/>
      <w:bookmarkEnd w:id="14"/>
      <w:r>
        <w:rPr>
          <w:rFonts w:eastAsia="Arial" w:cs="Arial"/>
          <w:sz w:val="24"/>
          <w:szCs w:val="24"/>
        </w:rPr>
        <w:t>Synthesis</w:t>
      </w:r>
    </w:p>
    <w:p w14:paraId="202CDCE8" w14:textId="77777777" w:rsidR="007C6854" w:rsidRDefault="00E0219E" w:rsidP="00113E43">
      <w:pPr>
        <w:spacing w:line="480" w:lineRule="auto"/>
        <w:jc w:val="both"/>
        <w:rPr>
          <w:rFonts w:eastAsia="Arial" w:cs="Arial"/>
          <w:szCs w:val="24"/>
        </w:rPr>
      </w:pPr>
      <w:r>
        <w:rPr>
          <w:rFonts w:eastAsia="Arial" w:cs="Arial"/>
          <w:szCs w:val="24"/>
        </w:rPr>
        <w:tab/>
        <w:t>Hypertension is prevalent in low- and middle-income settings. A study indicates that lower age groups were affected as well as elderly males. Moreover, there was a strong association between marital status, employment status, and hypertension. Another study indicated that hypertension was high among wealthy individuals.</w:t>
      </w:r>
    </w:p>
    <w:p w14:paraId="74236D1F" w14:textId="77777777" w:rsidR="007C6854" w:rsidRDefault="00E0219E" w:rsidP="00113E43">
      <w:pPr>
        <w:spacing w:line="480" w:lineRule="auto"/>
        <w:jc w:val="both"/>
        <w:rPr>
          <w:rFonts w:eastAsia="Arial" w:cs="Arial"/>
          <w:b/>
          <w:szCs w:val="24"/>
        </w:rPr>
      </w:pPr>
      <w:r>
        <w:rPr>
          <w:rFonts w:eastAsia="Arial" w:cs="Arial"/>
          <w:szCs w:val="24"/>
        </w:rPr>
        <w:tab/>
        <w:t>On health literacy, it shows that health literacy is low among lower age groups and high among the elderly. Further health literacy was associated with educational level, socioeconomic status, employment status, annual income, and race.</w:t>
      </w:r>
    </w:p>
    <w:p w14:paraId="0E1E2AFC" w14:textId="77777777" w:rsidR="007C6854" w:rsidRDefault="00E0219E">
      <w:pPr>
        <w:pStyle w:val="Heading1"/>
        <w:spacing w:after="160" w:line="360" w:lineRule="auto"/>
        <w:jc w:val="center"/>
        <w:rPr>
          <w:rFonts w:eastAsia="Arial" w:cs="Arial"/>
        </w:rPr>
      </w:pPr>
      <w:bookmarkStart w:id="15" w:name="_heading=h.i5mfflyxv1zs" w:colFirst="0" w:colLast="0"/>
      <w:bookmarkEnd w:id="15"/>
      <w:r>
        <w:br w:type="page"/>
      </w:r>
    </w:p>
    <w:p w14:paraId="3663CE9A" w14:textId="77777777" w:rsidR="007C6854" w:rsidRDefault="00E0219E">
      <w:pPr>
        <w:pStyle w:val="Heading2"/>
        <w:jc w:val="center"/>
        <w:rPr>
          <w:rFonts w:eastAsia="Arial" w:cs="Arial"/>
          <w:sz w:val="24"/>
          <w:szCs w:val="24"/>
        </w:rPr>
      </w:pPr>
      <w:bookmarkStart w:id="16" w:name="_heading=h.2xcytpi" w:colFirst="0" w:colLast="0"/>
      <w:bookmarkEnd w:id="16"/>
      <w:r>
        <w:rPr>
          <w:rFonts w:eastAsia="Arial" w:cs="Arial"/>
          <w:sz w:val="24"/>
          <w:szCs w:val="24"/>
        </w:rPr>
        <w:lastRenderedPageBreak/>
        <w:t>Conceptual Framework</w:t>
      </w:r>
    </w:p>
    <w:p w14:paraId="2DF9C79B" w14:textId="77777777" w:rsidR="007C6854" w:rsidRDefault="007C6854"/>
    <w:p w14:paraId="626B6118" w14:textId="77777777" w:rsidR="007C6854" w:rsidRDefault="00E0219E" w:rsidP="00113E43">
      <w:pPr>
        <w:pBdr>
          <w:top w:val="nil"/>
          <w:left w:val="nil"/>
          <w:bottom w:val="nil"/>
          <w:right w:val="nil"/>
          <w:between w:val="nil"/>
        </w:pBdr>
        <w:spacing w:after="160" w:line="480" w:lineRule="auto"/>
        <w:jc w:val="both"/>
        <w:rPr>
          <w:rFonts w:eastAsia="Arial" w:cs="Arial"/>
          <w:szCs w:val="24"/>
        </w:rPr>
      </w:pPr>
      <w:r>
        <w:rPr>
          <w:rFonts w:eastAsia="Arial" w:cs="Arial"/>
          <w:szCs w:val="24"/>
        </w:rPr>
        <w:tab/>
        <w:t xml:space="preserve">The conceptual framework of this research follows the degree of adoption of tools utilized in other studies (see Appendix H: Summary of the Research Construct). </w:t>
      </w:r>
    </w:p>
    <w:p w14:paraId="4FE210DE" w14:textId="166E2D2C" w:rsidR="007C6854" w:rsidRPr="005437B0" w:rsidRDefault="00E0219E" w:rsidP="005437B0">
      <w:pPr>
        <w:pStyle w:val="Heading3"/>
        <w:spacing w:line="480" w:lineRule="auto"/>
        <w:rPr>
          <w:rFonts w:eastAsia="Arial" w:cs="Arial"/>
          <w:sz w:val="24"/>
          <w:szCs w:val="24"/>
        </w:rPr>
      </w:pPr>
      <w:bookmarkStart w:id="17" w:name="_heading=h.1ci93xb" w:colFirst="0" w:colLast="0"/>
      <w:bookmarkEnd w:id="17"/>
      <w:r>
        <w:rPr>
          <w:rFonts w:eastAsia="Arial" w:cs="Arial"/>
          <w:sz w:val="24"/>
          <w:szCs w:val="24"/>
        </w:rPr>
        <w:t>Socio-demographic Factors</w:t>
      </w:r>
    </w:p>
    <w:p w14:paraId="296AF43B" w14:textId="3CBE30D3" w:rsidR="005437B0" w:rsidRPr="005437B0" w:rsidRDefault="00E0219E" w:rsidP="005437B0">
      <w:pPr>
        <w:spacing w:after="160" w:line="480" w:lineRule="auto"/>
        <w:jc w:val="both"/>
        <w:rPr>
          <w:rFonts w:eastAsia="Arial" w:cs="Arial"/>
          <w:szCs w:val="24"/>
        </w:rPr>
      </w:pPr>
      <w:r>
        <w:rPr>
          <w:rFonts w:eastAsia="Arial" w:cs="Arial"/>
          <w:szCs w:val="24"/>
        </w:rPr>
        <w:tab/>
        <w:t>Most of the literature reviewed in this research identified that hypertension and health literacy were associated with various demographic data. These include the age, sex, educational status, ethnic or race group, and financial or social status of an individual. This research utilized established variables on demographic data used by survey questionnaires such as the WHO stepwise approach (WHO, 2005), the Urban HEART (WHO, 2010), and local demographic surveys (PSA, 2018; PSA and ICF, 2018; NNC, 2018), which include age, sex, marital status, education, ethnic and cultural sub-groups, health insurance coverage, and wealth status of study participants.</w:t>
      </w:r>
    </w:p>
    <w:p w14:paraId="00D9BEC2" w14:textId="1BC7AAD5" w:rsidR="007C6854" w:rsidRPr="005437B0" w:rsidRDefault="00E0219E" w:rsidP="005437B0">
      <w:pPr>
        <w:pStyle w:val="Heading3"/>
        <w:spacing w:line="480" w:lineRule="auto"/>
        <w:rPr>
          <w:rFonts w:eastAsia="Arial" w:cs="Arial"/>
          <w:sz w:val="24"/>
          <w:szCs w:val="24"/>
        </w:rPr>
      </w:pPr>
      <w:bookmarkStart w:id="18" w:name="_heading=h.3whwml4" w:colFirst="0" w:colLast="0"/>
      <w:bookmarkEnd w:id="18"/>
      <w:r>
        <w:rPr>
          <w:rFonts w:eastAsia="Arial" w:cs="Arial"/>
          <w:sz w:val="24"/>
          <w:szCs w:val="24"/>
        </w:rPr>
        <w:t>Prevalence of Hypertension</w:t>
      </w:r>
    </w:p>
    <w:p w14:paraId="3C77B6F9" w14:textId="77777777" w:rsidR="007C6854" w:rsidRDefault="00E0219E" w:rsidP="00113E43">
      <w:pPr>
        <w:pBdr>
          <w:top w:val="nil"/>
          <w:left w:val="nil"/>
          <w:bottom w:val="nil"/>
          <w:right w:val="nil"/>
          <w:between w:val="nil"/>
        </w:pBdr>
        <w:spacing w:after="160" w:line="480" w:lineRule="auto"/>
        <w:jc w:val="both"/>
        <w:rPr>
          <w:rFonts w:eastAsia="Arial" w:cs="Arial"/>
          <w:color w:val="000000"/>
          <w:szCs w:val="24"/>
        </w:rPr>
      </w:pPr>
      <w:r>
        <w:rPr>
          <w:rFonts w:eastAsia="Arial" w:cs="Arial"/>
          <w:szCs w:val="24"/>
        </w:rPr>
        <w:tab/>
        <w:t>The Food and Nutrition Research Institute targeted the population of 20-year-olds and older in estimating adult prevalence (NNC, 2018). The hypertension prevalence was determined using the proxy indicator utilized in the US-CDC National Health and Nutrition Examination Survey (CDC, n.d.) and the WHO stepwise approach (WHO, 2017). Because</w:t>
      </w:r>
      <w:r>
        <w:rPr>
          <w:rFonts w:eastAsia="Arial" w:cs="Arial"/>
          <w:color w:val="000000"/>
          <w:szCs w:val="24"/>
        </w:rPr>
        <w:t xml:space="preserve"> </w:t>
      </w:r>
      <w:r>
        <w:rPr>
          <w:rFonts w:eastAsia="Arial" w:cs="Arial"/>
          <w:szCs w:val="24"/>
        </w:rPr>
        <w:t xml:space="preserve">of the </w:t>
      </w:r>
      <w:r>
        <w:rPr>
          <w:rFonts w:eastAsia="Arial" w:cs="Arial"/>
          <w:color w:val="000000"/>
          <w:szCs w:val="24"/>
        </w:rPr>
        <w:t>COVID-19 threat and precau</w:t>
      </w:r>
      <w:r>
        <w:rPr>
          <w:rFonts w:eastAsia="Arial" w:cs="Arial"/>
          <w:szCs w:val="24"/>
        </w:rPr>
        <w:t>tionary measures, and to avoid inflicting</w:t>
      </w:r>
      <w:r>
        <w:rPr>
          <w:rFonts w:eastAsia="Arial" w:cs="Arial"/>
          <w:color w:val="000000"/>
          <w:szCs w:val="24"/>
        </w:rPr>
        <w:t xml:space="preserve"> harm to both the researcher and the survey participants</w:t>
      </w:r>
      <w:r>
        <w:rPr>
          <w:rFonts w:eastAsia="Arial" w:cs="Arial"/>
          <w:szCs w:val="24"/>
        </w:rPr>
        <w:t xml:space="preserve"> due to COVID-19</w:t>
      </w:r>
      <w:r>
        <w:rPr>
          <w:rFonts w:eastAsia="Arial" w:cs="Arial"/>
          <w:color w:val="000000"/>
          <w:szCs w:val="24"/>
        </w:rPr>
        <w:t xml:space="preserve">, the </w:t>
      </w:r>
      <w:r>
        <w:rPr>
          <w:rFonts w:eastAsia="Arial" w:cs="Arial"/>
          <w:szCs w:val="24"/>
        </w:rPr>
        <w:t>study</w:t>
      </w:r>
      <w:r>
        <w:rPr>
          <w:rFonts w:eastAsia="Arial" w:cs="Arial"/>
          <w:color w:val="000000"/>
          <w:szCs w:val="24"/>
        </w:rPr>
        <w:t xml:space="preserve"> limits its research operational definition to the following:</w:t>
      </w:r>
    </w:p>
    <w:p w14:paraId="57B34586" w14:textId="77777777" w:rsidR="007C6854" w:rsidRDefault="00000000" w:rsidP="00113E43">
      <w:pPr>
        <w:numPr>
          <w:ilvl w:val="0"/>
          <w:numId w:val="13"/>
        </w:numPr>
        <w:pBdr>
          <w:top w:val="nil"/>
          <w:left w:val="nil"/>
          <w:bottom w:val="nil"/>
          <w:right w:val="nil"/>
          <w:between w:val="nil"/>
        </w:pBdr>
        <w:spacing w:after="160" w:line="480" w:lineRule="auto"/>
        <w:jc w:val="both"/>
        <w:rPr>
          <w:rFonts w:eastAsia="Arial" w:cs="Arial"/>
          <w:color w:val="000000"/>
          <w:szCs w:val="24"/>
        </w:rPr>
      </w:pPr>
      <w:sdt>
        <w:sdtPr>
          <w:tag w:val="goog_rdk_9"/>
          <w:id w:val="1199043818"/>
        </w:sdtPr>
        <w:sdtContent>
          <w:r w:rsidR="00E0219E">
            <w:rPr>
              <w:rFonts w:ascii="Arial Unicode MS" w:eastAsia="Arial Unicode MS" w:hAnsi="Arial Unicode MS" w:cs="Arial Unicode MS"/>
              <w:szCs w:val="24"/>
            </w:rPr>
            <w:t>Hypertension cut-off to ≥140 and/or ≥90 mm Hg, as prescribed by the International Hypertension Society (Unger, T., et al., 2020);</w:t>
          </w:r>
        </w:sdtContent>
      </w:sdt>
    </w:p>
    <w:p w14:paraId="137F0D89" w14:textId="77777777" w:rsidR="007C6854" w:rsidRDefault="00E0219E" w:rsidP="00113E43">
      <w:pPr>
        <w:numPr>
          <w:ilvl w:val="0"/>
          <w:numId w:val="13"/>
        </w:numPr>
        <w:pBdr>
          <w:top w:val="nil"/>
          <w:left w:val="nil"/>
          <w:bottom w:val="nil"/>
          <w:right w:val="nil"/>
          <w:between w:val="nil"/>
        </w:pBdr>
        <w:spacing w:after="160" w:line="480" w:lineRule="auto"/>
        <w:jc w:val="both"/>
        <w:rPr>
          <w:rFonts w:eastAsia="Arial" w:cs="Arial"/>
          <w:color w:val="000000"/>
          <w:szCs w:val="24"/>
        </w:rPr>
      </w:pPr>
      <w:r>
        <w:rPr>
          <w:rFonts w:eastAsia="Arial" w:cs="Arial"/>
          <w:szCs w:val="24"/>
        </w:rPr>
        <w:lastRenderedPageBreak/>
        <w:t>Self-reported blood pressure measurements in the past. This research utilized the International Society of Hypertension Guidelines in classifying the hypertension levels of respondents (Unger, T., et al., 2020; CDC, n.d.). See Appendix F: International Society of Hypertension (ISH) Guidelines;</w:t>
      </w:r>
    </w:p>
    <w:p w14:paraId="0C36EACF" w14:textId="77777777" w:rsidR="007C6854" w:rsidRDefault="00E0219E" w:rsidP="00113E43">
      <w:pPr>
        <w:numPr>
          <w:ilvl w:val="0"/>
          <w:numId w:val="13"/>
        </w:numPr>
        <w:pBdr>
          <w:top w:val="nil"/>
          <w:left w:val="nil"/>
          <w:bottom w:val="nil"/>
          <w:right w:val="nil"/>
          <w:between w:val="nil"/>
        </w:pBdr>
        <w:spacing w:after="160" w:line="480" w:lineRule="auto"/>
        <w:jc w:val="both"/>
        <w:rPr>
          <w:rFonts w:eastAsia="Arial" w:cs="Arial"/>
          <w:color w:val="000000"/>
          <w:szCs w:val="24"/>
        </w:rPr>
      </w:pPr>
      <w:r>
        <w:rPr>
          <w:rFonts w:eastAsia="Arial" w:cs="Arial"/>
          <w:color w:val="000000"/>
          <w:szCs w:val="24"/>
        </w:rPr>
        <w:t>Self-reported use of antihypertensive medication prescribed by a doctor or a health worker in the past two weeks (</w:t>
      </w:r>
      <w:r>
        <w:rPr>
          <w:rFonts w:eastAsia="Arial" w:cs="Arial"/>
          <w:szCs w:val="24"/>
        </w:rPr>
        <w:t>CDC, n.d.</w:t>
      </w:r>
      <w:r>
        <w:rPr>
          <w:rFonts w:eastAsia="Arial" w:cs="Arial"/>
          <w:color w:val="000000"/>
          <w:szCs w:val="24"/>
        </w:rPr>
        <w:t>);</w:t>
      </w:r>
    </w:p>
    <w:p w14:paraId="31DAB6DB" w14:textId="77777777" w:rsidR="007C6854" w:rsidRDefault="00E0219E" w:rsidP="00113E43">
      <w:pPr>
        <w:numPr>
          <w:ilvl w:val="0"/>
          <w:numId w:val="13"/>
        </w:numPr>
        <w:pBdr>
          <w:top w:val="nil"/>
          <w:left w:val="nil"/>
          <w:bottom w:val="nil"/>
          <w:right w:val="nil"/>
          <w:between w:val="nil"/>
        </w:pBdr>
        <w:spacing w:after="160" w:line="480" w:lineRule="auto"/>
        <w:jc w:val="both"/>
        <w:rPr>
          <w:rFonts w:eastAsia="Arial" w:cs="Arial"/>
          <w:color w:val="000000"/>
          <w:szCs w:val="24"/>
        </w:rPr>
      </w:pPr>
      <w:r>
        <w:rPr>
          <w:rFonts w:eastAsia="Arial" w:cs="Arial"/>
          <w:color w:val="000000"/>
          <w:szCs w:val="24"/>
        </w:rPr>
        <w:t>Ever been told by a doctor or health worker of having raised blood pressure or hypertension in the past 12 months (</w:t>
      </w:r>
      <w:r>
        <w:rPr>
          <w:rFonts w:eastAsia="Arial" w:cs="Arial"/>
          <w:szCs w:val="24"/>
        </w:rPr>
        <w:t xml:space="preserve">CDC, n.d.; </w:t>
      </w:r>
      <w:r>
        <w:rPr>
          <w:rFonts w:eastAsia="Arial" w:cs="Arial"/>
          <w:color w:val="000000"/>
          <w:szCs w:val="24"/>
        </w:rPr>
        <w:t>WH</w:t>
      </w:r>
      <w:r>
        <w:rPr>
          <w:rFonts w:eastAsia="Arial" w:cs="Arial"/>
          <w:szCs w:val="24"/>
        </w:rPr>
        <w:t>O, 2017)</w:t>
      </w:r>
      <w:r>
        <w:rPr>
          <w:rFonts w:eastAsia="Arial" w:cs="Arial"/>
          <w:color w:val="000000"/>
          <w:szCs w:val="24"/>
        </w:rPr>
        <w:t xml:space="preserve">. </w:t>
      </w:r>
    </w:p>
    <w:p w14:paraId="2EA5B71E" w14:textId="77777777" w:rsidR="007C6854" w:rsidRDefault="00E0219E" w:rsidP="00113E43">
      <w:pPr>
        <w:pStyle w:val="Heading3"/>
        <w:spacing w:line="480" w:lineRule="auto"/>
        <w:rPr>
          <w:rFonts w:eastAsia="Arial" w:cs="Arial"/>
          <w:sz w:val="24"/>
          <w:szCs w:val="24"/>
        </w:rPr>
      </w:pPr>
      <w:bookmarkStart w:id="19" w:name="_heading=h.2bn6wsx" w:colFirst="0" w:colLast="0"/>
      <w:bookmarkEnd w:id="19"/>
      <w:r>
        <w:rPr>
          <w:rFonts w:eastAsia="Arial" w:cs="Arial"/>
          <w:sz w:val="24"/>
          <w:szCs w:val="24"/>
        </w:rPr>
        <w:t>Health Literacy</w:t>
      </w:r>
    </w:p>
    <w:p w14:paraId="6B05719A" w14:textId="77777777" w:rsidR="00113E43" w:rsidRDefault="00E0219E" w:rsidP="00113E43">
      <w:pPr>
        <w:pBdr>
          <w:top w:val="nil"/>
          <w:left w:val="nil"/>
          <w:bottom w:val="nil"/>
          <w:right w:val="nil"/>
          <w:between w:val="nil"/>
        </w:pBdr>
        <w:spacing w:after="160" w:line="480" w:lineRule="auto"/>
        <w:ind w:firstLine="720"/>
        <w:jc w:val="both"/>
        <w:rPr>
          <w:rFonts w:eastAsia="Arial" w:cs="Arial"/>
          <w:szCs w:val="24"/>
        </w:rPr>
      </w:pPr>
      <w:r>
        <w:rPr>
          <w:rFonts w:eastAsia="Arial" w:cs="Arial"/>
          <w:color w:val="000000"/>
          <w:szCs w:val="24"/>
        </w:rPr>
        <w:t>On the other hand, the research ad</w:t>
      </w:r>
      <w:r>
        <w:rPr>
          <w:rFonts w:eastAsia="Arial" w:cs="Arial"/>
          <w:szCs w:val="24"/>
        </w:rPr>
        <w:t xml:space="preserve">opted Osborne, </w:t>
      </w:r>
      <w:proofErr w:type="spellStart"/>
      <w:r>
        <w:rPr>
          <w:rFonts w:eastAsia="Arial" w:cs="Arial"/>
          <w:szCs w:val="24"/>
        </w:rPr>
        <w:t>Batterham</w:t>
      </w:r>
      <w:proofErr w:type="spellEnd"/>
      <w:r>
        <w:rPr>
          <w:rFonts w:eastAsia="Arial" w:cs="Arial"/>
          <w:szCs w:val="24"/>
        </w:rPr>
        <w:t>, Elsworth, Hawkins, &amp; Buchbinder's (2013)</w:t>
      </w:r>
      <w:r>
        <w:rPr>
          <w:rFonts w:eastAsia="Arial" w:cs="Arial"/>
          <w:color w:val="000000"/>
          <w:szCs w:val="24"/>
        </w:rPr>
        <w:t xml:space="preserve"> measurement of Health Literacy </w:t>
      </w:r>
      <w:r>
        <w:rPr>
          <w:rFonts w:eastAsia="Arial" w:cs="Arial"/>
          <w:szCs w:val="24"/>
        </w:rPr>
        <w:t>(HL),</w:t>
      </w:r>
      <w:r>
        <w:rPr>
          <w:rFonts w:eastAsia="Arial" w:cs="Arial"/>
          <w:color w:val="000000"/>
          <w:szCs w:val="24"/>
        </w:rPr>
        <w:t xml:space="preserve"> which was derived </w:t>
      </w:r>
      <w:r>
        <w:rPr>
          <w:rFonts w:eastAsia="Arial" w:cs="Arial"/>
          <w:szCs w:val="24"/>
        </w:rPr>
        <w:t xml:space="preserve">from </w:t>
      </w:r>
      <w:proofErr w:type="spellStart"/>
      <w:r>
        <w:rPr>
          <w:rFonts w:eastAsia="Arial" w:cs="Arial"/>
          <w:szCs w:val="24"/>
        </w:rPr>
        <w:t>Nutbeam</w:t>
      </w:r>
      <w:proofErr w:type="spellEnd"/>
      <w:r>
        <w:rPr>
          <w:rFonts w:eastAsia="Arial" w:cs="Arial"/>
          <w:szCs w:val="24"/>
        </w:rPr>
        <w:t>, D. (2000) schema of health literacy.</w:t>
      </w:r>
      <w:r>
        <w:rPr>
          <w:rFonts w:eastAsia="Arial" w:cs="Arial"/>
          <w:color w:val="000000"/>
          <w:szCs w:val="24"/>
        </w:rPr>
        <w:t xml:space="preserve"> </w:t>
      </w:r>
      <w:r>
        <w:rPr>
          <w:rFonts w:eastAsia="Arial" w:cs="Arial"/>
          <w:szCs w:val="24"/>
        </w:rPr>
        <w:t>The researcher utilized a</w:t>
      </w:r>
      <w:r>
        <w:rPr>
          <w:rFonts w:eastAsia="Arial" w:cs="Arial"/>
          <w:color w:val="000000"/>
          <w:szCs w:val="24"/>
        </w:rPr>
        <w:t xml:space="preserve"> Health Literacy Questionnaire (HLQ)</w:t>
      </w:r>
      <w:r>
        <w:rPr>
          <w:rFonts w:eastAsia="Arial" w:cs="Arial"/>
          <w:szCs w:val="24"/>
        </w:rPr>
        <w:t xml:space="preserve"> focusing on the three domains of health literacy, namely: Basic</w:t>
      </w:r>
      <w:r>
        <w:rPr>
          <w:rFonts w:eastAsia="Arial" w:cs="Arial"/>
          <w:color w:val="000000"/>
          <w:szCs w:val="24"/>
        </w:rPr>
        <w:t xml:space="preserve">/Functional Health Literacy, Communicative/Interactive Health Literacy, and Critical Health Literacy. </w:t>
      </w:r>
      <w:r>
        <w:rPr>
          <w:rFonts w:eastAsia="Arial" w:cs="Arial"/>
          <w:szCs w:val="24"/>
        </w:rPr>
        <w:t xml:space="preserve">Nine HLQ domains are used in the </w:t>
      </w:r>
      <w:proofErr w:type="spellStart"/>
      <w:r>
        <w:rPr>
          <w:rFonts w:eastAsia="Arial" w:cs="Arial"/>
          <w:szCs w:val="24"/>
        </w:rPr>
        <w:t>Nutbeam</w:t>
      </w:r>
      <w:proofErr w:type="spellEnd"/>
      <w:r>
        <w:rPr>
          <w:rFonts w:eastAsia="Arial" w:cs="Arial"/>
          <w:szCs w:val="24"/>
        </w:rPr>
        <w:t xml:space="preserve"> Schema, which was modified by Osborne, </w:t>
      </w:r>
      <w:proofErr w:type="spellStart"/>
      <w:r>
        <w:rPr>
          <w:rFonts w:eastAsia="Arial" w:cs="Arial"/>
          <w:szCs w:val="24"/>
        </w:rPr>
        <w:t>Batterhan</w:t>
      </w:r>
      <w:proofErr w:type="spellEnd"/>
      <w:r>
        <w:rPr>
          <w:rFonts w:eastAsia="Arial" w:cs="Arial"/>
          <w:szCs w:val="24"/>
        </w:rPr>
        <w:t xml:space="preserve">, Elsworth, Hawkins, and Buchbinder. The nine HLQ domains are sub-categorized and classified based on the </w:t>
      </w:r>
      <w:proofErr w:type="spellStart"/>
      <w:r>
        <w:rPr>
          <w:rFonts w:eastAsia="Arial" w:cs="Arial"/>
          <w:szCs w:val="24"/>
        </w:rPr>
        <w:t>Nutbeam</w:t>
      </w:r>
      <w:proofErr w:type="spellEnd"/>
      <w:r>
        <w:rPr>
          <w:rFonts w:eastAsia="Arial" w:cs="Arial"/>
          <w:szCs w:val="24"/>
        </w:rPr>
        <w:t xml:space="preserve"> Schema (Basic or Functional Health Literacy; Communicative or Interactive Health Literacy; and Critical Health Literacy), as shown in Table 3. The nine HLQ domains were included in order that Basic/Functional HL, Communicative/Interactive HL, and Critical HL would be measured during analysis.</w:t>
      </w:r>
    </w:p>
    <w:p w14:paraId="45C8D7BF" w14:textId="77777777" w:rsidR="00501378" w:rsidRDefault="00501378">
      <w:pPr>
        <w:rPr>
          <w:rFonts w:eastAsia="Arial" w:cs="Arial"/>
          <w:b/>
          <w:szCs w:val="24"/>
        </w:rPr>
      </w:pPr>
      <w:r>
        <w:rPr>
          <w:rFonts w:eastAsia="Arial" w:cs="Arial"/>
          <w:b/>
          <w:szCs w:val="24"/>
        </w:rPr>
        <w:br w:type="page"/>
      </w:r>
    </w:p>
    <w:p w14:paraId="738F4DA6" w14:textId="045B834D" w:rsidR="007C6854" w:rsidRPr="00113E43" w:rsidRDefault="00E0219E" w:rsidP="00113E43">
      <w:pPr>
        <w:pBdr>
          <w:top w:val="nil"/>
          <w:left w:val="nil"/>
          <w:bottom w:val="nil"/>
          <w:right w:val="nil"/>
          <w:between w:val="nil"/>
        </w:pBdr>
        <w:spacing w:after="160" w:line="480" w:lineRule="auto"/>
        <w:jc w:val="both"/>
        <w:rPr>
          <w:rFonts w:eastAsia="Arial" w:cs="Arial"/>
          <w:szCs w:val="24"/>
        </w:rPr>
      </w:pPr>
      <w:r>
        <w:rPr>
          <w:rFonts w:eastAsia="Arial" w:cs="Arial"/>
          <w:b/>
          <w:szCs w:val="24"/>
        </w:rPr>
        <w:lastRenderedPageBreak/>
        <w:t>Table 3</w:t>
      </w:r>
    </w:p>
    <w:p w14:paraId="5BA2CA25" w14:textId="77777777" w:rsidR="007C6854" w:rsidRDefault="00E0219E">
      <w:pPr>
        <w:spacing w:after="160" w:line="360" w:lineRule="auto"/>
        <w:jc w:val="both"/>
        <w:rPr>
          <w:rFonts w:eastAsia="Arial" w:cs="Arial"/>
          <w:i/>
          <w:szCs w:val="24"/>
        </w:rPr>
      </w:pPr>
      <w:proofErr w:type="spellStart"/>
      <w:r>
        <w:rPr>
          <w:rFonts w:eastAsia="Arial" w:cs="Arial"/>
          <w:i/>
          <w:szCs w:val="24"/>
        </w:rPr>
        <w:t>Nutbeam</w:t>
      </w:r>
      <w:proofErr w:type="spellEnd"/>
      <w:r>
        <w:rPr>
          <w:rFonts w:eastAsia="Arial" w:cs="Arial"/>
          <w:i/>
          <w:szCs w:val="24"/>
        </w:rPr>
        <w:t xml:space="preserve"> Schema and Health Literacy Questionnaire Domain categorization</w:t>
      </w:r>
    </w:p>
    <w:tbl>
      <w:tblPr>
        <w:tblStyle w:val="afff3"/>
        <w:tblW w:w="8296"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00" w:firstRow="0" w:lastRow="0" w:firstColumn="0" w:lastColumn="0" w:noHBand="0" w:noVBand="1"/>
      </w:tblPr>
      <w:tblGrid>
        <w:gridCol w:w="4189"/>
        <w:gridCol w:w="4107"/>
      </w:tblGrid>
      <w:tr w:rsidR="007C6854" w14:paraId="70DFA55A" w14:textId="77777777">
        <w:tc>
          <w:tcPr>
            <w:tcW w:w="4189" w:type="dxa"/>
            <w:tcBorders>
              <w:top w:val="single" w:sz="4" w:space="0" w:color="000000"/>
              <w:bottom w:val="single" w:sz="4" w:space="0" w:color="000000"/>
            </w:tcBorders>
            <w:shd w:val="clear" w:color="auto" w:fill="auto"/>
          </w:tcPr>
          <w:p w14:paraId="0F31DC90" w14:textId="77777777" w:rsidR="007C6854" w:rsidRDefault="00E0219E">
            <w:pPr>
              <w:spacing w:after="160"/>
              <w:rPr>
                <w:rFonts w:eastAsia="Arial" w:cs="Arial"/>
                <w:szCs w:val="24"/>
              </w:rPr>
            </w:pPr>
            <w:proofErr w:type="spellStart"/>
            <w:r>
              <w:rPr>
                <w:rFonts w:eastAsia="Arial" w:cs="Arial"/>
                <w:szCs w:val="24"/>
              </w:rPr>
              <w:t>Nutbeam</w:t>
            </w:r>
            <w:proofErr w:type="spellEnd"/>
            <w:r>
              <w:rPr>
                <w:rFonts w:eastAsia="Arial" w:cs="Arial"/>
                <w:szCs w:val="24"/>
              </w:rPr>
              <w:t xml:space="preserve"> Schema</w:t>
            </w:r>
          </w:p>
        </w:tc>
        <w:tc>
          <w:tcPr>
            <w:tcW w:w="4107" w:type="dxa"/>
            <w:tcBorders>
              <w:top w:val="single" w:sz="4" w:space="0" w:color="000000"/>
              <w:bottom w:val="single" w:sz="4" w:space="0" w:color="000000"/>
            </w:tcBorders>
            <w:shd w:val="clear" w:color="auto" w:fill="auto"/>
          </w:tcPr>
          <w:p w14:paraId="06E7421A" w14:textId="77777777" w:rsidR="007C6854" w:rsidRDefault="00E0219E">
            <w:pPr>
              <w:spacing w:after="160"/>
              <w:rPr>
                <w:rFonts w:eastAsia="Arial" w:cs="Arial"/>
                <w:szCs w:val="24"/>
              </w:rPr>
            </w:pPr>
            <w:r>
              <w:rPr>
                <w:rFonts w:eastAsia="Arial" w:cs="Arial"/>
                <w:szCs w:val="24"/>
              </w:rPr>
              <w:t>HLQ domains</w:t>
            </w:r>
          </w:p>
        </w:tc>
      </w:tr>
      <w:tr w:rsidR="007C6854" w14:paraId="66E89479" w14:textId="77777777">
        <w:tc>
          <w:tcPr>
            <w:tcW w:w="4189" w:type="dxa"/>
            <w:tcBorders>
              <w:top w:val="single" w:sz="4" w:space="0" w:color="000000"/>
            </w:tcBorders>
            <w:shd w:val="clear" w:color="auto" w:fill="auto"/>
          </w:tcPr>
          <w:p w14:paraId="4ED75997" w14:textId="77777777" w:rsidR="007C6854" w:rsidRDefault="00E0219E">
            <w:pPr>
              <w:numPr>
                <w:ilvl w:val="1"/>
                <w:numId w:val="15"/>
              </w:numPr>
              <w:spacing w:after="160" w:line="360" w:lineRule="auto"/>
              <w:rPr>
                <w:rFonts w:eastAsia="Arial" w:cs="Arial"/>
                <w:szCs w:val="24"/>
              </w:rPr>
            </w:pPr>
            <w:r>
              <w:rPr>
                <w:rFonts w:eastAsia="Arial" w:cs="Arial"/>
                <w:szCs w:val="24"/>
              </w:rPr>
              <w:t>Basic or Functional Health Literacy</w:t>
            </w:r>
          </w:p>
        </w:tc>
        <w:tc>
          <w:tcPr>
            <w:tcW w:w="4107" w:type="dxa"/>
            <w:tcBorders>
              <w:top w:val="single" w:sz="4" w:space="0" w:color="000000"/>
            </w:tcBorders>
            <w:shd w:val="clear" w:color="auto" w:fill="auto"/>
          </w:tcPr>
          <w:p w14:paraId="3694E546" w14:textId="77777777" w:rsidR="007C6854" w:rsidRDefault="00E0219E">
            <w:pPr>
              <w:spacing w:after="160" w:line="360" w:lineRule="auto"/>
              <w:rPr>
                <w:rFonts w:eastAsia="Arial" w:cs="Arial"/>
                <w:szCs w:val="24"/>
              </w:rPr>
            </w:pPr>
            <w:r>
              <w:rPr>
                <w:rFonts w:eastAsia="Arial" w:cs="Arial"/>
                <w:szCs w:val="24"/>
              </w:rPr>
              <w:t>(9) Understanding health information well enough to know what to do</w:t>
            </w:r>
          </w:p>
          <w:p w14:paraId="092C8C18" w14:textId="77777777" w:rsidR="007C6854" w:rsidRDefault="00E0219E">
            <w:pPr>
              <w:spacing w:after="160" w:line="360" w:lineRule="auto"/>
              <w:rPr>
                <w:rFonts w:eastAsia="Arial" w:cs="Arial"/>
                <w:szCs w:val="24"/>
              </w:rPr>
            </w:pPr>
            <w:r>
              <w:rPr>
                <w:rFonts w:eastAsia="Arial" w:cs="Arial"/>
                <w:szCs w:val="24"/>
              </w:rPr>
              <w:t>(2) Having sufficient information to manage my health</w:t>
            </w:r>
          </w:p>
          <w:p w14:paraId="0D072A25" w14:textId="77777777" w:rsidR="007C6854" w:rsidRDefault="00E0219E">
            <w:pPr>
              <w:spacing w:after="160" w:line="360" w:lineRule="auto"/>
              <w:rPr>
                <w:rFonts w:eastAsia="Arial" w:cs="Arial"/>
                <w:szCs w:val="24"/>
              </w:rPr>
            </w:pPr>
            <w:r>
              <w:rPr>
                <w:rFonts w:eastAsia="Arial" w:cs="Arial"/>
                <w:szCs w:val="24"/>
              </w:rPr>
              <w:t>(8) Ability to find good quality health information</w:t>
            </w:r>
          </w:p>
        </w:tc>
      </w:tr>
      <w:tr w:rsidR="007C6854" w14:paraId="771720B0" w14:textId="77777777">
        <w:tc>
          <w:tcPr>
            <w:tcW w:w="4189" w:type="dxa"/>
            <w:tcBorders>
              <w:bottom w:val="single" w:sz="4" w:space="0" w:color="FFFFFF"/>
            </w:tcBorders>
            <w:shd w:val="clear" w:color="auto" w:fill="auto"/>
          </w:tcPr>
          <w:p w14:paraId="0394C74B" w14:textId="77777777" w:rsidR="007C6854" w:rsidRDefault="00E0219E">
            <w:pPr>
              <w:numPr>
                <w:ilvl w:val="0"/>
                <w:numId w:val="15"/>
              </w:numPr>
              <w:spacing w:after="160" w:line="360" w:lineRule="auto"/>
              <w:rPr>
                <w:rFonts w:eastAsia="Arial" w:cs="Arial"/>
                <w:szCs w:val="24"/>
              </w:rPr>
            </w:pPr>
            <w:r>
              <w:rPr>
                <w:rFonts w:eastAsia="Arial" w:cs="Arial"/>
                <w:szCs w:val="24"/>
              </w:rPr>
              <w:t>Communicative or Interactive Health Literacy</w:t>
            </w:r>
          </w:p>
        </w:tc>
        <w:tc>
          <w:tcPr>
            <w:tcW w:w="4107" w:type="dxa"/>
            <w:tcBorders>
              <w:bottom w:val="single" w:sz="4" w:space="0" w:color="FFFFFF"/>
            </w:tcBorders>
            <w:shd w:val="clear" w:color="auto" w:fill="auto"/>
          </w:tcPr>
          <w:p w14:paraId="7DAE39D8" w14:textId="77777777" w:rsidR="007C6854" w:rsidRDefault="00E0219E">
            <w:pPr>
              <w:spacing w:after="160" w:line="360" w:lineRule="auto"/>
              <w:rPr>
                <w:rFonts w:eastAsia="Arial" w:cs="Arial"/>
                <w:szCs w:val="24"/>
              </w:rPr>
            </w:pPr>
            <w:r>
              <w:rPr>
                <w:rFonts w:eastAsia="Arial" w:cs="Arial"/>
                <w:szCs w:val="24"/>
              </w:rPr>
              <w:t>(1) Feeling understood and supported by healthcare providers</w:t>
            </w:r>
          </w:p>
          <w:p w14:paraId="1FEE1D1D" w14:textId="77777777" w:rsidR="007C6854" w:rsidRDefault="00E0219E">
            <w:pPr>
              <w:spacing w:after="160" w:line="360" w:lineRule="auto"/>
              <w:rPr>
                <w:rFonts w:eastAsia="Arial" w:cs="Arial"/>
                <w:szCs w:val="24"/>
              </w:rPr>
            </w:pPr>
            <w:r>
              <w:rPr>
                <w:rFonts w:eastAsia="Arial" w:cs="Arial"/>
                <w:szCs w:val="24"/>
              </w:rPr>
              <w:t>(3) Actively managing my health</w:t>
            </w:r>
          </w:p>
          <w:p w14:paraId="0CDFAEF1" w14:textId="77777777" w:rsidR="007C6854" w:rsidRDefault="00E0219E">
            <w:pPr>
              <w:spacing w:after="160" w:line="360" w:lineRule="auto"/>
              <w:rPr>
                <w:rFonts w:eastAsia="Arial" w:cs="Arial"/>
                <w:szCs w:val="24"/>
              </w:rPr>
            </w:pPr>
            <w:r>
              <w:rPr>
                <w:rFonts w:eastAsia="Arial" w:cs="Arial"/>
                <w:szCs w:val="24"/>
              </w:rPr>
              <w:t>(4) Social support for health</w:t>
            </w:r>
          </w:p>
          <w:p w14:paraId="7C46F903" w14:textId="77777777" w:rsidR="007C6854" w:rsidRDefault="00E0219E">
            <w:pPr>
              <w:spacing w:after="160" w:line="360" w:lineRule="auto"/>
              <w:rPr>
                <w:rFonts w:eastAsia="Arial" w:cs="Arial"/>
                <w:szCs w:val="24"/>
              </w:rPr>
            </w:pPr>
            <w:r>
              <w:rPr>
                <w:rFonts w:eastAsia="Arial" w:cs="Arial"/>
                <w:szCs w:val="24"/>
              </w:rPr>
              <w:t>(6) Ability to actively engage with a healthcare provider</w:t>
            </w:r>
          </w:p>
          <w:p w14:paraId="49CBE166" w14:textId="77777777" w:rsidR="007C6854" w:rsidRDefault="00E0219E">
            <w:pPr>
              <w:spacing w:after="160" w:line="360" w:lineRule="auto"/>
              <w:rPr>
                <w:rFonts w:eastAsia="Arial" w:cs="Arial"/>
                <w:szCs w:val="24"/>
              </w:rPr>
            </w:pPr>
            <w:r>
              <w:rPr>
                <w:rFonts w:eastAsia="Arial" w:cs="Arial"/>
                <w:szCs w:val="24"/>
              </w:rPr>
              <w:t>(7) Navigating the health system</w:t>
            </w:r>
          </w:p>
          <w:p w14:paraId="2D92E2E4" w14:textId="77777777" w:rsidR="007C6854" w:rsidRDefault="00E0219E">
            <w:pPr>
              <w:spacing w:after="160" w:line="360" w:lineRule="auto"/>
              <w:rPr>
                <w:rFonts w:eastAsia="Arial" w:cs="Arial"/>
                <w:szCs w:val="24"/>
              </w:rPr>
            </w:pPr>
            <w:r>
              <w:rPr>
                <w:rFonts w:eastAsia="Arial" w:cs="Arial"/>
                <w:szCs w:val="24"/>
              </w:rPr>
              <w:t>(8) Ability to find good quality health information</w:t>
            </w:r>
          </w:p>
        </w:tc>
      </w:tr>
      <w:tr w:rsidR="007C6854" w14:paraId="01984BFE" w14:textId="77777777">
        <w:tc>
          <w:tcPr>
            <w:tcW w:w="4189" w:type="dxa"/>
            <w:tcBorders>
              <w:bottom w:val="single" w:sz="4" w:space="0" w:color="000000"/>
            </w:tcBorders>
            <w:shd w:val="clear" w:color="auto" w:fill="auto"/>
          </w:tcPr>
          <w:p w14:paraId="4D4DF44D" w14:textId="77777777" w:rsidR="007C6854" w:rsidRDefault="00E0219E">
            <w:pPr>
              <w:numPr>
                <w:ilvl w:val="0"/>
                <w:numId w:val="15"/>
              </w:numPr>
              <w:spacing w:after="160" w:line="360" w:lineRule="auto"/>
              <w:rPr>
                <w:rFonts w:eastAsia="Arial" w:cs="Arial"/>
                <w:szCs w:val="24"/>
              </w:rPr>
            </w:pPr>
            <w:r>
              <w:rPr>
                <w:rFonts w:eastAsia="Arial" w:cs="Arial"/>
                <w:szCs w:val="24"/>
              </w:rPr>
              <w:t>Critical Health Literacy</w:t>
            </w:r>
          </w:p>
        </w:tc>
        <w:tc>
          <w:tcPr>
            <w:tcW w:w="4107" w:type="dxa"/>
            <w:tcBorders>
              <w:bottom w:val="single" w:sz="4" w:space="0" w:color="000000"/>
            </w:tcBorders>
            <w:shd w:val="clear" w:color="auto" w:fill="auto"/>
          </w:tcPr>
          <w:p w14:paraId="42A20B42" w14:textId="77777777" w:rsidR="007C6854" w:rsidRDefault="00E0219E">
            <w:pPr>
              <w:spacing w:after="160" w:line="360" w:lineRule="auto"/>
              <w:rPr>
                <w:rFonts w:eastAsia="Arial" w:cs="Arial"/>
                <w:szCs w:val="24"/>
              </w:rPr>
            </w:pPr>
            <w:r>
              <w:rPr>
                <w:rFonts w:eastAsia="Arial" w:cs="Arial"/>
                <w:szCs w:val="24"/>
              </w:rPr>
              <w:t>(5) Appraisal of health information</w:t>
            </w:r>
          </w:p>
          <w:p w14:paraId="5D96C249" w14:textId="77777777" w:rsidR="007C6854" w:rsidRDefault="00E0219E">
            <w:pPr>
              <w:spacing w:after="160" w:line="360" w:lineRule="auto"/>
              <w:rPr>
                <w:rFonts w:eastAsia="Arial" w:cs="Arial"/>
                <w:szCs w:val="24"/>
              </w:rPr>
            </w:pPr>
            <w:r>
              <w:rPr>
                <w:rFonts w:eastAsia="Arial" w:cs="Arial"/>
                <w:szCs w:val="24"/>
              </w:rPr>
              <w:t>(3) Actively managing my health</w:t>
            </w:r>
          </w:p>
          <w:p w14:paraId="7BA84627" w14:textId="77777777" w:rsidR="007C6854" w:rsidRDefault="00E0219E">
            <w:pPr>
              <w:spacing w:after="160" w:line="360" w:lineRule="auto"/>
              <w:rPr>
                <w:rFonts w:eastAsia="Arial" w:cs="Arial"/>
                <w:szCs w:val="24"/>
              </w:rPr>
            </w:pPr>
            <w:r>
              <w:rPr>
                <w:rFonts w:eastAsia="Arial" w:cs="Arial"/>
                <w:szCs w:val="24"/>
              </w:rPr>
              <w:t>(4) Social support for health</w:t>
            </w:r>
          </w:p>
        </w:tc>
      </w:tr>
    </w:tbl>
    <w:p w14:paraId="4AA812A2" w14:textId="77777777" w:rsidR="007C6854" w:rsidRDefault="007C6854">
      <w:pPr>
        <w:spacing w:after="160" w:line="360" w:lineRule="auto"/>
        <w:rPr>
          <w:rFonts w:eastAsia="Arial" w:cs="Arial"/>
          <w:szCs w:val="24"/>
        </w:rPr>
      </w:pPr>
    </w:p>
    <w:p w14:paraId="2CDFB602" w14:textId="77777777" w:rsidR="007C6854" w:rsidRDefault="00E0219E">
      <w:pPr>
        <w:pBdr>
          <w:top w:val="nil"/>
          <w:left w:val="nil"/>
          <w:bottom w:val="nil"/>
          <w:right w:val="nil"/>
          <w:between w:val="nil"/>
        </w:pBdr>
        <w:spacing w:after="160" w:line="360" w:lineRule="auto"/>
        <w:jc w:val="both"/>
        <w:rPr>
          <w:rFonts w:eastAsia="Arial" w:cs="Arial"/>
          <w:color w:val="000000"/>
          <w:szCs w:val="24"/>
        </w:rPr>
      </w:pPr>
      <w:bookmarkStart w:id="20" w:name="_heading=h.5dnrqb4aftus" w:colFirst="0" w:colLast="0"/>
      <w:bookmarkEnd w:id="20"/>
      <w:r>
        <w:rPr>
          <w:rFonts w:eastAsia="Arial" w:cs="Arial"/>
          <w:szCs w:val="24"/>
        </w:rPr>
        <w:lastRenderedPageBreak/>
        <w:tab/>
        <w:t>The conceptual</w:t>
      </w:r>
      <w:r>
        <w:rPr>
          <w:rFonts w:eastAsia="Arial" w:cs="Arial"/>
          <w:color w:val="000000"/>
          <w:szCs w:val="24"/>
        </w:rPr>
        <w:t xml:space="preserve"> framework </w:t>
      </w:r>
      <w:r>
        <w:rPr>
          <w:rFonts w:eastAsia="Arial" w:cs="Arial"/>
          <w:szCs w:val="24"/>
        </w:rPr>
        <w:t xml:space="preserve">was articulated </w:t>
      </w:r>
      <w:r>
        <w:rPr>
          <w:rFonts w:eastAsia="Arial" w:cs="Arial"/>
          <w:color w:val="000000"/>
          <w:szCs w:val="24"/>
        </w:rPr>
        <w:t xml:space="preserve">below to </w:t>
      </w:r>
      <w:r>
        <w:rPr>
          <w:rFonts w:eastAsia="Arial" w:cs="Arial"/>
          <w:szCs w:val="24"/>
        </w:rPr>
        <w:t>show</w:t>
      </w:r>
      <w:r>
        <w:rPr>
          <w:rFonts w:eastAsia="Arial" w:cs="Arial"/>
          <w:color w:val="000000"/>
          <w:szCs w:val="24"/>
        </w:rPr>
        <w:t xml:space="preserve"> the</w:t>
      </w:r>
      <w:r>
        <w:rPr>
          <w:rFonts w:eastAsia="Arial" w:cs="Arial"/>
          <w:szCs w:val="24"/>
        </w:rPr>
        <w:t xml:space="preserve"> association of</w:t>
      </w:r>
      <w:r>
        <w:rPr>
          <w:rFonts w:eastAsia="Arial" w:cs="Arial"/>
          <w:color w:val="000000"/>
          <w:szCs w:val="24"/>
        </w:rPr>
        <w:t xml:space="preserve"> other </w:t>
      </w:r>
      <w:r>
        <w:rPr>
          <w:rFonts w:eastAsia="Arial" w:cs="Arial"/>
          <w:szCs w:val="24"/>
        </w:rPr>
        <w:t>factors,</w:t>
      </w:r>
      <w:r>
        <w:rPr>
          <w:rFonts w:eastAsia="Arial" w:cs="Arial"/>
          <w:color w:val="000000"/>
          <w:szCs w:val="24"/>
        </w:rPr>
        <w:t xml:space="preserve"> such as socio-demographic information and health literacy </w:t>
      </w:r>
      <w:r>
        <w:rPr>
          <w:rFonts w:eastAsia="Arial" w:cs="Arial"/>
          <w:szCs w:val="24"/>
        </w:rPr>
        <w:t>among urban settlers, with hypertension as mentioned above</w:t>
      </w:r>
      <w:r>
        <w:rPr>
          <w:rFonts w:eastAsia="Arial" w:cs="Arial"/>
          <w:color w:val="000000"/>
          <w:szCs w:val="24"/>
        </w:rPr>
        <w:t xml:space="preserve"> (Figure1).</w:t>
      </w:r>
    </w:p>
    <w:p w14:paraId="1D5631E9" w14:textId="77777777" w:rsidR="007C6854" w:rsidRDefault="00E0219E">
      <w:pPr>
        <w:spacing w:after="160" w:line="360" w:lineRule="auto"/>
        <w:jc w:val="both"/>
        <w:rPr>
          <w:rFonts w:eastAsia="Arial" w:cs="Arial"/>
          <w:b/>
          <w:szCs w:val="24"/>
        </w:rPr>
      </w:pPr>
      <w:r>
        <w:rPr>
          <w:rFonts w:eastAsia="Arial" w:cs="Arial"/>
          <w:szCs w:val="24"/>
        </w:rPr>
        <w:t>Figure 1.</w:t>
      </w:r>
      <w:r>
        <w:rPr>
          <w:rFonts w:eastAsia="Arial" w:cs="Arial"/>
          <w:b/>
          <w:szCs w:val="24"/>
        </w:rPr>
        <w:t xml:space="preserve"> </w:t>
      </w:r>
      <w:r>
        <w:rPr>
          <w:rFonts w:eastAsia="Arial" w:cs="Arial"/>
          <w:szCs w:val="24"/>
        </w:rPr>
        <w:t>Conceptual framework showing the association of socio-demographic variables and health literacy of urban settlers with hypertension</w:t>
      </w:r>
    </w:p>
    <w:p w14:paraId="0EC5808E" w14:textId="77777777" w:rsidR="007C6854" w:rsidRDefault="00E0219E">
      <w:pPr>
        <w:spacing w:after="160" w:line="360" w:lineRule="auto"/>
        <w:jc w:val="center"/>
        <w:rPr>
          <w:rFonts w:eastAsia="Arial" w:cs="Arial"/>
          <w:b/>
          <w:color w:val="000000"/>
          <w:szCs w:val="24"/>
        </w:rPr>
      </w:pPr>
      <w:r>
        <w:rPr>
          <w:rFonts w:eastAsia="Arial" w:cs="Arial"/>
          <w:noProof/>
        </w:rPr>
        <w:drawing>
          <wp:inline distT="0" distB="0" distL="0" distR="0" wp14:anchorId="67161230" wp14:editId="54C4B38C">
            <wp:extent cx="4848446" cy="5119688"/>
            <wp:effectExtent l="0" t="0" r="0" b="0"/>
            <wp:docPr id="68" name="image6.png" descr="Diagram&#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6.png" descr="Diagram&#10;&#10;Description automatically generated with medium confidence"/>
                    <pic:cNvPicPr preferRelativeResize="0"/>
                  </pic:nvPicPr>
                  <pic:blipFill>
                    <a:blip r:embed="rId38"/>
                    <a:srcRect/>
                    <a:stretch>
                      <a:fillRect/>
                    </a:stretch>
                  </pic:blipFill>
                  <pic:spPr>
                    <a:xfrm>
                      <a:off x="0" y="0"/>
                      <a:ext cx="4848446" cy="5119688"/>
                    </a:xfrm>
                    <a:prstGeom prst="rect">
                      <a:avLst/>
                    </a:prstGeom>
                    <a:ln/>
                  </pic:spPr>
                </pic:pic>
              </a:graphicData>
            </a:graphic>
          </wp:inline>
        </w:drawing>
      </w:r>
    </w:p>
    <w:p w14:paraId="49E170F2" w14:textId="77777777" w:rsidR="007C6854" w:rsidRDefault="007C6854">
      <w:pPr>
        <w:spacing w:after="160" w:line="360" w:lineRule="auto"/>
        <w:rPr>
          <w:rFonts w:eastAsia="Arial" w:cs="Arial"/>
          <w:b/>
          <w:color w:val="000000"/>
          <w:szCs w:val="24"/>
        </w:rPr>
      </w:pPr>
    </w:p>
    <w:p w14:paraId="68B6D7F1" w14:textId="77777777" w:rsidR="007C6854" w:rsidRDefault="00E0219E">
      <w:pPr>
        <w:spacing w:after="160" w:line="360" w:lineRule="auto"/>
        <w:rPr>
          <w:rFonts w:eastAsia="Arial" w:cs="Arial"/>
          <w:b/>
          <w:szCs w:val="24"/>
        </w:rPr>
      </w:pPr>
      <w:r>
        <w:br w:type="page"/>
      </w:r>
    </w:p>
    <w:p w14:paraId="49872532" w14:textId="77777777" w:rsidR="007C6854" w:rsidRDefault="00E0219E">
      <w:pPr>
        <w:pStyle w:val="Heading2"/>
        <w:jc w:val="center"/>
        <w:rPr>
          <w:rFonts w:eastAsia="Arial" w:cs="Arial"/>
          <w:sz w:val="24"/>
          <w:szCs w:val="24"/>
        </w:rPr>
      </w:pPr>
      <w:bookmarkStart w:id="21" w:name="_heading=h.qsh70q" w:colFirst="0" w:colLast="0"/>
      <w:bookmarkEnd w:id="21"/>
      <w:r>
        <w:rPr>
          <w:rFonts w:eastAsia="Arial" w:cs="Arial"/>
          <w:sz w:val="24"/>
          <w:szCs w:val="24"/>
        </w:rPr>
        <w:lastRenderedPageBreak/>
        <w:t>Operational Definition</w:t>
      </w:r>
    </w:p>
    <w:p w14:paraId="60AAD78A" w14:textId="77777777" w:rsidR="007C6854" w:rsidRDefault="007C6854"/>
    <w:p w14:paraId="151BA3F3" w14:textId="77777777" w:rsidR="007C6854" w:rsidRDefault="00E0219E" w:rsidP="00113E43">
      <w:pPr>
        <w:spacing w:after="160" w:line="480" w:lineRule="auto"/>
        <w:jc w:val="both"/>
        <w:rPr>
          <w:rFonts w:eastAsia="Arial" w:cs="Arial"/>
          <w:szCs w:val="24"/>
        </w:rPr>
      </w:pPr>
      <w:r>
        <w:rPr>
          <w:rFonts w:eastAsia="Arial" w:cs="Arial"/>
          <w:szCs w:val="24"/>
        </w:rPr>
        <w:t>The study limits its definitions to the terms utilized in the study. This was decided for consistency and adaptation for future research if this study is replicated in a large population-based survey.</w:t>
      </w:r>
    </w:p>
    <w:p w14:paraId="606D5A72" w14:textId="77777777" w:rsidR="007C6854" w:rsidRDefault="00E0219E">
      <w:pPr>
        <w:spacing w:after="160" w:line="360" w:lineRule="auto"/>
        <w:jc w:val="center"/>
        <w:rPr>
          <w:rFonts w:eastAsia="Arial" w:cs="Arial"/>
          <w:b/>
          <w:szCs w:val="24"/>
        </w:rPr>
      </w:pPr>
      <w:r>
        <w:rPr>
          <w:rFonts w:eastAsia="Arial" w:cs="Arial"/>
          <w:b/>
          <w:szCs w:val="24"/>
        </w:rPr>
        <w:t>Definition of Terms</w:t>
      </w:r>
    </w:p>
    <w:p w14:paraId="5E33B7F4" w14:textId="77777777" w:rsidR="007C6854" w:rsidRDefault="00E0219E" w:rsidP="00113E43">
      <w:pPr>
        <w:spacing w:after="160" w:line="480" w:lineRule="auto"/>
        <w:jc w:val="both"/>
        <w:rPr>
          <w:rFonts w:eastAsia="Arial" w:cs="Arial"/>
          <w:szCs w:val="24"/>
        </w:rPr>
      </w:pPr>
      <w:r>
        <w:rPr>
          <w:rFonts w:eastAsia="Arial" w:cs="Arial"/>
          <w:b/>
          <w:szCs w:val="24"/>
        </w:rPr>
        <w:t>Hypertension</w:t>
      </w:r>
      <w:sdt>
        <w:sdtPr>
          <w:tag w:val="goog_rdk_10"/>
          <w:id w:val="645483504"/>
        </w:sdtPr>
        <w:sdtContent>
          <w:r>
            <w:rPr>
              <w:rFonts w:ascii="Arial Unicode MS" w:eastAsia="Arial Unicode MS" w:hAnsi="Arial Unicode MS" w:cs="Arial Unicode MS"/>
              <w:szCs w:val="24"/>
            </w:rPr>
            <w:t xml:space="preserve"> is defined by “a mean systolic BP (SBP) ≥140 mmHg or a mean diastolic BP (DBP) ≥90 mmHg (Unger, T., et al., 2020). However, due to the COVID-19 threat and precautionary measures of getting the virus and inflicting harm to both the researcher and the survey participants, the researcher limits its research operational definition to the following:</w:t>
          </w:r>
        </w:sdtContent>
      </w:sdt>
    </w:p>
    <w:p w14:paraId="0125051B" w14:textId="77777777" w:rsidR="007C6854" w:rsidRDefault="00E0219E" w:rsidP="00113E43">
      <w:pPr>
        <w:numPr>
          <w:ilvl w:val="0"/>
          <w:numId w:val="16"/>
        </w:numPr>
        <w:spacing w:after="0" w:line="480" w:lineRule="auto"/>
        <w:jc w:val="both"/>
        <w:rPr>
          <w:rFonts w:eastAsia="Arial" w:cs="Arial"/>
          <w:szCs w:val="24"/>
        </w:rPr>
      </w:pPr>
      <w:r>
        <w:rPr>
          <w:rFonts w:eastAsia="Arial" w:cs="Arial"/>
          <w:szCs w:val="24"/>
        </w:rPr>
        <w:t xml:space="preserve">Self-reported blood pressure is blood pressure measurement history taken at a clinic or healthcare facility by a health worker. This was  termed as office blood pressure measurement as defined by International Society of Hypertension (ISH) (Unger, T. et al., 2020; </w:t>
      </w:r>
      <w:r>
        <w:rPr>
          <w:rFonts w:eastAsia="Arial" w:cs="Arial"/>
          <w:color w:val="222222"/>
          <w:szCs w:val="24"/>
          <w:highlight w:val="white"/>
        </w:rPr>
        <w:t>Asayama, K., Ohkubo, T., &amp; Imai, Y., 2021</w:t>
      </w:r>
      <w:r>
        <w:rPr>
          <w:rFonts w:eastAsia="Arial" w:cs="Arial"/>
          <w:szCs w:val="24"/>
        </w:rPr>
        <w:t>), “</w:t>
      </w:r>
      <w:r>
        <w:rPr>
          <w:rFonts w:eastAsia="Arial" w:cs="Arial"/>
          <w:color w:val="222222"/>
          <w:szCs w:val="24"/>
          <w:highlight w:val="white"/>
        </w:rPr>
        <w:t>Conventional blood pressure, which is measured at an office or in a screening setting by a sphygmomanometer, has been used as the gold standard of blood pressure measurement techniques regardless of the guidelines based on cumulative evidence and common use in clinical practice; or</w:t>
      </w:r>
    </w:p>
    <w:p w14:paraId="04417AC9" w14:textId="77777777" w:rsidR="007C6854" w:rsidRDefault="00E0219E" w:rsidP="00113E43">
      <w:pPr>
        <w:numPr>
          <w:ilvl w:val="0"/>
          <w:numId w:val="16"/>
        </w:numPr>
        <w:spacing w:after="0" w:line="480" w:lineRule="auto"/>
        <w:jc w:val="both"/>
        <w:rPr>
          <w:rFonts w:eastAsia="Arial" w:cs="Arial"/>
          <w:szCs w:val="24"/>
        </w:rPr>
      </w:pPr>
      <w:r>
        <w:rPr>
          <w:rFonts w:eastAsia="Arial" w:cs="Arial"/>
          <w:szCs w:val="24"/>
        </w:rPr>
        <w:t xml:space="preserve">Self-reported use of antihypertensive medication prescribed by a doctor or a health worker in the past two weeks; and/or </w:t>
      </w:r>
    </w:p>
    <w:p w14:paraId="5F10174F" w14:textId="77777777" w:rsidR="007C6854" w:rsidRDefault="00E0219E" w:rsidP="00113E43">
      <w:pPr>
        <w:numPr>
          <w:ilvl w:val="0"/>
          <w:numId w:val="16"/>
        </w:numPr>
        <w:spacing w:after="160" w:line="480" w:lineRule="auto"/>
        <w:jc w:val="both"/>
        <w:rPr>
          <w:rFonts w:eastAsia="Arial" w:cs="Arial"/>
          <w:szCs w:val="24"/>
        </w:rPr>
      </w:pPr>
      <w:r>
        <w:rPr>
          <w:rFonts w:eastAsia="Arial" w:cs="Arial"/>
          <w:szCs w:val="24"/>
        </w:rPr>
        <w:t xml:space="preserve">Have you ever been told by a doctor or health worker if you have raised blood pressure or had hypertension in the past 12 months. </w:t>
      </w:r>
    </w:p>
    <w:p w14:paraId="70D95FC9" w14:textId="77777777" w:rsidR="00007D2E" w:rsidRDefault="00E0219E" w:rsidP="00007D2E">
      <w:pPr>
        <w:spacing w:after="160" w:line="480" w:lineRule="auto"/>
        <w:jc w:val="both"/>
        <w:rPr>
          <w:rFonts w:eastAsia="Arial" w:cs="Arial"/>
          <w:szCs w:val="24"/>
        </w:rPr>
      </w:pPr>
      <w:r>
        <w:rPr>
          <w:rFonts w:eastAsia="Arial" w:cs="Arial"/>
          <w:b/>
          <w:szCs w:val="24"/>
        </w:rPr>
        <w:t>Health literacy</w:t>
      </w:r>
      <w:r>
        <w:rPr>
          <w:rFonts w:eastAsia="Arial" w:cs="Arial"/>
          <w:szCs w:val="24"/>
        </w:rPr>
        <w:t xml:space="preserve"> is defined as the total or median score measured from Basic or Functional Health Literacy, Communicative or Interactive Health Literacy, and Critical </w:t>
      </w:r>
      <w:r>
        <w:rPr>
          <w:rFonts w:eastAsia="Arial" w:cs="Arial"/>
          <w:szCs w:val="24"/>
        </w:rPr>
        <w:lastRenderedPageBreak/>
        <w:t xml:space="preserve">Health Literacy, according to Don </w:t>
      </w:r>
      <w:proofErr w:type="spellStart"/>
      <w:r>
        <w:rPr>
          <w:rFonts w:eastAsia="Arial" w:cs="Arial"/>
          <w:szCs w:val="24"/>
        </w:rPr>
        <w:t>Nutbeam</w:t>
      </w:r>
      <w:proofErr w:type="spellEnd"/>
      <w:r>
        <w:rPr>
          <w:rFonts w:eastAsia="Arial" w:cs="Arial"/>
          <w:szCs w:val="24"/>
        </w:rPr>
        <w:t xml:space="preserve">, which was adopted by Osborne, </w:t>
      </w:r>
      <w:proofErr w:type="spellStart"/>
      <w:r>
        <w:rPr>
          <w:rFonts w:eastAsia="Arial" w:cs="Arial"/>
          <w:szCs w:val="24"/>
        </w:rPr>
        <w:t>Batterham</w:t>
      </w:r>
      <w:proofErr w:type="spellEnd"/>
      <w:r>
        <w:rPr>
          <w:rFonts w:eastAsia="Arial" w:cs="Arial"/>
          <w:szCs w:val="24"/>
        </w:rPr>
        <w:t>, Elsworth, Hawkins, &amp; Buchbinder (2013).</w:t>
      </w:r>
    </w:p>
    <w:p w14:paraId="641B1214" w14:textId="77777777" w:rsidR="00007D2E" w:rsidRDefault="00E0219E" w:rsidP="00007D2E">
      <w:pPr>
        <w:spacing w:after="160" w:line="480" w:lineRule="auto"/>
        <w:jc w:val="both"/>
        <w:rPr>
          <w:rFonts w:eastAsia="Arial" w:cs="Arial"/>
          <w:szCs w:val="24"/>
        </w:rPr>
      </w:pPr>
      <w:r>
        <w:rPr>
          <w:rFonts w:eastAsia="Arial" w:cs="Arial"/>
          <w:b/>
          <w:szCs w:val="24"/>
        </w:rPr>
        <w:t xml:space="preserve">Basic or Functional Literacy </w:t>
      </w:r>
      <w:r>
        <w:rPr>
          <w:rFonts w:eastAsia="Arial" w:cs="Arial"/>
          <w:szCs w:val="24"/>
        </w:rPr>
        <w:t>refers to sufficient basic skills in reading and writing to be able to function effectively in everyday situations, broadly compatible with the narrow definition of ‘health literacy’ referred to above</w:t>
      </w:r>
    </w:p>
    <w:p w14:paraId="485D4E4E" w14:textId="77777777" w:rsidR="00007D2E" w:rsidRDefault="00E0219E" w:rsidP="00007D2E">
      <w:pPr>
        <w:spacing w:after="160" w:line="480" w:lineRule="auto"/>
        <w:jc w:val="both"/>
        <w:rPr>
          <w:rFonts w:eastAsia="Arial" w:cs="Arial"/>
          <w:szCs w:val="24"/>
        </w:rPr>
      </w:pPr>
      <w:r>
        <w:rPr>
          <w:rFonts w:eastAsia="Arial" w:cs="Arial"/>
          <w:b/>
          <w:szCs w:val="24"/>
        </w:rPr>
        <w:t>Communicative or Interactive Literacy</w:t>
      </w:r>
      <w:r>
        <w:rPr>
          <w:rFonts w:eastAsia="Arial" w:cs="Arial"/>
          <w:szCs w:val="24"/>
        </w:rPr>
        <w:t xml:space="preserve"> refers to more advanced cognitive and literacy skills that, together with social skills, can be used to actively participate in everyday activities, extract information and derive meaning from different forms of communication, and apply new information to changing circumstances.</w:t>
      </w:r>
    </w:p>
    <w:p w14:paraId="691F5AF7" w14:textId="51DDE314" w:rsidR="007C6854" w:rsidRPr="00113E43" w:rsidRDefault="00E0219E" w:rsidP="00007D2E">
      <w:pPr>
        <w:spacing w:after="160" w:line="480" w:lineRule="auto"/>
        <w:jc w:val="both"/>
        <w:rPr>
          <w:rFonts w:eastAsia="Arial" w:cs="Arial"/>
          <w:szCs w:val="24"/>
        </w:rPr>
      </w:pPr>
      <w:r>
        <w:rPr>
          <w:rFonts w:eastAsia="Arial" w:cs="Arial"/>
          <w:b/>
          <w:szCs w:val="24"/>
        </w:rPr>
        <w:t>Critical Literacy</w:t>
      </w:r>
      <w:r>
        <w:rPr>
          <w:rFonts w:eastAsia="Arial" w:cs="Arial"/>
          <w:szCs w:val="24"/>
        </w:rPr>
        <w:t xml:space="preserve"> refers to more advanced cognitive skills that, together with social skills, can be applied to critically analyze information and use this information to exert greater control over life events and situations.</w:t>
      </w:r>
    </w:p>
    <w:p w14:paraId="72F194D0" w14:textId="68508357" w:rsidR="007C6854" w:rsidRDefault="00007D2E" w:rsidP="00113E43">
      <w:pPr>
        <w:spacing w:after="160" w:line="480" w:lineRule="auto"/>
        <w:jc w:val="both"/>
        <w:rPr>
          <w:rFonts w:eastAsia="Arial" w:cs="Arial"/>
          <w:color w:val="0A0A0A"/>
          <w:szCs w:val="24"/>
        </w:rPr>
      </w:pPr>
      <w:r>
        <w:rPr>
          <w:rFonts w:eastAsia="Arial" w:cs="Arial"/>
          <w:b/>
          <w:szCs w:val="24"/>
        </w:rPr>
        <w:t xml:space="preserve">Urban Areas </w:t>
      </w:r>
      <w:r w:rsidR="00E0219E">
        <w:rPr>
          <w:rFonts w:eastAsia="Arial" w:cs="Arial"/>
          <w:color w:val="0A0A0A"/>
          <w:szCs w:val="24"/>
        </w:rPr>
        <w:t xml:space="preserve">refer to all cities regardless of their population density and to municipalities with a population density of at least 500 persons per square kilometer (PCUP, n.d.). </w:t>
      </w:r>
    </w:p>
    <w:p w14:paraId="38E6DCA9" w14:textId="31AB63F5" w:rsidR="007C6854" w:rsidRDefault="00007D2E" w:rsidP="00113E43">
      <w:pPr>
        <w:spacing w:after="160" w:line="480" w:lineRule="auto"/>
        <w:jc w:val="both"/>
        <w:rPr>
          <w:rFonts w:eastAsia="Arial" w:cs="Arial"/>
          <w:color w:val="0A0A0A"/>
          <w:szCs w:val="24"/>
        </w:rPr>
      </w:pPr>
      <w:r>
        <w:rPr>
          <w:rFonts w:eastAsia="Arial" w:cs="Arial"/>
          <w:b/>
          <w:color w:val="2A2A2A"/>
          <w:szCs w:val="24"/>
        </w:rPr>
        <w:t>Urban Poor</w:t>
      </w:r>
      <w:r w:rsidR="00E0219E">
        <w:rPr>
          <w:rFonts w:eastAsia="Arial" w:cs="Arial"/>
          <w:b/>
          <w:color w:val="2A2A2A"/>
          <w:szCs w:val="24"/>
        </w:rPr>
        <w:t xml:space="preserve"> </w:t>
      </w:r>
      <w:r w:rsidR="00E0219E">
        <w:rPr>
          <w:rFonts w:eastAsia="Arial" w:cs="Arial"/>
          <w:color w:val="2A2A2A"/>
          <w:szCs w:val="24"/>
        </w:rPr>
        <w:t xml:space="preserve">refers to individuals or families in urban areas with incomes below the poverty line as defined by the National Statistical Coordinating Board (NSCB). </w:t>
      </w:r>
      <w:r w:rsidR="00E0219E">
        <w:rPr>
          <w:rFonts w:eastAsia="Arial" w:cs="Arial"/>
          <w:color w:val="0A0A0A"/>
          <w:szCs w:val="24"/>
        </w:rPr>
        <w:t xml:space="preserve">They are the underprivileged or homeless sector of society—the unemployed, underemployed, and irregularly employed—or who are incapable of meeting the minimum basic needs and who live in slums, squatter and resettlement areas, sidewalks, dumpsites, road right-of-way, cemeteries, unoccupied government or private lands, or along danger zones like railroad tracks, </w:t>
      </w:r>
      <w:r w:rsidR="00E0219E">
        <w:rPr>
          <w:rFonts w:eastAsia="Arial" w:cs="Arial"/>
          <w:i/>
          <w:color w:val="0A0A0A"/>
          <w:szCs w:val="24"/>
        </w:rPr>
        <w:t>esteros</w:t>
      </w:r>
      <w:r w:rsidR="00E0219E">
        <w:rPr>
          <w:rFonts w:eastAsia="Arial" w:cs="Arial"/>
          <w:color w:val="0A0A0A"/>
          <w:szCs w:val="24"/>
        </w:rPr>
        <w:t>, riverbanks, high-tension wires, or other places in urban areas (PCUP, n.d.).</w:t>
      </w:r>
    </w:p>
    <w:p w14:paraId="40973851" w14:textId="77777777" w:rsidR="007C6854" w:rsidRDefault="00E0219E" w:rsidP="00113E43">
      <w:pPr>
        <w:pStyle w:val="Heading1"/>
        <w:jc w:val="center"/>
        <w:rPr>
          <w:rFonts w:eastAsia="Arial" w:cs="Arial"/>
          <w:sz w:val="24"/>
          <w:szCs w:val="24"/>
        </w:rPr>
      </w:pPr>
      <w:bookmarkStart w:id="22" w:name="_heading=h.3as4poj" w:colFirst="0" w:colLast="0"/>
      <w:bookmarkEnd w:id="22"/>
      <w:r>
        <w:br w:type="page"/>
      </w:r>
      <w:r>
        <w:rPr>
          <w:rFonts w:eastAsia="Arial" w:cs="Arial"/>
          <w:sz w:val="24"/>
          <w:szCs w:val="24"/>
        </w:rPr>
        <w:lastRenderedPageBreak/>
        <w:t>CHAPTER III:</w:t>
      </w:r>
    </w:p>
    <w:p w14:paraId="04584B01" w14:textId="77777777" w:rsidR="007C6854" w:rsidRDefault="00E0219E">
      <w:pPr>
        <w:pStyle w:val="Heading1"/>
        <w:jc w:val="center"/>
        <w:rPr>
          <w:rFonts w:eastAsia="Arial" w:cs="Arial"/>
          <w:sz w:val="24"/>
          <w:szCs w:val="24"/>
        </w:rPr>
      </w:pPr>
      <w:bookmarkStart w:id="23" w:name="_heading=h.1pxezwc" w:colFirst="0" w:colLast="0"/>
      <w:bookmarkEnd w:id="23"/>
      <w:r>
        <w:rPr>
          <w:rFonts w:eastAsia="Arial" w:cs="Arial"/>
          <w:sz w:val="24"/>
          <w:szCs w:val="24"/>
        </w:rPr>
        <w:t>RESEARCH METHODOLOGY</w:t>
      </w:r>
    </w:p>
    <w:p w14:paraId="4A421518" w14:textId="77777777" w:rsidR="007C6854" w:rsidRDefault="00E0219E">
      <w:pPr>
        <w:pStyle w:val="Heading2"/>
        <w:jc w:val="center"/>
        <w:rPr>
          <w:rFonts w:eastAsia="Arial" w:cs="Arial"/>
          <w:sz w:val="24"/>
          <w:szCs w:val="24"/>
        </w:rPr>
      </w:pPr>
      <w:bookmarkStart w:id="24" w:name="_heading=h.49x2ik5" w:colFirst="0" w:colLast="0"/>
      <w:bookmarkEnd w:id="24"/>
      <w:r>
        <w:rPr>
          <w:rFonts w:eastAsia="Arial" w:cs="Arial"/>
          <w:sz w:val="24"/>
          <w:szCs w:val="24"/>
        </w:rPr>
        <w:t>Research Design</w:t>
      </w:r>
    </w:p>
    <w:p w14:paraId="6430083E" w14:textId="77777777" w:rsidR="007C6854" w:rsidRDefault="007C6854"/>
    <w:p w14:paraId="0B96041C" w14:textId="77777777" w:rsidR="00E865ED" w:rsidRDefault="00E0219E" w:rsidP="00E865ED">
      <w:pPr>
        <w:pBdr>
          <w:top w:val="nil"/>
          <w:left w:val="nil"/>
          <w:bottom w:val="nil"/>
          <w:right w:val="nil"/>
          <w:between w:val="nil"/>
        </w:pBdr>
        <w:spacing w:after="160" w:line="480" w:lineRule="auto"/>
        <w:ind w:firstLine="420"/>
        <w:jc w:val="both"/>
        <w:rPr>
          <w:rFonts w:eastAsia="Arial" w:cs="Arial"/>
          <w:color w:val="000000"/>
          <w:szCs w:val="24"/>
        </w:rPr>
      </w:pPr>
      <w:bookmarkStart w:id="25" w:name="_heading=h.1fob9te" w:colFirst="0" w:colLast="0"/>
      <w:bookmarkEnd w:id="25"/>
      <w:r>
        <w:rPr>
          <w:rFonts w:eastAsia="Arial" w:cs="Arial"/>
          <w:color w:val="000000"/>
          <w:szCs w:val="24"/>
        </w:rPr>
        <w:t xml:space="preserve">A </w:t>
      </w:r>
      <w:r>
        <w:rPr>
          <w:rFonts w:eastAsia="Arial" w:cs="Arial"/>
          <w:szCs w:val="24"/>
        </w:rPr>
        <w:t>cross-sectional</w:t>
      </w:r>
      <w:r>
        <w:rPr>
          <w:rFonts w:eastAsia="Arial" w:cs="Arial"/>
          <w:color w:val="000000"/>
          <w:szCs w:val="24"/>
        </w:rPr>
        <w:t xml:space="preserve"> study design was employed. </w:t>
      </w:r>
      <w:r>
        <w:rPr>
          <w:rFonts w:eastAsia="Arial" w:cs="Arial"/>
          <w:szCs w:val="24"/>
        </w:rPr>
        <w:t>(</w:t>
      </w:r>
      <w:proofErr w:type="spellStart"/>
      <w:r>
        <w:rPr>
          <w:rFonts w:eastAsia="Arial" w:cs="Arial"/>
          <w:color w:val="000000"/>
          <w:szCs w:val="24"/>
        </w:rPr>
        <w:t>Soussa</w:t>
      </w:r>
      <w:proofErr w:type="spellEnd"/>
      <w:r>
        <w:rPr>
          <w:rFonts w:eastAsia="Arial" w:cs="Arial"/>
          <w:color w:val="000000"/>
          <w:szCs w:val="24"/>
        </w:rPr>
        <w:t xml:space="preserve">, </w:t>
      </w:r>
      <w:r>
        <w:rPr>
          <w:rFonts w:eastAsia="Arial" w:cs="Arial"/>
          <w:szCs w:val="24"/>
        </w:rPr>
        <w:t>V.D.</w:t>
      </w:r>
      <w:r>
        <w:rPr>
          <w:rFonts w:eastAsia="Arial" w:cs="Arial"/>
          <w:color w:val="000000"/>
          <w:szCs w:val="24"/>
        </w:rPr>
        <w:t>, et al., 2007)</w:t>
      </w:r>
      <w:r>
        <w:rPr>
          <w:rFonts w:eastAsia="Arial" w:cs="Arial"/>
          <w:szCs w:val="24"/>
        </w:rPr>
        <w:t xml:space="preserve"> A</w:t>
      </w:r>
      <w:r>
        <w:rPr>
          <w:rFonts w:eastAsia="Arial" w:cs="Arial"/>
          <w:color w:val="000000"/>
          <w:szCs w:val="24"/>
        </w:rPr>
        <w:t xml:space="preserve"> systematic investigation of the nature of the association or relationship between and among variables was conducted. I</w:t>
      </w:r>
      <w:r>
        <w:rPr>
          <w:rFonts w:eastAsia="Arial" w:cs="Arial"/>
          <w:szCs w:val="24"/>
        </w:rPr>
        <w:t>n addition, t</w:t>
      </w:r>
      <w:r>
        <w:rPr>
          <w:rFonts w:eastAsia="Arial" w:cs="Arial"/>
          <w:color w:val="000000"/>
          <w:szCs w:val="24"/>
        </w:rPr>
        <w:t xml:space="preserve">he </w:t>
      </w:r>
      <w:r>
        <w:rPr>
          <w:rFonts w:eastAsia="Arial" w:cs="Arial"/>
          <w:szCs w:val="24"/>
        </w:rPr>
        <w:t>researcher decided on the design to use to</w:t>
      </w:r>
      <w:r>
        <w:rPr>
          <w:rFonts w:eastAsia="Arial" w:cs="Arial"/>
          <w:color w:val="000000"/>
          <w:szCs w:val="24"/>
        </w:rPr>
        <w:t xml:space="preserve"> examine the changes in one or more variables </w:t>
      </w:r>
      <w:r>
        <w:rPr>
          <w:rFonts w:eastAsia="Arial" w:cs="Arial"/>
          <w:szCs w:val="24"/>
        </w:rPr>
        <w:t>and determine</w:t>
      </w:r>
      <w:r>
        <w:rPr>
          <w:rFonts w:eastAsia="Arial" w:cs="Arial"/>
          <w:color w:val="000000"/>
          <w:szCs w:val="24"/>
        </w:rPr>
        <w:t xml:space="preserve"> if </w:t>
      </w:r>
      <w:r>
        <w:rPr>
          <w:rFonts w:eastAsia="Arial" w:cs="Arial"/>
          <w:szCs w:val="24"/>
        </w:rPr>
        <w:t>they</w:t>
      </w:r>
      <w:r>
        <w:rPr>
          <w:rFonts w:eastAsia="Arial" w:cs="Arial"/>
          <w:color w:val="000000"/>
          <w:szCs w:val="24"/>
        </w:rPr>
        <w:t xml:space="preserve"> </w:t>
      </w:r>
      <w:r>
        <w:rPr>
          <w:rFonts w:eastAsia="Arial" w:cs="Arial"/>
          <w:szCs w:val="24"/>
        </w:rPr>
        <w:t>are</w:t>
      </w:r>
      <w:r>
        <w:rPr>
          <w:rFonts w:eastAsia="Arial" w:cs="Arial"/>
          <w:color w:val="000000"/>
          <w:szCs w:val="24"/>
        </w:rPr>
        <w:t xml:space="preserve"> related to the </w:t>
      </w:r>
      <w:r>
        <w:rPr>
          <w:rFonts w:eastAsia="Arial" w:cs="Arial"/>
          <w:szCs w:val="24"/>
        </w:rPr>
        <w:t>changes</w:t>
      </w:r>
      <w:r>
        <w:rPr>
          <w:rFonts w:eastAsia="Arial" w:cs="Arial"/>
          <w:color w:val="000000"/>
          <w:szCs w:val="24"/>
        </w:rPr>
        <w:t xml:space="preserve"> in </w:t>
      </w:r>
      <w:r>
        <w:rPr>
          <w:rFonts w:eastAsia="Arial" w:cs="Arial"/>
          <w:szCs w:val="24"/>
        </w:rPr>
        <w:t>other</w:t>
      </w:r>
      <w:r>
        <w:rPr>
          <w:rFonts w:eastAsia="Arial" w:cs="Arial"/>
          <w:color w:val="000000"/>
          <w:szCs w:val="24"/>
        </w:rPr>
        <w:t xml:space="preserve"> variables. </w:t>
      </w:r>
    </w:p>
    <w:p w14:paraId="552D05A9" w14:textId="5564802C" w:rsidR="007C6854" w:rsidRPr="00E865ED" w:rsidRDefault="00E0219E" w:rsidP="00E865ED">
      <w:pPr>
        <w:pBdr>
          <w:top w:val="nil"/>
          <w:left w:val="nil"/>
          <w:bottom w:val="nil"/>
          <w:right w:val="nil"/>
          <w:between w:val="nil"/>
        </w:pBdr>
        <w:spacing w:after="160" w:line="480" w:lineRule="auto"/>
        <w:jc w:val="both"/>
        <w:rPr>
          <w:rFonts w:eastAsia="Arial" w:cs="Arial"/>
          <w:color w:val="000000"/>
          <w:szCs w:val="24"/>
        </w:rPr>
      </w:pPr>
      <w:r>
        <w:rPr>
          <w:rFonts w:eastAsia="Arial" w:cs="Arial"/>
          <w:i/>
          <w:szCs w:val="24"/>
        </w:rPr>
        <w:t>Inclusion Criteria</w:t>
      </w:r>
    </w:p>
    <w:p w14:paraId="3D03C9E1" w14:textId="74B3E6DA" w:rsidR="00E865ED" w:rsidRDefault="00E0219E" w:rsidP="00E865ED">
      <w:pPr>
        <w:pBdr>
          <w:top w:val="nil"/>
          <w:left w:val="nil"/>
          <w:bottom w:val="nil"/>
          <w:right w:val="nil"/>
          <w:between w:val="nil"/>
        </w:pBdr>
        <w:spacing w:after="160" w:line="480" w:lineRule="auto"/>
        <w:ind w:hanging="720"/>
        <w:jc w:val="both"/>
        <w:rPr>
          <w:rFonts w:eastAsia="Arial" w:cs="Arial"/>
          <w:szCs w:val="24"/>
        </w:rPr>
      </w:pPr>
      <w:bookmarkStart w:id="26" w:name="_heading=h.wqyh6uyztk47" w:colFirst="0" w:colLast="0"/>
      <w:bookmarkEnd w:id="26"/>
      <w:r>
        <w:rPr>
          <w:rFonts w:eastAsia="Arial" w:cs="Arial"/>
          <w:szCs w:val="24"/>
        </w:rPr>
        <w:tab/>
      </w:r>
      <w:r w:rsidR="00E865ED">
        <w:rPr>
          <w:rFonts w:eastAsia="Arial" w:cs="Arial"/>
          <w:szCs w:val="24"/>
        </w:rPr>
        <w:tab/>
      </w:r>
      <w:r>
        <w:rPr>
          <w:rFonts w:eastAsia="Arial" w:cs="Arial"/>
          <w:szCs w:val="24"/>
        </w:rPr>
        <w:t xml:space="preserve">The research included study participants who were from the communities of </w:t>
      </w:r>
      <w:proofErr w:type="spellStart"/>
      <w:r>
        <w:rPr>
          <w:rFonts w:eastAsia="Arial" w:cs="Arial"/>
          <w:szCs w:val="24"/>
        </w:rPr>
        <w:t>Bukuhan</w:t>
      </w:r>
      <w:proofErr w:type="spellEnd"/>
      <w:r>
        <w:rPr>
          <w:rFonts w:eastAsia="Arial" w:cs="Arial"/>
          <w:szCs w:val="24"/>
        </w:rPr>
        <w:t xml:space="preserve"> Zone 1 and Zone 2 in Santa Ana, Pateros, Metro Manila. The study also includes study participants ages 20 and above who are mentally sound. More so, the researcher included only those who were present at the time of the survey.</w:t>
      </w:r>
      <w:bookmarkStart w:id="27" w:name="_heading=h.kby4rzbw29e4" w:colFirst="0" w:colLast="0"/>
      <w:bookmarkEnd w:id="27"/>
    </w:p>
    <w:p w14:paraId="1B0D7007" w14:textId="77777777" w:rsidR="00E865ED" w:rsidRDefault="00E0219E" w:rsidP="00E865ED">
      <w:pPr>
        <w:pBdr>
          <w:top w:val="nil"/>
          <w:left w:val="nil"/>
          <w:bottom w:val="nil"/>
          <w:right w:val="nil"/>
          <w:between w:val="nil"/>
        </w:pBdr>
        <w:spacing w:after="160" w:line="480" w:lineRule="auto"/>
        <w:ind w:left="720" w:hanging="720"/>
        <w:jc w:val="both"/>
        <w:rPr>
          <w:rFonts w:eastAsia="Arial" w:cs="Arial"/>
          <w:szCs w:val="24"/>
        </w:rPr>
      </w:pPr>
      <w:r>
        <w:rPr>
          <w:rFonts w:eastAsia="Arial" w:cs="Arial"/>
          <w:i/>
          <w:szCs w:val="24"/>
        </w:rPr>
        <w:t>Exclusion Criteria</w:t>
      </w:r>
      <w:bookmarkStart w:id="28" w:name="_heading=h.c7cnvuancu73" w:colFirst="0" w:colLast="0"/>
      <w:bookmarkEnd w:id="28"/>
    </w:p>
    <w:p w14:paraId="521B9D85" w14:textId="536C16CF" w:rsidR="007C6854" w:rsidRDefault="00E865ED" w:rsidP="00E865ED">
      <w:pPr>
        <w:pBdr>
          <w:top w:val="nil"/>
          <w:left w:val="nil"/>
          <w:bottom w:val="nil"/>
          <w:right w:val="nil"/>
          <w:between w:val="nil"/>
        </w:pBdr>
        <w:spacing w:after="160" w:line="480" w:lineRule="auto"/>
        <w:jc w:val="both"/>
        <w:rPr>
          <w:rFonts w:eastAsia="Arial" w:cs="Arial"/>
          <w:szCs w:val="24"/>
        </w:rPr>
      </w:pPr>
      <w:r>
        <w:rPr>
          <w:rFonts w:eastAsia="Arial" w:cs="Arial"/>
          <w:szCs w:val="24"/>
        </w:rPr>
        <w:tab/>
      </w:r>
      <w:r w:rsidR="00E0219E">
        <w:rPr>
          <w:rFonts w:eastAsia="Arial" w:cs="Arial"/>
          <w:szCs w:val="24"/>
        </w:rPr>
        <w:t xml:space="preserve">The study excluded participants who are not residents of the </w:t>
      </w:r>
      <w:proofErr w:type="spellStart"/>
      <w:r w:rsidR="00E0219E">
        <w:rPr>
          <w:rFonts w:eastAsia="Arial" w:cs="Arial"/>
          <w:szCs w:val="24"/>
        </w:rPr>
        <w:t>Bukuhan</w:t>
      </w:r>
      <w:proofErr w:type="spellEnd"/>
      <w:r w:rsidR="00E0219E">
        <w:rPr>
          <w:rFonts w:eastAsia="Arial" w:cs="Arial"/>
          <w:szCs w:val="24"/>
        </w:rPr>
        <w:t xml:space="preserve"> community, who are less than 20 years old, and who are mentally challenged.</w:t>
      </w:r>
    </w:p>
    <w:p w14:paraId="502EC99E" w14:textId="755FD16B" w:rsidR="007C6854" w:rsidRPr="00535869" w:rsidRDefault="00E0219E" w:rsidP="00535869">
      <w:pPr>
        <w:pStyle w:val="Heading2"/>
        <w:spacing w:line="480" w:lineRule="auto"/>
        <w:jc w:val="center"/>
        <w:rPr>
          <w:rFonts w:eastAsia="Arial" w:cs="Arial"/>
          <w:sz w:val="24"/>
          <w:szCs w:val="24"/>
        </w:rPr>
      </w:pPr>
      <w:bookmarkStart w:id="29" w:name="_heading=h.2p2csry" w:colFirst="0" w:colLast="0"/>
      <w:bookmarkEnd w:id="29"/>
      <w:r>
        <w:rPr>
          <w:rFonts w:eastAsia="Arial" w:cs="Arial"/>
          <w:sz w:val="24"/>
          <w:szCs w:val="24"/>
        </w:rPr>
        <w:t>Sampling Technique</w:t>
      </w:r>
    </w:p>
    <w:p w14:paraId="4AE68086" w14:textId="77777777" w:rsidR="00E865ED" w:rsidRDefault="00535869" w:rsidP="00E865ED">
      <w:pPr>
        <w:spacing w:line="480" w:lineRule="auto"/>
        <w:jc w:val="both"/>
        <w:rPr>
          <w:rFonts w:eastAsia="Arial" w:cs="Arial"/>
          <w:szCs w:val="24"/>
        </w:rPr>
      </w:pPr>
      <w:bookmarkStart w:id="30" w:name="_heading=h.2et92p0" w:colFirst="0" w:colLast="0"/>
      <w:bookmarkEnd w:id="30"/>
      <w:r>
        <w:rPr>
          <w:rFonts w:eastAsia="Arial" w:cs="Arial"/>
          <w:szCs w:val="24"/>
        </w:rPr>
        <w:tab/>
      </w:r>
      <w:r w:rsidR="00E0219E">
        <w:rPr>
          <w:rFonts w:eastAsia="Arial" w:cs="Arial"/>
          <w:szCs w:val="24"/>
        </w:rPr>
        <w:t xml:space="preserve">Purposive sampling, also known as expert judgment sampling, was applied to this study. The research applied typical case sampling and maximum variation sampling, allowing an exploratory sampling strategy. (Dudovskiy, n.d.) This type of sampling method enhances the likelihood of a high participation rate. The purposive sampling technique utilized a non-probability method, and the researcher was aware </w:t>
      </w:r>
      <w:r w:rsidR="00E0219E">
        <w:rPr>
          <w:rFonts w:eastAsia="Arial" w:cs="Arial"/>
          <w:szCs w:val="24"/>
        </w:rPr>
        <w:lastRenderedPageBreak/>
        <w:t xml:space="preserve">of its limitations and the issue of generalization. However, using the researcher’s judgment in selecting every individual aged 20 and above living in the community, the research objectives were achieved. But, since the data collection was conducted during the daytime, there was an unbalanced identification among gender groups, and a greater number of participants were captured among higher age groups. </w:t>
      </w:r>
    </w:p>
    <w:p w14:paraId="5B407DEA" w14:textId="07DD8321" w:rsidR="007C6854" w:rsidRPr="00E865ED" w:rsidRDefault="00E865ED" w:rsidP="00E865ED">
      <w:pPr>
        <w:spacing w:line="480" w:lineRule="auto"/>
        <w:jc w:val="both"/>
        <w:rPr>
          <w:rFonts w:eastAsia="Arial" w:cs="Arial"/>
          <w:szCs w:val="24"/>
        </w:rPr>
      </w:pPr>
      <w:r>
        <w:rPr>
          <w:rFonts w:eastAsia="Arial" w:cs="Arial"/>
          <w:szCs w:val="24"/>
        </w:rPr>
        <w:tab/>
      </w:r>
      <w:r w:rsidR="00E0219E">
        <w:rPr>
          <w:rFonts w:eastAsia="Arial" w:cs="Arial"/>
          <w:szCs w:val="24"/>
        </w:rPr>
        <w:t xml:space="preserve">A total of 151 study participants were surveyed. During the sample size calculation, a target number of 161 survey participants was first determined, considering the recruitment period of a month and a half. However, a sample size of 149 was considered acceptable based on the sample size adjustment (see Appendix F for the computation of sample size). </w:t>
      </w:r>
    </w:p>
    <w:p w14:paraId="542B64EE" w14:textId="77777777" w:rsidR="007C6854" w:rsidRDefault="00E0219E" w:rsidP="00113E43">
      <w:pPr>
        <w:pStyle w:val="Heading2"/>
        <w:spacing w:line="480" w:lineRule="auto"/>
        <w:jc w:val="center"/>
        <w:rPr>
          <w:rFonts w:eastAsia="Arial" w:cs="Arial"/>
          <w:sz w:val="24"/>
          <w:szCs w:val="24"/>
        </w:rPr>
      </w:pPr>
      <w:bookmarkStart w:id="31" w:name="_heading=h.147n2zr" w:colFirst="0" w:colLast="0"/>
      <w:bookmarkEnd w:id="31"/>
      <w:r>
        <w:rPr>
          <w:rFonts w:eastAsia="Arial" w:cs="Arial"/>
          <w:sz w:val="24"/>
          <w:szCs w:val="24"/>
        </w:rPr>
        <w:t>Settings and Participants</w:t>
      </w:r>
    </w:p>
    <w:p w14:paraId="0C59D513" w14:textId="1C2B5AA0" w:rsidR="007C6854" w:rsidRDefault="00E0219E" w:rsidP="00535869">
      <w:pPr>
        <w:spacing w:line="480" w:lineRule="auto"/>
        <w:ind w:firstLine="720"/>
        <w:jc w:val="both"/>
        <w:rPr>
          <w:rFonts w:eastAsia="Arial" w:cs="Arial"/>
          <w:b/>
          <w:szCs w:val="24"/>
        </w:rPr>
      </w:pPr>
      <w:r>
        <w:rPr>
          <w:rFonts w:eastAsia="Arial" w:cs="Arial"/>
          <w:color w:val="0A0A0A"/>
          <w:szCs w:val="24"/>
        </w:rPr>
        <w:t xml:space="preserve">Pateros, being the smallest municipality in terms of land area and the only municipality in the National Capital Region, was highly urbanized. It had a population density of 6,138 people per square kilometer in 2015. The largest barangay in terms of land area and population was Santa Ana (PSA, 2017). </w:t>
      </w:r>
      <w:r>
        <w:rPr>
          <w:rFonts w:eastAsia="Arial" w:cs="Arial"/>
          <w:szCs w:val="24"/>
        </w:rPr>
        <w:t xml:space="preserve">The researcher selected the urban poor community of </w:t>
      </w:r>
      <w:proofErr w:type="spellStart"/>
      <w:r>
        <w:rPr>
          <w:rFonts w:eastAsia="Arial" w:cs="Arial"/>
          <w:szCs w:val="24"/>
        </w:rPr>
        <w:t>Bukuhan</w:t>
      </w:r>
      <w:proofErr w:type="spellEnd"/>
      <w:r>
        <w:rPr>
          <w:rFonts w:eastAsia="Arial" w:cs="Arial"/>
          <w:szCs w:val="24"/>
        </w:rPr>
        <w:t xml:space="preserve"> in Barangay Sta. Ana Pateros. It is one of the largest urban poor communities in Santa Ana, Pateros, which extends its boundaries from Zone 1 to Zone 2. The number of respondents surveyed from each community was 44% in Zone 1, Santa Ana, and 56% in Zone 2, Santa Ana. (Appendix G: Estimation of the Adult Population, 20 years old and above)</w:t>
      </w:r>
    </w:p>
    <w:p w14:paraId="2C9D8792" w14:textId="46406957" w:rsidR="007C6854" w:rsidRPr="00113E43" w:rsidRDefault="00E0219E" w:rsidP="00113E43">
      <w:pPr>
        <w:pStyle w:val="Heading2"/>
        <w:spacing w:line="480" w:lineRule="auto"/>
        <w:jc w:val="center"/>
        <w:rPr>
          <w:rFonts w:eastAsia="Arial" w:cs="Arial"/>
          <w:sz w:val="24"/>
          <w:szCs w:val="24"/>
        </w:rPr>
      </w:pPr>
      <w:bookmarkStart w:id="32" w:name="_heading=h.3o7alnk" w:colFirst="0" w:colLast="0"/>
      <w:bookmarkEnd w:id="32"/>
      <w:r>
        <w:rPr>
          <w:rFonts w:eastAsia="Arial" w:cs="Arial"/>
          <w:sz w:val="24"/>
          <w:szCs w:val="24"/>
        </w:rPr>
        <w:lastRenderedPageBreak/>
        <w:t>Data Collection</w:t>
      </w:r>
    </w:p>
    <w:p w14:paraId="3266ABCE" w14:textId="77777777" w:rsidR="007C6854" w:rsidRDefault="00E0219E" w:rsidP="00535869">
      <w:pPr>
        <w:spacing w:line="480" w:lineRule="auto"/>
        <w:ind w:firstLine="720"/>
        <w:jc w:val="both"/>
        <w:rPr>
          <w:rFonts w:eastAsia="Arial" w:cs="Arial"/>
          <w:szCs w:val="24"/>
        </w:rPr>
      </w:pPr>
      <w:r>
        <w:rPr>
          <w:rFonts w:eastAsia="Arial" w:cs="Arial"/>
          <w:szCs w:val="24"/>
        </w:rPr>
        <w:t xml:space="preserve">The research data collection started on July 21, 2022, and ended on October 7, 2022. This was within the range of the researcher's expected timeline for data collection activity. </w:t>
      </w:r>
    </w:p>
    <w:p w14:paraId="27D9C76B" w14:textId="77777777" w:rsidR="007C6854" w:rsidRPr="00535869" w:rsidRDefault="00E0219E" w:rsidP="00535869">
      <w:pPr>
        <w:spacing w:line="480" w:lineRule="auto"/>
        <w:jc w:val="both"/>
        <w:rPr>
          <w:rFonts w:eastAsia="Arial" w:cs="Arial"/>
          <w:b/>
          <w:bCs/>
          <w:szCs w:val="24"/>
        </w:rPr>
      </w:pPr>
      <w:r w:rsidRPr="00535869">
        <w:rPr>
          <w:rFonts w:eastAsia="Arial" w:cs="Arial"/>
          <w:b/>
          <w:bCs/>
          <w:szCs w:val="24"/>
        </w:rPr>
        <w:t>Procedure</w:t>
      </w:r>
    </w:p>
    <w:p w14:paraId="68C41595" w14:textId="77777777" w:rsidR="007C6854" w:rsidRDefault="00E0219E" w:rsidP="00535869">
      <w:pPr>
        <w:spacing w:line="480" w:lineRule="auto"/>
        <w:ind w:firstLine="720"/>
        <w:jc w:val="both"/>
        <w:rPr>
          <w:rFonts w:eastAsia="Arial" w:cs="Arial"/>
          <w:szCs w:val="24"/>
        </w:rPr>
      </w:pPr>
      <w:r>
        <w:rPr>
          <w:rFonts w:eastAsia="Arial" w:cs="Arial"/>
          <w:szCs w:val="24"/>
        </w:rPr>
        <w:t>The respondent was recruited by asking if he or she wanted to be interviewed for the research. Due to the risk of COVID-19 disease, the research team took safety precautions prior to the interview. The research utilized the COVID-19 risk assessment and health declaration form, which was secured among study participants. A health declaration form was used to assess the respondent’s health status. If the screening result shows a low risk of exposure, the researcher will proceed with the data collection process. Appendix D shows that 151 respondents were assessed and interviewed using the survey questionnaire developed for this research (See Figure 2 on Research Process Flows).</w:t>
      </w:r>
    </w:p>
    <w:p w14:paraId="239FC6A0" w14:textId="26634868" w:rsidR="007C6854" w:rsidRDefault="00E0219E" w:rsidP="00535869">
      <w:pPr>
        <w:spacing w:line="480" w:lineRule="auto"/>
        <w:ind w:firstLine="720"/>
        <w:jc w:val="both"/>
        <w:rPr>
          <w:rFonts w:eastAsia="Arial" w:cs="Arial"/>
          <w:szCs w:val="24"/>
        </w:rPr>
      </w:pPr>
      <w:r>
        <w:rPr>
          <w:rFonts w:eastAsia="Arial" w:cs="Arial"/>
          <w:szCs w:val="24"/>
        </w:rPr>
        <w:t>The survey questionnaire was applied to the participants, focusing on questions on socio-demography, hypertension prevalence, and health literacy in the context of hypertension. The questionnaire was developed and uploaded to an open-source platform (</w:t>
      </w:r>
      <w:proofErr w:type="spellStart"/>
      <w:r>
        <w:rPr>
          <w:rFonts w:eastAsia="Arial" w:cs="Arial"/>
          <w:szCs w:val="24"/>
        </w:rPr>
        <w:t>KoboToolbox</w:t>
      </w:r>
      <w:proofErr w:type="spellEnd"/>
      <w:r>
        <w:rPr>
          <w:rFonts w:eastAsia="Arial" w:cs="Arial"/>
          <w:szCs w:val="24"/>
        </w:rPr>
        <w:t xml:space="preserve">, both web-based and mobile). The same data collection application was used to gather survey information from the survey respondent. The final data was downloaded from the Kobo Toolbox application. Data management was done using Microsoft Excel and was stored in both Google Drive and Microsoft One Drive. The data will be deleted after five years starting from the end of data collection, </w:t>
      </w:r>
      <w:proofErr w:type="gramStart"/>
      <w:r>
        <w:rPr>
          <w:rFonts w:eastAsia="Arial" w:cs="Arial"/>
          <w:szCs w:val="24"/>
        </w:rPr>
        <w:t>i.e.</w:t>
      </w:r>
      <w:proofErr w:type="gramEnd"/>
      <w:r>
        <w:rPr>
          <w:rFonts w:eastAsia="Arial" w:cs="Arial"/>
          <w:szCs w:val="24"/>
        </w:rPr>
        <w:t xml:space="preserve"> October 2027.</w:t>
      </w:r>
    </w:p>
    <w:p w14:paraId="4393AD49" w14:textId="77777777" w:rsidR="007C6854" w:rsidRDefault="00E0219E">
      <w:pPr>
        <w:spacing w:line="360" w:lineRule="auto"/>
        <w:jc w:val="both"/>
        <w:rPr>
          <w:rFonts w:eastAsia="Arial" w:cs="Arial"/>
          <w:szCs w:val="24"/>
        </w:rPr>
      </w:pPr>
      <w:r>
        <w:rPr>
          <w:rFonts w:eastAsia="Arial" w:cs="Arial"/>
          <w:szCs w:val="24"/>
        </w:rPr>
        <w:t>Figure 2. Research Workflow, Data Collection, and Data Storage</w:t>
      </w:r>
    </w:p>
    <w:p w14:paraId="136B9619" w14:textId="77777777" w:rsidR="007C6854" w:rsidRDefault="00E0219E">
      <w:pPr>
        <w:spacing w:line="360" w:lineRule="auto"/>
        <w:jc w:val="center"/>
        <w:rPr>
          <w:rFonts w:eastAsia="Arial" w:cs="Arial"/>
          <w:b/>
          <w:szCs w:val="24"/>
        </w:rPr>
      </w:pPr>
      <w:r>
        <w:rPr>
          <w:rFonts w:eastAsia="Arial" w:cs="Arial"/>
          <w:noProof/>
        </w:rPr>
        <w:lastRenderedPageBreak/>
        <w:drawing>
          <wp:inline distT="0" distB="0" distL="0" distR="0" wp14:anchorId="1928E238" wp14:editId="507B4872">
            <wp:extent cx="5943600" cy="5727700"/>
            <wp:effectExtent l="0" t="0" r="0" b="0"/>
            <wp:docPr id="6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9"/>
                    <a:srcRect/>
                    <a:stretch>
                      <a:fillRect/>
                    </a:stretch>
                  </pic:blipFill>
                  <pic:spPr>
                    <a:xfrm>
                      <a:off x="0" y="0"/>
                      <a:ext cx="5943600" cy="5727700"/>
                    </a:xfrm>
                    <a:prstGeom prst="rect">
                      <a:avLst/>
                    </a:prstGeom>
                    <a:ln/>
                  </pic:spPr>
                </pic:pic>
              </a:graphicData>
            </a:graphic>
          </wp:inline>
        </w:drawing>
      </w:r>
    </w:p>
    <w:p w14:paraId="216A08FD" w14:textId="77777777" w:rsidR="007C6854" w:rsidRDefault="007C6854">
      <w:pPr>
        <w:spacing w:line="360" w:lineRule="auto"/>
        <w:ind w:left="220"/>
        <w:jc w:val="center"/>
        <w:rPr>
          <w:rFonts w:eastAsia="Arial" w:cs="Arial"/>
          <w:b/>
          <w:szCs w:val="24"/>
        </w:rPr>
      </w:pPr>
    </w:p>
    <w:p w14:paraId="7BE78575" w14:textId="77777777" w:rsidR="007C6854" w:rsidRDefault="007C6854">
      <w:pPr>
        <w:spacing w:line="360" w:lineRule="auto"/>
        <w:ind w:left="220"/>
        <w:jc w:val="center"/>
        <w:rPr>
          <w:rFonts w:eastAsia="Arial" w:cs="Arial"/>
          <w:b/>
          <w:szCs w:val="24"/>
        </w:rPr>
      </w:pPr>
    </w:p>
    <w:p w14:paraId="7BF7D881" w14:textId="77777777" w:rsidR="007C6854" w:rsidRDefault="007C6854">
      <w:pPr>
        <w:spacing w:line="360" w:lineRule="auto"/>
        <w:ind w:left="220"/>
        <w:jc w:val="center"/>
        <w:rPr>
          <w:rFonts w:eastAsia="Arial" w:cs="Arial"/>
          <w:b/>
          <w:szCs w:val="24"/>
        </w:rPr>
      </w:pPr>
    </w:p>
    <w:p w14:paraId="6E39C891" w14:textId="77777777" w:rsidR="007C6854" w:rsidRDefault="007C6854">
      <w:pPr>
        <w:spacing w:line="360" w:lineRule="auto"/>
        <w:ind w:left="220"/>
        <w:jc w:val="center"/>
        <w:rPr>
          <w:rFonts w:eastAsia="Arial" w:cs="Arial"/>
          <w:b/>
          <w:szCs w:val="24"/>
        </w:rPr>
      </w:pPr>
    </w:p>
    <w:p w14:paraId="39D05EAF" w14:textId="77777777" w:rsidR="007C6854" w:rsidRDefault="00E0219E">
      <w:pPr>
        <w:pStyle w:val="Heading2"/>
        <w:jc w:val="center"/>
        <w:rPr>
          <w:rFonts w:eastAsia="Arial" w:cs="Arial"/>
          <w:sz w:val="24"/>
          <w:szCs w:val="24"/>
        </w:rPr>
      </w:pPr>
      <w:bookmarkStart w:id="33" w:name="_heading=h.rvkou4wiqjzs" w:colFirst="0" w:colLast="0"/>
      <w:bookmarkEnd w:id="33"/>
      <w:r>
        <w:br w:type="page"/>
      </w:r>
    </w:p>
    <w:p w14:paraId="1EED0288" w14:textId="4C816558" w:rsidR="007C6854" w:rsidRPr="00535869" w:rsidRDefault="00E0219E" w:rsidP="00535869">
      <w:pPr>
        <w:pStyle w:val="Heading2"/>
        <w:spacing w:line="480" w:lineRule="auto"/>
        <w:jc w:val="center"/>
        <w:rPr>
          <w:rFonts w:eastAsia="Arial" w:cs="Arial"/>
          <w:sz w:val="24"/>
          <w:szCs w:val="24"/>
        </w:rPr>
      </w:pPr>
      <w:bookmarkStart w:id="34" w:name="_heading=h.ihv636" w:colFirst="0" w:colLast="0"/>
      <w:bookmarkEnd w:id="34"/>
      <w:r>
        <w:rPr>
          <w:rFonts w:eastAsia="Arial" w:cs="Arial"/>
          <w:sz w:val="24"/>
          <w:szCs w:val="24"/>
        </w:rPr>
        <w:lastRenderedPageBreak/>
        <w:t>Statistical Analysis and Interpretation of Results</w:t>
      </w:r>
    </w:p>
    <w:p w14:paraId="0586D089" w14:textId="1D8794AF" w:rsidR="007C6854" w:rsidRDefault="00535869" w:rsidP="00535869">
      <w:pPr>
        <w:spacing w:line="480" w:lineRule="auto"/>
        <w:ind w:left="220"/>
        <w:jc w:val="both"/>
        <w:rPr>
          <w:rFonts w:eastAsia="Arial" w:cs="Arial"/>
          <w:szCs w:val="24"/>
        </w:rPr>
      </w:pPr>
      <w:r>
        <w:rPr>
          <w:rFonts w:eastAsia="Arial" w:cs="Arial"/>
          <w:szCs w:val="24"/>
        </w:rPr>
        <w:tab/>
      </w:r>
      <w:r w:rsidR="00E0219E">
        <w:rPr>
          <w:rFonts w:eastAsia="Arial" w:cs="Arial"/>
          <w:szCs w:val="24"/>
        </w:rPr>
        <w:t xml:space="preserve">The data output process was initiated upon completing the data collection. A data quality check was also done by converting the Kobo file to an Excel file. The researcher utilized RStudio 2023.03.1 Build 446, release name “Cherry Blossom,” for data transformation and analysis. R is an open-source statistical computing software. </w:t>
      </w:r>
      <w:r>
        <w:rPr>
          <w:rFonts w:eastAsia="Arial" w:cs="Arial"/>
          <w:szCs w:val="24"/>
        </w:rPr>
        <w:t>The R packages that were used are the following: “here” (determining file paths), “</w:t>
      </w:r>
      <w:proofErr w:type="spellStart"/>
      <w:r>
        <w:rPr>
          <w:rFonts w:eastAsia="Arial" w:cs="Arial"/>
          <w:szCs w:val="24"/>
        </w:rPr>
        <w:t>rio</w:t>
      </w:r>
      <w:proofErr w:type="spellEnd"/>
      <w:r>
        <w:rPr>
          <w:rFonts w:eastAsia="Arial" w:cs="Arial"/>
          <w:szCs w:val="24"/>
        </w:rPr>
        <w:t>” (import/export of data), “</w:t>
      </w:r>
      <w:proofErr w:type="spellStart"/>
      <w:r>
        <w:rPr>
          <w:rFonts w:eastAsia="Arial" w:cs="Arial"/>
          <w:szCs w:val="24"/>
        </w:rPr>
        <w:t>readxl</w:t>
      </w:r>
      <w:proofErr w:type="spellEnd"/>
      <w:r>
        <w:rPr>
          <w:rFonts w:eastAsia="Arial" w:cs="Arial"/>
          <w:szCs w:val="24"/>
        </w:rPr>
        <w:t>” (read an excel file), “</w:t>
      </w:r>
      <w:proofErr w:type="spellStart"/>
      <w:r>
        <w:rPr>
          <w:rFonts w:eastAsia="Arial" w:cs="Arial"/>
          <w:szCs w:val="24"/>
        </w:rPr>
        <w:t>tidyverse</w:t>
      </w:r>
      <w:proofErr w:type="spellEnd"/>
      <w:r>
        <w:rPr>
          <w:rFonts w:eastAsia="Arial" w:cs="Arial"/>
          <w:szCs w:val="24"/>
        </w:rPr>
        <w:t>” (using “</w:t>
      </w:r>
      <w:proofErr w:type="spellStart"/>
      <w:r>
        <w:rPr>
          <w:rFonts w:eastAsia="Arial" w:cs="Arial"/>
          <w:szCs w:val="24"/>
        </w:rPr>
        <w:t>dplyr</w:t>
      </w:r>
      <w:proofErr w:type="spellEnd"/>
      <w:r>
        <w:rPr>
          <w:rFonts w:eastAsia="Arial" w:cs="Arial"/>
          <w:szCs w:val="24"/>
        </w:rPr>
        <w:t xml:space="preserve"> and </w:t>
      </w:r>
      <w:proofErr w:type="spellStart"/>
      <w:r>
        <w:rPr>
          <w:rFonts w:eastAsia="Arial" w:cs="Arial"/>
          <w:szCs w:val="24"/>
        </w:rPr>
        <w:t>tidyr</w:t>
      </w:r>
      <w:proofErr w:type="spellEnd"/>
      <w:r>
        <w:rPr>
          <w:rFonts w:eastAsia="Arial" w:cs="Arial"/>
          <w:szCs w:val="24"/>
        </w:rPr>
        <w:t>” for data management, “</w:t>
      </w:r>
      <w:proofErr w:type="spellStart"/>
      <w:r>
        <w:rPr>
          <w:rFonts w:eastAsia="Arial" w:cs="Arial"/>
          <w:szCs w:val="24"/>
        </w:rPr>
        <w:t>linelist</w:t>
      </w:r>
      <w:proofErr w:type="spellEnd"/>
      <w:r>
        <w:rPr>
          <w:rFonts w:eastAsia="Arial" w:cs="Arial"/>
          <w:szCs w:val="24"/>
        </w:rPr>
        <w:t xml:space="preserve">” for cleaning </w:t>
      </w:r>
      <w:proofErr w:type="spellStart"/>
      <w:r>
        <w:rPr>
          <w:rFonts w:eastAsia="Arial" w:cs="Arial"/>
          <w:szCs w:val="24"/>
        </w:rPr>
        <w:t>linelist</w:t>
      </w:r>
      <w:proofErr w:type="spellEnd"/>
      <w:r>
        <w:rPr>
          <w:rFonts w:eastAsia="Arial" w:cs="Arial"/>
          <w:szCs w:val="24"/>
        </w:rPr>
        <w:t>), “janitor” for tables and data cleaning, while “</w:t>
      </w:r>
      <w:proofErr w:type="spellStart"/>
      <w:r>
        <w:rPr>
          <w:rFonts w:eastAsia="Arial" w:cs="Arial"/>
          <w:szCs w:val="24"/>
        </w:rPr>
        <w:t>rstatix</w:t>
      </w:r>
      <w:proofErr w:type="spellEnd"/>
      <w:r>
        <w:rPr>
          <w:rFonts w:eastAsia="Arial" w:cs="Arial"/>
          <w:szCs w:val="24"/>
        </w:rPr>
        <w:t>”,  “broom”, “</w:t>
      </w:r>
      <w:proofErr w:type="spellStart"/>
      <w:r>
        <w:rPr>
          <w:rFonts w:eastAsia="Arial" w:cs="Arial"/>
          <w:szCs w:val="24"/>
        </w:rPr>
        <w:t>lmtest</w:t>
      </w:r>
      <w:proofErr w:type="spellEnd"/>
      <w:r>
        <w:rPr>
          <w:rFonts w:eastAsia="Arial" w:cs="Arial"/>
          <w:szCs w:val="24"/>
        </w:rPr>
        <w:t>”, “</w:t>
      </w:r>
      <w:proofErr w:type="spellStart"/>
      <w:r>
        <w:rPr>
          <w:rFonts w:eastAsia="Arial" w:cs="Arial"/>
          <w:szCs w:val="24"/>
        </w:rPr>
        <w:t>easystats</w:t>
      </w:r>
      <w:proofErr w:type="spellEnd"/>
      <w:r>
        <w:rPr>
          <w:rFonts w:eastAsia="Arial" w:cs="Arial"/>
          <w:szCs w:val="24"/>
        </w:rPr>
        <w:t>”, and “</w:t>
      </w:r>
      <w:proofErr w:type="spellStart"/>
      <w:r>
        <w:rPr>
          <w:rFonts w:eastAsia="Arial" w:cs="Arial"/>
          <w:szCs w:val="24"/>
        </w:rPr>
        <w:t>epicalc</w:t>
      </w:r>
      <w:proofErr w:type="spellEnd"/>
      <w:r>
        <w:rPr>
          <w:rFonts w:eastAsia="Arial" w:cs="Arial"/>
          <w:szCs w:val="24"/>
        </w:rPr>
        <w:t>” were utilized to run statistical analysis. Stratified analysis packages were also used, such as “</w:t>
      </w:r>
      <w:proofErr w:type="spellStart"/>
      <w:r>
        <w:rPr>
          <w:rFonts w:eastAsia="Arial" w:cs="Arial"/>
          <w:szCs w:val="24"/>
        </w:rPr>
        <w:t>epiDisplay</w:t>
      </w:r>
      <w:proofErr w:type="spellEnd"/>
      <w:r>
        <w:rPr>
          <w:rFonts w:eastAsia="Arial" w:cs="Arial"/>
          <w:szCs w:val="24"/>
        </w:rPr>
        <w:t>”, to calculate the M-H Odds Ratio. In addition, the “</w:t>
      </w:r>
      <w:proofErr w:type="spellStart"/>
      <w:r>
        <w:rPr>
          <w:rFonts w:eastAsia="Arial" w:cs="Arial"/>
          <w:szCs w:val="24"/>
        </w:rPr>
        <w:t>knitr</w:t>
      </w:r>
      <w:proofErr w:type="spellEnd"/>
      <w:r>
        <w:rPr>
          <w:rFonts w:eastAsia="Arial" w:cs="Arial"/>
          <w:szCs w:val="24"/>
        </w:rPr>
        <w:t>” and “</w:t>
      </w:r>
      <w:proofErr w:type="spellStart"/>
      <w:r>
        <w:rPr>
          <w:rFonts w:eastAsia="Arial" w:cs="Arial"/>
          <w:szCs w:val="24"/>
        </w:rPr>
        <w:t>KableExtra</w:t>
      </w:r>
      <w:proofErr w:type="spellEnd"/>
      <w:r>
        <w:rPr>
          <w:rFonts w:eastAsia="Arial" w:cs="Arial"/>
          <w:szCs w:val="24"/>
        </w:rPr>
        <w:t>” packages were used for the data table presentation. More so, the “</w:t>
      </w:r>
      <w:proofErr w:type="spellStart"/>
      <w:r>
        <w:rPr>
          <w:rFonts w:eastAsia="Arial" w:cs="Arial"/>
          <w:szCs w:val="24"/>
        </w:rPr>
        <w:t>magrittr</w:t>
      </w:r>
      <w:proofErr w:type="spellEnd"/>
      <w:r>
        <w:rPr>
          <w:rFonts w:eastAsia="Arial" w:cs="Arial"/>
          <w:szCs w:val="24"/>
        </w:rPr>
        <w:t>” package was used to enhance data readability and usability when performing data manipulation, transformation, and analysis (R Core Team, 2023; Batra, Neale, et al., 2021; Carter, 2019).</w:t>
      </w:r>
    </w:p>
    <w:p w14:paraId="1FFAC2EE" w14:textId="77777777" w:rsidR="007C6854" w:rsidRDefault="00E0219E" w:rsidP="00113E43">
      <w:pPr>
        <w:spacing w:line="480" w:lineRule="auto"/>
        <w:ind w:left="220" w:firstLine="500"/>
        <w:jc w:val="both"/>
        <w:rPr>
          <w:rFonts w:eastAsia="Arial" w:cs="Arial"/>
          <w:szCs w:val="24"/>
        </w:rPr>
      </w:pPr>
      <w:r>
        <w:rPr>
          <w:rFonts w:eastAsia="Arial" w:cs="Arial"/>
          <w:szCs w:val="24"/>
        </w:rPr>
        <w:t>The researcher analyzed the gathered data in the following order:</w:t>
      </w:r>
    </w:p>
    <w:p w14:paraId="7214EFE9" w14:textId="77777777" w:rsidR="007C6854" w:rsidRDefault="00E0219E" w:rsidP="00535869">
      <w:pPr>
        <w:numPr>
          <w:ilvl w:val="0"/>
          <w:numId w:val="4"/>
        </w:numPr>
        <w:spacing w:line="480" w:lineRule="auto"/>
        <w:ind w:left="426" w:hanging="142"/>
        <w:jc w:val="both"/>
        <w:rPr>
          <w:rFonts w:eastAsia="Arial" w:cs="Arial"/>
          <w:szCs w:val="24"/>
        </w:rPr>
      </w:pPr>
      <w:r>
        <w:rPr>
          <w:rFonts w:eastAsia="Arial" w:cs="Arial"/>
          <w:szCs w:val="24"/>
        </w:rPr>
        <w:t>Frequency tables examined single to multiple variables and produced descriptive frequencies, presented in numbers, ratios, percentages, or proportions.</w:t>
      </w:r>
    </w:p>
    <w:p w14:paraId="2844BA7A" w14:textId="77777777" w:rsidR="007C6854" w:rsidRDefault="00E0219E" w:rsidP="00535869">
      <w:pPr>
        <w:numPr>
          <w:ilvl w:val="0"/>
          <w:numId w:val="4"/>
        </w:numPr>
        <w:spacing w:line="480" w:lineRule="auto"/>
        <w:ind w:hanging="141"/>
        <w:jc w:val="both"/>
        <w:rPr>
          <w:rFonts w:eastAsia="Arial" w:cs="Arial"/>
          <w:szCs w:val="24"/>
        </w:rPr>
      </w:pPr>
      <w:r>
        <w:rPr>
          <w:rFonts w:eastAsia="Arial" w:cs="Arial"/>
          <w:szCs w:val="24"/>
        </w:rPr>
        <w:t xml:space="preserve">Descriptive statistics were generated for each item to determine the extent of missing values and to look at the low and high values of effects across domains (total health literacy, basic health literacy, communicative health literacy, and critical health literacy). The median value was utilized as a measure of central location to measure health literacy scores. Utilizing </w:t>
      </w:r>
      <w:r>
        <w:rPr>
          <w:rFonts w:eastAsia="Arial" w:cs="Arial"/>
          <w:color w:val="111111"/>
          <w:szCs w:val="24"/>
          <w:highlight w:val="white"/>
        </w:rPr>
        <w:t xml:space="preserve">Jeong, H.J. &amp; Lee, W.C. (2016) </w:t>
      </w:r>
      <w:r>
        <w:rPr>
          <w:rFonts w:eastAsia="Arial" w:cs="Arial"/>
          <w:color w:val="111111"/>
          <w:szCs w:val="24"/>
          <w:highlight w:val="white"/>
        </w:rPr>
        <w:lastRenderedPageBreak/>
        <w:t>idea of categorizing on a 5-point Likert scale, where less than 4 (1 to 3.99) is considered low and a score of 4 and above is considered high. This same idea was used to group the scale into binary measures, and</w:t>
      </w:r>
    </w:p>
    <w:p w14:paraId="6FB2A579" w14:textId="77777777" w:rsidR="007C6854" w:rsidRDefault="00E0219E" w:rsidP="00535869">
      <w:pPr>
        <w:numPr>
          <w:ilvl w:val="0"/>
          <w:numId w:val="4"/>
        </w:numPr>
        <w:spacing w:line="480" w:lineRule="auto"/>
        <w:ind w:hanging="141"/>
        <w:jc w:val="both"/>
        <w:rPr>
          <w:rFonts w:eastAsia="Arial" w:cs="Arial"/>
          <w:szCs w:val="24"/>
        </w:rPr>
      </w:pPr>
      <w:r>
        <w:rPr>
          <w:rFonts w:eastAsia="Arial" w:cs="Arial"/>
          <w:szCs w:val="24"/>
        </w:rPr>
        <w:t>Measure of Association: A stratified analysis was utilized to examine how the relationship between two variables changes across different groups. whereas the outcome of interest is health literacy, and the independent variables are the demographic data of interest, such as age, sex, educational level, employment status, wealth status, and health insurance status. These variables were stratified by hypertension level, focusing only on those with hypertension. The Odds Ratio (OR) was calculated and interpreted as the magnitude of the association between two variables. An Odd Ratio of above one (1) will be interpreted as the likelihood of an effect, and a p</w:t>
      </w:r>
      <w:r>
        <w:rPr>
          <w:rFonts w:eastAsia="Arial" w:cs="Arial"/>
          <w:i/>
          <w:szCs w:val="24"/>
        </w:rPr>
        <w:t>-value</w:t>
      </w:r>
      <w:r>
        <w:rPr>
          <w:rFonts w:eastAsia="Arial" w:cs="Arial"/>
          <w:szCs w:val="24"/>
        </w:rPr>
        <w:t xml:space="preserve"> of less than 0.05 will be considered significant.</w:t>
      </w:r>
    </w:p>
    <w:p w14:paraId="3382F3EA" w14:textId="0F440CF7" w:rsidR="007C6854" w:rsidRDefault="00535869" w:rsidP="00535869">
      <w:pPr>
        <w:spacing w:line="480" w:lineRule="auto"/>
        <w:jc w:val="both"/>
        <w:rPr>
          <w:rFonts w:eastAsia="Arial" w:cs="Arial"/>
          <w:b/>
          <w:szCs w:val="24"/>
        </w:rPr>
      </w:pPr>
      <w:r>
        <w:rPr>
          <w:rFonts w:eastAsia="Arial" w:cs="Arial"/>
          <w:szCs w:val="24"/>
        </w:rPr>
        <w:tab/>
      </w:r>
      <w:r w:rsidR="00E0219E">
        <w:rPr>
          <w:rFonts w:eastAsia="Arial" w:cs="Arial"/>
          <w:szCs w:val="24"/>
        </w:rPr>
        <w:t xml:space="preserve">Moreso, a data analysis plan was developed to demonstrate how the data was analyzed. Moreover, the researcher developed an R script file for the purpose of data analysis convenience if the data will run repetitively using R software (Appendix I: Database and </w:t>
      </w:r>
      <w:proofErr w:type="spellStart"/>
      <w:r w:rsidR="00E0219E">
        <w:rPr>
          <w:rFonts w:eastAsia="Arial" w:cs="Arial"/>
          <w:szCs w:val="24"/>
        </w:rPr>
        <w:t>Rscript</w:t>
      </w:r>
      <w:proofErr w:type="spellEnd"/>
      <w:r w:rsidR="00E0219E">
        <w:rPr>
          <w:rFonts w:eastAsia="Arial" w:cs="Arial"/>
          <w:szCs w:val="24"/>
        </w:rPr>
        <w:t xml:space="preserve"> on Data Analysis). </w:t>
      </w:r>
    </w:p>
    <w:p w14:paraId="41D433A5" w14:textId="3AE1596E" w:rsidR="007C6854" w:rsidRDefault="00535869" w:rsidP="00113E43">
      <w:pPr>
        <w:spacing w:line="480" w:lineRule="auto"/>
        <w:jc w:val="center"/>
        <w:rPr>
          <w:rFonts w:eastAsia="Arial" w:cs="Arial"/>
          <w:b/>
          <w:szCs w:val="24"/>
        </w:rPr>
      </w:pPr>
      <w:r>
        <w:rPr>
          <w:rFonts w:eastAsia="Arial" w:cs="Arial"/>
          <w:b/>
          <w:szCs w:val="24"/>
        </w:rPr>
        <w:t>Bias</w:t>
      </w:r>
    </w:p>
    <w:p w14:paraId="5DBE1A03" w14:textId="57FC326C" w:rsidR="007C6854" w:rsidRPr="00113E43" w:rsidRDefault="00E0219E" w:rsidP="00535869">
      <w:pPr>
        <w:spacing w:line="480" w:lineRule="auto"/>
        <w:ind w:firstLine="720"/>
        <w:jc w:val="both"/>
        <w:rPr>
          <w:rFonts w:eastAsia="Arial" w:cs="Arial"/>
          <w:b/>
          <w:szCs w:val="24"/>
        </w:rPr>
      </w:pPr>
      <w:r>
        <w:rPr>
          <w:rFonts w:eastAsia="Arial" w:cs="Arial"/>
          <w:szCs w:val="24"/>
        </w:rPr>
        <w:t xml:space="preserve">By considering the sampling method that would be used for the research, research biases were evaluated and considered. Although a nonprobability sampling technique was used in selecting survey participants, the researcher anticipated a selection bias problem. The researcher considered selecting the target population by focusing on the adult population aged 20 years and older. The researcher set criteria for selection. Research enumerators were thoroughly trained on survey materials and tools. Data analysis bias was considered. The researcher makes sure that the </w:t>
      </w:r>
      <w:r>
        <w:rPr>
          <w:rFonts w:eastAsia="Arial" w:cs="Arial"/>
          <w:szCs w:val="24"/>
        </w:rPr>
        <w:lastRenderedPageBreak/>
        <w:t xml:space="preserve">populations of Zone 1 and Zone 2 are represented in the survey. More so, analytic bias was anticipated by assigning required field parameters during questionnaire design. This limits the error of a wrong entry and the extreme representation of missing values. Non-response bias is anticipated by collaborating with the barangay health center and barangay health workers on a list of clients registered in the study population. </w:t>
      </w:r>
      <w:bookmarkStart w:id="35" w:name="_heading=h.6fs25los6saw" w:colFirst="0" w:colLast="0"/>
      <w:bookmarkStart w:id="36" w:name="_heading=h.u149vgdire32" w:colFirst="0" w:colLast="0"/>
      <w:bookmarkStart w:id="37" w:name="_heading=h.d1sixnw3uobd" w:colFirst="0" w:colLast="0"/>
      <w:bookmarkEnd w:id="35"/>
      <w:bookmarkEnd w:id="36"/>
      <w:bookmarkEnd w:id="37"/>
    </w:p>
    <w:p w14:paraId="4600113F" w14:textId="57782CDD" w:rsidR="007C6854" w:rsidRPr="00113E43" w:rsidRDefault="00E0219E" w:rsidP="00113E43">
      <w:pPr>
        <w:pStyle w:val="Heading2"/>
        <w:spacing w:line="480" w:lineRule="auto"/>
        <w:jc w:val="center"/>
        <w:rPr>
          <w:rFonts w:eastAsia="Arial" w:cs="Arial"/>
          <w:sz w:val="24"/>
          <w:szCs w:val="24"/>
        </w:rPr>
      </w:pPr>
      <w:bookmarkStart w:id="38" w:name="_heading=h.32hioqz" w:colFirst="0" w:colLast="0"/>
      <w:bookmarkEnd w:id="38"/>
      <w:r>
        <w:rPr>
          <w:rFonts w:eastAsia="Arial" w:cs="Arial"/>
          <w:sz w:val="24"/>
          <w:szCs w:val="24"/>
        </w:rPr>
        <w:t>Data Management</w:t>
      </w:r>
    </w:p>
    <w:p w14:paraId="1C558D4E" w14:textId="0127443C" w:rsidR="000150F8" w:rsidRPr="00E865ED" w:rsidRDefault="00E0219E" w:rsidP="00E865ED">
      <w:pPr>
        <w:spacing w:line="480" w:lineRule="auto"/>
        <w:ind w:firstLine="720"/>
        <w:jc w:val="both"/>
        <w:rPr>
          <w:rFonts w:eastAsia="Arial" w:cs="Arial"/>
          <w:szCs w:val="24"/>
        </w:rPr>
      </w:pPr>
      <w:r>
        <w:rPr>
          <w:rFonts w:eastAsia="Arial" w:cs="Arial"/>
          <w:szCs w:val="24"/>
        </w:rPr>
        <w:t>More so, once the data collection is completed, the researcher will keep the data for five years and keep it on his personal cloud drive. Further, to monitor the quality of the research, the researcher allowed the regulation authorities, i.e., the research panel and the UPOU IREC members, to conduct any quality check or ask for any documents pertaining to the research process and the conduct of the research. Collected data was stored on the personal cloud drive of the researcher (data intake process) unless advised to change the storage to the UPOU data repository server (Figure 2).</w:t>
      </w:r>
    </w:p>
    <w:p w14:paraId="6A9E4A0C" w14:textId="2B6F26A8" w:rsidR="007C6854" w:rsidRPr="000150F8" w:rsidRDefault="00E0219E" w:rsidP="000150F8">
      <w:pPr>
        <w:pStyle w:val="Heading2"/>
        <w:spacing w:line="480" w:lineRule="auto"/>
        <w:jc w:val="center"/>
        <w:rPr>
          <w:rFonts w:eastAsia="Arial" w:cs="Arial"/>
          <w:sz w:val="24"/>
          <w:szCs w:val="24"/>
        </w:rPr>
      </w:pPr>
      <w:bookmarkStart w:id="39" w:name="_heading=h.1hmsyys" w:colFirst="0" w:colLast="0"/>
      <w:bookmarkEnd w:id="39"/>
      <w:r>
        <w:rPr>
          <w:rFonts w:eastAsia="Arial" w:cs="Arial"/>
          <w:sz w:val="24"/>
          <w:szCs w:val="24"/>
        </w:rPr>
        <w:t>Ethical Consideration</w:t>
      </w:r>
    </w:p>
    <w:p w14:paraId="558BA7BE" w14:textId="77777777" w:rsidR="007C6854" w:rsidRDefault="00E0219E" w:rsidP="000150F8">
      <w:pPr>
        <w:spacing w:line="480" w:lineRule="auto"/>
        <w:ind w:firstLine="720"/>
        <w:jc w:val="both"/>
        <w:rPr>
          <w:rFonts w:eastAsia="Arial" w:cs="Arial"/>
          <w:szCs w:val="24"/>
        </w:rPr>
      </w:pPr>
      <w:r>
        <w:rPr>
          <w:rFonts w:eastAsia="Arial" w:cs="Arial"/>
          <w:szCs w:val="24"/>
        </w:rPr>
        <w:t>The University of the Philippines Open University Institutional Research Ethics Committee (UPOU-IREC/REC Code: 2022-0006-F-FMDS) reviewed and approved the research protocol (Appendix B). The study ensures that no harm was done to all respondents and that all rights were observed as we conducted the research.</w:t>
      </w:r>
    </w:p>
    <w:p w14:paraId="661F1ADE" w14:textId="77777777" w:rsidR="00E865ED" w:rsidRDefault="00E865ED" w:rsidP="000150F8">
      <w:pPr>
        <w:spacing w:line="480" w:lineRule="auto"/>
        <w:ind w:firstLine="720"/>
        <w:jc w:val="both"/>
        <w:rPr>
          <w:rFonts w:eastAsia="Arial" w:cs="Arial"/>
          <w:b/>
          <w:szCs w:val="24"/>
        </w:rPr>
      </w:pPr>
    </w:p>
    <w:p w14:paraId="7AC947E2" w14:textId="784411C6" w:rsidR="007C6854" w:rsidRPr="000150F8" w:rsidRDefault="00E0219E" w:rsidP="000150F8">
      <w:pPr>
        <w:pStyle w:val="Heading3"/>
        <w:spacing w:line="480" w:lineRule="auto"/>
        <w:rPr>
          <w:rFonts w:eastAsia="Arial" w:cs="Arial"/>
          <w:sz w:val="24"/>
          <w:szCs w:val="24"/>
        </w:rPr>
      </w:pPr>
      <w:bookmarkStart w:id="40" w:name="_heading=h.41mghml" w:colFirst="0" w:colLast="0"/>
      <w:bookmarkEnd w:id="40"/>
      <w:r>
        <w:rPr>
          <w:rFonts w:eastAsia="Arial" w:cs="Arial"/>
          <w:sz w:val="24"/>
          <w:szCs w:val="24"/>
        </w:rPr>
        <w:lastRenderedPageBreak/>
        <w:t xml:space="preserve">Risks and Inconveniences </w:t>
      </w:r>
    </w:p>
    <w:p w14:paraId="16D7A1F7" w14:textId="666AD4B6" w:rsidR="007C6854" w:rsidRDefault="000150F8" w:rsidP="000150F8">
      <w:pPr>
        <w:spacing w:line="480" w:lineRule="auto"/>
        <w:jc w:val="both"/>
        <w:rPr>
          <w:rFonts w:eastAsia="Arial" w:cs="Arial"/>
          <w:szCs w:val="24"/>
        </w:rPr>
      </w:pPr>
      <w:r>
        <w:rPr>
          <w:rFonts w:eastAsia="Arial" w:cs="Arial"/>
          <w:szCs w:val="24"/>
        </w:rPr>
        <w:tab/>
      </w:r>
      <w:r w:rsidR="00E0219E">
        <w:rPr>
          <w:rFonts w:eastAsia="Arial" w:cs="Arial"/>
          <w:szCs w:val="24"/>
        </w:rPr>
        <w:t xml:space="preserve">The researcher maintains no harm among survey participants throughout the study, which includes the risk of exposing oneself to the COVID-19 virus and getting infected. The interviewer assessed the survey participants using a health declaration form. Likewise, a daily health declaration is monitored for any development of symptoms among enumerators. On top of that, both the researcher or interviewer and the survey participants have the assurance of protection from getting infected with COVID-19. </w:t>
      </w:r>
    </w:p>
    <w:p w14:paraId="496B671A" w14:textId="627F4751" w:rsidR="00E865ED" w:rsidRDefault="00E0219E" w:rsidP="00E865ED">
      <w:pPr>
        <w:spacing w:line="480" w:lineRule="auto"/>
        <w:ind w:firstLine="720"/>
        <w:jc w:val="both"/>
        <w:rPr>
          <w:rFonts w:eastAsia="Arial" w:cs="Arial"/>
          <w:szCs w:val="24"/>
        </w:rPr>
      </w:pPr>
      <w:proofErr w:type="gramStart"/>
      <w:r>
        <w:rPr>
          <w:rFonts w:eastAsia="Arial" w:cs="Arial"/>
          <w:szCs w:val="24"/>
        </w:rPr>
        <w:t>More so</w:t>
      </w:r>
      <w:proofErr w:type="gramEnd"/>
      <w:r>
        <w:rPr>
          <w:rFonts w:eastAsia="Arial" w:cs="Arial"/>
          <w:szCs w:val="24"/>
        </w:rPr>
        <w:t xml:space="preserve">, in the conduct of the survey, the clause of participation was </w:t>
      </w:r>
      <w:r w:rsidR="00E865ED">
        <w:rPr>
          <w:rFonts w:eastAsia="Arial" w:cs="Arial"/>
          <w:szCs w:val="24"/>
        </w:rPr>
        <w:t>secured,</w:t>
      </w:r>
      <w:r>
        <w:rPr>
          <w:rFonts w:eastAsia="Arial" w:cs="Arial"/>
          <w:szCs w:val="24"/>
        </w:rPr>
        <w:t xml:space="preserve"> and human rights were observed. </w:t>
      </w:r>
    </w:p>
    <w:p w14:paraId="4B3211BA" w14:textId="77777777" w:rsidR="00E865ED" w:rsidRDefault="00E0219E" w:rsidP="00E865ED">
      <w:pPr>
        <w:pStyle w:val="Heading3"/>
        <w:spacing w:line="480" w:lineRule="auto"/>
        <w:rPr>
          <w:rFonts w:eastAsia="Arial" w:cs="Arial"/>
          <w:sz w:val="24"/>
          <w:szCs w:val="24"/>
        </w:rPr>
      </w:pPr>
      <w:bookmarkStart w:id="41" w:name="_heading=h.2grqrue" w:colFirst="0" w:colLast="0"/>
      <w:bookmarkEnd w:id="41"/>
      <w:r>
        <w:rPr>
          <w:rFonts w:eastAsia="Arial" w:cs="Arial"/>
          <w:sz w:val="24"/>
          <w:szCs w:val="24"/>
        </w:rPr>
        <w:t>Possible Benefits to the Participants and the Community</w:t>
      </w:r>
    </w:p>
    <w:p w14:paraId="688931EF" w14:textId="595ACE3B" w:rsidR="000150F8" w:rsidRPr="00E865ED" w:rsidRDefault="00E865ED" w:rsidP="00E865ED">
      <w:pPr>
        <w:spacing w:line="480" w:lineRule="auto"/>
      </w:pPr>
      <w:r>
        <w:tab/>
      </w:r>
      <w:r w:rsidR="00E0219E">
        <w:t>The result of the study was disseminated to the local authority and local health officer via video conference or face-to-face conference if permitted. The study can be used as baseline information to be utilized for planning and public health policy crafting. The research may also be used to involve the community in planning and decision-making concerning their health, at the discretion of the health officer. The local health authority could create culturally sensitive health promotion materials to address any gaps in health literacy among urban poor settlers with hypertension. On the other hand, research has no direct benefit for the community. The action response for this research by the health authority is discretionary.</w:t>
      </w:r>
      <w:bookmarkStart w:id="42" w:name="_heading=h.lbl3kb6pw74j" w:colFirst="0" w:colLast="0"/>
      <w:bookmarkEnd w:id="42"/>
    </w:p>
    <w:p w14:paraId="2AF4B07F" w14:textId="117DE7A6" w:rsidR="007C6854" w:rsidRPr="000150F8" w:rsidRDefault="00E0219E" w:rsidP="000150F8">
      <w:pPr>
        <w:pStyle w:val="Heading3"/>
        <w:spacing w:line="480" w:lineRule="auto"/>
        <w:rPr>
          <w:rFonts w:eastAsia="Arial" w:cs="Arial"/>
          <w:sz w:val="24"/>
          <w:szCs w:val="24"/>
        </w:rPr>
      </w:pPr>
      <w:bookmarkStart w:id="43" w:name="_heading=h.vx1227" w:colFirst="0" w:colLast="0"/>
      <w:bookmarkEnd w:id="43"/>
      <w:r>
        <w:rPr>
          <w:rFonts w:eastAsia="Arial" w:cs="Arial"/>
          <w:sz w:val="24"/>
          <w:szCs w:val="24"/>
        </w:rPr>
        <w:t>Compensation</w:t>
      </w:r>
    </w:p>
    <w:p w14:paraId="59CF1421" w14:textId="0FE24B9F" w:rsidR="000150F8" w:rsidRDefault="00E0219E" w:rsidP="00E865ED">
      <w:pPr>
        <w:spacing w:line="480" w:lineRule="auto"/>
        <w:ind w:firstLine="720"/>
        <w:jc w:val="both"/>
        <w:rPr>
          <w:rFonts w:eastAsia="Arial" w:cs="Arial"/>
          <w:szCs w:val="24"/>
        </w:rPr>
      </w:pPr>
      <w:r>
        <w:rPr>
          <w:rFonts w:eastAsia="Arial" w:cs="Arial"/>
          <w:szCs w:val="24"/>
        </w:rPr>
        <w:t xml:space="preserve">The study is a low-budget initiative whose intention is only academic compliance; thus, the study fund came from the researcher’s savings. </w:t>
      </w:r>
    </w:p>
    <w:p w14:paraId="62338789" w14:textId="77777777" w:rsidR="00E865ED" w:rsidRDefault="00E865ED" w:rsidP="00E865ED">
      <w:pPr>
        <w:spacing w:line="480" w:lineRule="auto"/>
        <w:ind w:firstLine="720"/>
        <w:jc w:val="both"/>
        <w:rPr>
          <w:rFonts w:eastAsia="Arial" w:cs="Arial"/>
          <w:szCs w:val="24"/>
        </w:rPr>
      </w:pPr>
    </w:p>
    <w:p w14:paraId="5F04EEF8" w14:textId="005BB8D9" w:rsidR="007C6854" w:rsidRDefault="00E0219E" w:rsidP="00113E43">
      <w:pPr>
        <w:pStyle w:val="Heading3"/>
        <w:spacing w:line="480" w:lineRule="auto"/>
        <w:rPr>
          <w:rFonts w:eastAsia="Arial" w:cs="Arial"/>
          <w:sz w:val="24"/>
          <w:szCs w:val="24"/>
        </w:rPr>
      </w:pPr>
      <w:r>
        <w:rPr>
          <w:rFonts w:eastAsia="Arial" w:cs="Arial"/>
          <w:sz w:val="24"/>
          <w:szCs w:val="24"/>
        </w:rPr>
        <w:t>Respondents or Participants</w:t>
      </w:r>
    </w:p>
    <w:p w14:paraId="562FDE54" w14:textId="47DFD96C" w:rsidR="00E865ED" w:rsidRDefault="00E0219E" w:rsidP="00E865ED">
      <w:pPr>
        <w:spacing w:line="480" w:lineRule="auto"/>
        <w:ind w:firstLine="720"/>
        <w:jc w:val="both"/>
        <w:rPr>
          <w:rFonts w:eastAsia="Arial" w:cs="Arial"/>
          <w:szCs w:val="24"/>
        </w:rPr>
      </w:pPr>
      <w:r>
        <w:rPr>
          <w:rFonts w:eastAsia="Arial" w:cs="Arial"/>
          <w:szCs w:val="24"/>
        </w:rPr>
        <w:t>Concerning the above, the researcher provided an incentive to survey respondents in the form of a monetary payment of 50 pesos. The intention is to compensate the research participant for the time spent participating in the research study, as requested by the researcher.</w:t>
      </w:r>
    </w:p>
    <w:p w14:paraId="2FF374E2" w14:textId="6E76A55C" w:rsidR="007C6854" w:rsidRPr="00F362B2" w:rsidRDefault="00E0219E" w:rsidP="00F362B2">
      <w:pPr>
        <w:pStyle w:val="Heading3"/>
        <w:spacing w:line="480" w:lineRule="auto"/>
        <w:rPr>
          <w:rFonts w:eastAsia="Arial" w:cs="Arial"/>
          <w:sz w:val="24"/>
          <w:szCs w:val="24"/>
        </w:rPr>
      </w:pPr>
      <w:bookmarkStart w:id="44" w:name="_heading=h.1v1yuxt" w:colFirst="0" w:colLast="0"/>
      <w:bookmarkEnd w:id="44"/>
      <w:r>
        <w:rPr>
          <w:rFonts w:eastAsia="Arial" w:cs="Arial"/>
          <w:sz w:val="24"/>
          <w:szCs w:val="24"/>
        </w:rPr>
        <w:t>Research Assistant / Enumerator(s)</w:t>
      </w:r>
    </w:p>
    <w:p w14:paraId="59DF92C4" w14:textId="71A4ECC2" w:rsidR="00F362B2" w:rsidRDefault="00E0219E" w:rsidP="00E865ED">
      <w:pPr>
        <w:spacing w:line="480" w:lineRule="auto"/>
        <w:ind w:firstLine="720"/>
        <w:jc w:val="both"/>
        <w:rPr>
          <w:rFonts w:eastAsia="Arial" w:cs="Arial"/>
          <w:szCs w:val="24"/>
        </w:rPr>
      </w:pPr>
      <w:r>
        <w:rPr>
          <w:rFonts w:eastAsia="Arial" w:cs="Arial"/>
          <w:szCs w:val="24"/>
        </w:rPr>
        <w:t xml:space="preserve">The researcher hires a research assistant or enumerator to assist in data collection. Remuneration was provided, and payment was </w:t>
      </w:r>
      <w:proofErr w:type="gramStart"/>
      <w:r>
        <w:rPr>
          <w:rFonts w:eastAsia="Arial" w:cs="Arial"/>
          <w:szCs w:val="24"/>
        </w:rPr>
        <w:t>directly made</w:t>
      </w:r>
      <w:proofErr w:type="gramEnd"/>
      <w:r>
        <w:rPr>
          <w:rFonts w:eastAsia="Arial" w:cs="Arial"/>
          <w:szCs w:val="24"/>
        </w:rPr>
        <w:t xml:space="preserve"> to the research assistant in the amount of 12,000 pesos in total.</w:t>
      </w:r>
    </w:p>
    <w:p w14:paraId="4C29EC7A" w14:textId="573384B3" w:rsidR="007C6854" w:rsidRPr="00F362B2" w:rsidRDefault="00E0219E" w:rsidP="00F362B2">
      <w:pPr>
        <w:pStyle w:val="Heading3"/>
        <w:spacing w:line="480" w:lineRule="auto"/>
        <w:rPr>
          <w:rFonts w:eastAsia="Arial" w:cs="Arial"/>
          <w:sz w:val="24"/>
          <w:szCs w:val="24"/>
        </w:rPr>
      </w:pPr>
      <w:bookmarkStart w:id="45" w:name="_heading=h.4f1mdlm" w:colFirst="0" w:colLast="0"/>
      <w:bookmarkEnd w:id="45"/>
      <w:r>
        <w:rPr>
          <w:rFonts w:eastAsia="Arial" w:cs="Arial"/>
          <w:sz w:val="24"/>
          <w:szCs w:val="24"/>
        </w:rPr>
        <w:t>Provision for Injury or related illnesses</w:t>
      </w:r>
    </w:p>
    <w:p w14:paraId="3994B5CD" w14:textId="5F1BB73A" w:rsidR="00F362B2" w:rsidRPr="00F362B2" w:rsidRDefault="00E0219E" w:rsidP="00F362B2">
      <w:pPr>
        <w:pBdr>
          <w:top w:val="nil"/>
          <w:left w:val="nil"/>
          <w:bottom w:val="nil"/>
          <w:right w:val="nil"/>
          <w:between w:val="nil"/>
        </w:pBdr>
        <w:spacing w:line="480" w:lineRule="auto"/>
        <w:ind w:firstLine="720"/>
        <w:jc w:val="both"/>
        <w:rPr>
          <w:rFonts w:eastAsia="Arial" w:cs="Arial"/>
          <w:color w:val="000000"/>
          <w:szCs w:val="24"/>
        </w:rPr>
      </w:pPr>
      <w:bookmarkStart w:id="46" w:name="_heading=h.2s8eyo1" w:colFirst="0" w:colLast="0"/>
      <w:bookmarkEnd w:id="46"/>
      <w:r>
        <w:rPr>
          <w:rFonts w:eastAsia="Arial" w:cs="Arial"/>
          <w:szCs w:val="24"/>
        </w:rPr>
        <w:t xml:space="preserve">The study ensured that both the enumerator and survey participants were given proper health attention in case of sickness due to potential detection or exposure during the interview. The researcher coordinated with the Mayor Juan R. Sanchez Health Center on potential referrals. </w:t>
      </w:r>
      <w:r>
        <w:rPr>
          <w:rFonts w:eastAsia="Arial" w:cs="Arial"/>
          <w:color w:val="000000"/>
          <w:szCs w:val="24"/>
        </w:rPr>
        <w:t xml:space="preserve">During data collection </w:t>
      </w:r>
      <w:r>
        <w:rPr>
          <w:rFonts w:eastAsia="Arial" w:cs="Arial"/>
          <w:szCs w:val="24"/>
        </w:rPr>
        <w:t>activities</w:t>
      </w:r>
      <w:r>
        <w:rPr>
          <w:rFonts w:eastAsia="Arial" w:cs="Arial"/>
          <w:color w:val="000000"/>
          <w:szCs w:val="24"/>
        </w:rPr>
        <w:t>, no interviewer or survey participants got sick.</w:t>
      </w:r>
      <w:r>
        <w:rPr>
          <w:rFonts w:eastAsia="Arial" w:cs="Arial"/>
          <w:szCs w:val="24"/>
        </w:rPr>
        <w:t xml:space="preserve"> Regarding high blood pressure, s</w:t>
      </w:r>
      <w:r>
        <w:rPr>
          <w:rFonts w:eastAsia="Arial" w:cs="Arial"/>
          <w:color w:val="000000"/>
          <w:szCs w:val="24"/>
        </w:rPr>
        <w:t>ince only historical data was collected f</w:t>
      </w:r>
      <w:r>
        <w:rPr>
          <w:rFonts w:eastAsia="Arial" w:cs="Arial"/>
          <w:szCs w:val="24"/>
        </w:rPr>
        <w:t>rom</w:t>
      </w:r>
      <w:r>
        <w:rPr>
          <w:rFonts w:eastAsia="Arial" w:cs="Arial"/>
          <w:color w:val="000000"/>
          <w:szCs w:val="24"/>
        </w:rPr>
        <w:t xml:space="preserve"> the participants, no survey participants were referred to a healthcare facility. </w:t>
      </w:r>
    </w:p>
    <w:p w14:paraId="3DBCF06A" w14:textId="77777777" w:rsidR="007C6854" w:rsidRDefault="00E0219E" w:rsidP="00113E43">
      <w:pPr>
        <w:pStyle w:val="Heading3"/>
        <w:spacing w:line="480" w:lineRule="auto"/>
        <w:rPr>
          <w:rFonts w:eastAsia="Arial" w:cs="Arial"/>
          <w:sz w:val="24"/>
          <w:szCs w:val="24"/>
        </w:rPr>
      </w:pPr>
      <w:bookmarkStart w:id="47" w:name="_heading=h.2u6wntf" w:colFirst="0" w:colLast="0"/>
      <w:bookmarkEnd w:id="47"/>
      <w:r>
        <w:rPr>
          <w:rFonts w:eastAsia="Arial" w:cs="Arial"/>
          <w:sz w:val="24"/>
          <w:szCs w:val="24"/>
        </w:rPr>
        <w:t>Voluntariness of Participants</w:t>
      </w:r>
    </w:p>
    <w:p w14:paraId="145FD532" w14:textId="77777777" w:rsidR="007C6854" w:rsidRDefault="00E0219E" w:rsidP="00113E43">
      <w:pPr>
        <w:numPr>
          <w:ilvl w:val="0"/>
          <w:numId w:val="38"/>
        </w:numPr>
        <w:spacing w:before="280" w:line="480" w:lineRule="auto"/>
        <w:ind w:left="220" w:firstLine="0"/>
        <w:rPr>
          <w:rFonts w:eastAsia="Arial" w:cs="Arial"/>
          <w:b/>
          <w:szCs w:val="24"/>
        </w:rPr>
      </w:pPr>
      <w:r>
        <w:rPr>
          <w:rFonts w:eastAsia="Arial" w:cs="Arial"/>
          <w:b/>
          <w:szCs w:val="24"/>
        </w:rPr>
        <w:t>Subject Selections and Issuance of Consent</w:t>
      </w:r>
    </w:p>
    <w:p w14:paraId="7CCAEC6B" w14:textId="45510383" w:rsidR="00F362B2" w:rsidRDefault="00E0219E" w:rsidP="00E865ED">
      <w:pPr>
        <w:spacing w:line="480" w:lineRule="auto"/>
        <w:ind w:left="220" w:firstLine="500"/>
        <w:jc w:val="both"/>
        <w:rPr>
          <w:rFonts w:eastAsia="Arial" w:cs="Arial"/>
          <w:i/>
          <w:szCs w:val="24"/>
        </w:rPr>
      </w:pPr>
      <w:r>
        <w:rPr>
          <w:rFonts w:eastAsia="Arial" w:cs="Arial"/>
          <w:szCs w:val="24"/>
        </w:rPr>
        <w:t xml:space="preserve">The research ensured that the research participants were recruited voluntarily and were not coerced. The researcher ensured that survey participants did not </w:t>
      </w:r>
      <w:r>
        <w:rPr>
          <w:rFonts w:eastAsia="Arial" w:cs="Arial"/>
          <w:szCs w:val="24"/>
        </w:rPr>
        <w:lastRenderedPageBreak/>
        <w:t>experience any discrimination and that all their rights were observed during the period of the research. Standard written consent was applied, and a certificate of participation was issued to all respondents. The interviewers see to it that survey participants understand the context, objectives, risks, or benefits the research may have or may not have (See Appendix D: Informed Consent Form). The researcher ensured that no respondents were exploited or harmed due to the irresponsible manner of the query, and no minors were included in the study. The study only included adult individuals over the age of 20 and above. To ensure that the true age was being divulged, the researcher added another variable named “</w:t>
      </w:r>
      <w:proofErr w:type="spellStart"/>
      <w:r>
        <w:rPr>
          <w:rFonts w:eastAsia="Arial" w:cs="Arial"/>
          <w:szCs w:val="24"/>
        </w:rPr>
        <w:t>Age_Calc</w:t>
      </w:r>
      <w:proofErr w:type="spellEnd"/>
      <w:r>
        <w:rPr>
          <w:rFonts w:eastAsia="Arial" w:cs="Arial"/>
          <w:szCs w:val="24"/>
        </w:rPr>
        <w:t xml:space="preserve">” to validate the respondents’ age. Further, the researcher translated the content of the informed consent form to the language/dialect commonly used in the community, i.e., </w:t>
      </w:r>
      <w:r>
        <w:rPr>
          <w:rFonts w:eastAsia="Arial" w:cs="Arial"/>
          <w:i/>
          <w:szCs w:val="24"/>
        </w:rPr>
        <w:t xml:space="preserve">Filipino, Tagalog, </w:t>
      </w:r>
      <w:proofErr w:type="spellStart"/>
      <w:r>
        <w:rPr>
          <w:rFonts w:eastAsia="Arial" w:cs="Arial"/>
          <w:i/>
          <w:szCs w:val="24"/>
        </w:rPr>
        <w:t>Englog</w:t>
      </w:r>
      <w:proofErr w:type="spellEnd"/>
      <w:r>
        <w:rPr>
          <w:rFonts w:eastAsia="Arial" w:cs="Arial"/>
          <w:i/>
          <w:szCs w:val="24"/>
        </w:rPr>
        <w:t xml:space="preserve">, or </w:t>
      </w:r>
      <w:proofErr w:type="spellStart"/>
      <w:r>
        <w:rPr>
          <w:rFonts w:eastAsia="Arial" w:cs="Arial"/>
          <w:i/>
          <w:szCs w:val="24"/>
        </w:rPr>
        <w:t>Taglish</w:t>
      </w:r>
      <w:proofErr w:type="spellEnd"/>
      <w:r>
        <w:rPr>
          <w:rFonts w:eastAsia="Arial" w:cs="Arial"/>
          <w:i/>
          <w:szCs w:val="24"/>
        </w:rPr>
        <w:t>.</w:t>
      </w:r>
    </w:p>
    <w:p w14:paraId="1F0C038A" w14:textId="77777777" w:rsidR="007C6854" w:rsidRDefault="00E0219E" w:rsidP="00113E43">
      <w:pPr>
        <w:pStyle w:val="Heading3"/>
        <w:spacing w:line="480" w:lineRule="auto"/>
        <w:rPr>
          <w:rFonts w:eastAsia="Arial" w:cs="Arial"/>
          <w:sz w:val="24"/>
          <w:szCs w:val="24"/>
        </w:rPr>
      </w:pPr>
      <w:bookmarkStart w:id="48" w:name="_heading=h.19c6y18" w:colFirst="0" w:colLast="0"/>
      <w:bookmarkEnd w:id="48"/>
      <w:r>
        <w:rPr>
          <w:rFonts w:eastAsia="Arial" w:cs="Arial"/>
          <w:sz w:val="24"/>
          <w:szCs w:val="24"/>
        </w:rPr>
        <w:t>Confidentiality</w:t>
      </w:r>
    </w:p>
    <w:p w14:paraId="2AF092AF" w14:textId="77777777" w:rsidR="007C6854" w:rsidRDefault="00E0219E" w:rsidP="00113E43">
      <w:pPr>
        <w:numPr>
          <w:ilvl w:val="0"/>
          <w:numId w:val="6"/>
        </w:numPr>
        <w:spacing w:before="280" w:line="480" w:lineRule="auto"/>
        <w:ind w:left="220" w:firstLine="0"/>
        <w:rPr>
          <w:rFonts w:eastAsia="Arial" w:cs="Arial"/>
          <w:b/>
          <w:szCs w:val="24"/>
        </w:rPr>
      </w:pPr>
      <w:r>
        <w:rPr>
          <w:rFonts w:eastAsia="Arial" w:cs="Arial"/>
          <w:b/>
          <w:szCs w:val="24"/>
        </w:rPr>
        <w:t>Privacy and Confidentiality of Information</w:t>
      </w:r>
    </w:p>
    <w:p w14:paraId="05CA5D50" w14:textId="0FDCCED1" w:rsidR="007C6854" w:rsidRDefault="00E0219E" w:rsidP="000150F8">
      <w:pPr>
        <w:spacing w:line="480" w:lineRule="auto"/>
        <w:ind w:left="220" w:firstLine="500"/>
        <w:jc w:val="both"/>
        <w:rPr>
          <w:rFonts w:eastAsia="Arial" w:cs="Arial"/>
          <w:szCs w:val="24"/>
        </w:rPr>
      </w:pPr>
      <w:r>
        <w:rPr>
          <w:rFonts w:eastAsia="Arial" w:cs="Arial"/>
          <w:szCs w:val="24"/>
        </w:rPr>
        <w:t xml:space="preserve">The researcher respects the participant’s right to privacy. The confidentiality of information is always observed. The researcher adheres to the principles of transparency, legitimate purpose, and proportionality in the collection, retention, and processing of personal information (National Privacy Commission, 2012; PHREB, 2017). Respondent’s identities are protected. The interviewer maintains the level of trust of the survey respondents. The researcher properly oriented the research assistant to ensure interview quality and confidentiality. In addition, all research questionnaires and the database are kept secure for future use. In addition, the researcher secured a memorandum of agreement with the barangay health center </w:t>
      </w:r>
      <w:r>
        <w:rPr>
          <w:rFonts w:eastAsia="Arial" w:cs="Arial"/>
          <w:szCs w:val="24"/>
        </w:rPr>
        <w:lastRenderedPageBreak/>
        <w:t>for the use of secondary data and the sharing of other information that will advance this research study.</w:t>
      </w:r>
    </w:p>
    <w:p w14:paraId="3F6A7D36" w14:textId="77777777" w:rsidR="007C6854" w:rsidRDefault="00E0219E" w:rsidP="00113E43">
      <w:pPr>
        <w:numPr>
          <w:ilvl w:val="0"/>
          <w:numId w:val="6"/>
        </w:numPr>
        <w:spacing w:before="280" w:line="480" w:lineRule="auto"/>
        <w:ind w:left="220" w:firstLine="0"/>
        <w:rPr>
          <w:rFonts w:eastAsia="Arial" w:cs="Arial"/>
          <w:b/>
          <w:szCs w:val="24"/>
        </w:rPr>
      </w:pPr>
      <w:r>
        <w:rPr>
          <w:rFonts w:eastAsia="Arial" w:cs="Arial"/>
          <w:b/>
          <w:szCs w:val="24"/>
        </w:rPr>
        <w:t>Data Protection Procedure</w:t>
      </w:r>
    </w:p>
    <w:p w14:paraId="73524E77" w14:textId="77777777" w:rsidR="007C6854" w:rsidRDefault="00E0219E" w:rsidP="00113E43">
      <w:pPr>
        <w:spacing w:before="280" w:line="480" w:lineRule="auto"/>
        <w:ind w:firstLine="220"/>
        <w:jc w:val="both"/>
        <w:rPr>
          <w:rFonts w:eastAsia="Arial" w:cs="Arial"/>
          <w:szCs w:val="24"/>
        </w:rPr>
      </w:pPr>
      <w:r>
        <w:rPr>
          <w:rFonts w:eastAsia="Arial" w:cs="Arial"/>
          <w:szCs w:val="24"/>
        </w:rPr>
        <w:t>All research files are kept in one folder and will be kept in the researcher’s personal cloud account, both in Google and Microsoft accounts.</w:t>
      </w:r>
    </w:p>
    <w:p w14:paraId="379920DE" w14:textId="77777777" w:rsidR="007C6854" w:rsidRDefault="00E0219E" w:rsidP="00113E43">
      <w:pPr>
        <w:numPr>
          <w:ilvl w:val="1"/>
          <w:numId w:val="6"/>
        </w:numPr>
        <w:spacing w:before="280" w:line="480" w:lineRule="auto"/>
        <w:jc w:val="both"/>
        <w:rPr>
          <w:rFonts w:eastAsia="Arial" w:cs="Arial"/>
          <w:b/>
          <w:szCs w:val="24"/>
        </w:rPr>
      </w:pPr>
      <w:r>
        <w:rPr>
          <w:rFonts w:eastAsia="Arial" w:cs="Arial"/>
          <w:b/>
          <w:szCs w:val="24"/>
        </w:rPr>
        <w:t xml:space="preserve">Data Availability: </w:t>
      </w:r>
      <w:r>
        <w:rPr>
          <w:rFonts w:eastAsia="Arial" w:cs="Arial"/>
          <w:szCs w:val="24"/>
        </w:rPr>
        <w:t xml:space="preserve">The folders linked are shared with UPOU-FMDS and UPOU-IREC for easy access. Recipients of this research are encouraged to ask for the report of this research to be produced through a request addressed to UPOU-FMDS Program Chair, Dr. Myra D. </w:t>
      </w:r>
      <w:proofErr w:type="spellStart"/>
      <w:r>
        <w:rPr>
          <w:rFonts w:eastAsia="Arial" w:cs="Arial"/>
          <w:szCs w:val="24"/>
        </w:rPr>
        <w:t>Oruga</w:t>
      </w:r>
      <w:proofErr w:type="spellEnd"/>
      <w:r>
        <w:rPr>
          <w:rFonts w:eastAsia="Arial" w:cs="Arial"/>
          <w:szCs w:val="24"/>
        </w:rPr>
        <w:t>.</w:t>
      </w:r>
    </w:p>
    <w:p w14:paraId="088EC562" w14:textId="77777777" w:rsidR="007C6854" w:rsidRDefault="00E0219E" w:rsidP="00113E43">
      <w:pPr>
        <w:numPr>
          <w:ilvl w:val="1"/>
          <w:numId w:val="6"/>
        </w:numPr>
        <w:spacing w:before="280" w:line="480" w:lineRule="auto"/>
        <w:jc w:val="both"/>
        <w:rPr>
          <w:rFonts w:eastAsia="Arial" w:cs="Arial"/>
          <w:b/>
          <w:szCs w:val="24"/>
        </w:rPr>
      </w:pPr>
      <w:r>
        <w:rPr>
          <w:rFonts w:eastAsia="Arial" w:cs="Arial"/>
          <w:b/>
          <w:szCs w:val="24"/>
        </w:rPr>
        <w:t>Data Lifecycle Management</w:t>
      </w:r>
      <w:r>
        <w:rPr>
          <w:rFonts w:eastAsia="Arial" w:cs="Arial"/>
          <w:szCs w:val="24"/>
        </w:rPr>
        <w:t xml:space="preserve"> (See Use of Open-Source Mobile Applications for Data Collection and Storage, page 34)</w:t>
      </w:r>
    </w:p>
    <w:p w14:paraId="6837072F" w14:textId="77777777" w:rsidR="007C6854" w:rsidRDefault="00E0219E" w:rsidP="00113E43">
      <w:pPr>
        <w:numPr>
          <w:ilvl w:val="1"/>
          <w:numId w:val="6"/>
        </w:numPr>
        <w:spacing w:before="280" w:line="480" w:lineRule="auto"/>
        <w:jc w:val="both"/>
        <w:rPr>
          <w:rFonts w:eastAsia="Arial" w:cs="Arial"/>
          <w:b/>
          <w:szCs w:val="24"/>
        </w:rPr>
      </w:pPr>
      <w:bookmarkStart w:id="49" w:name="_heading=h.17dp8vu" w:colFirst="0" w:colLast="0"/>
      <w:bookmarkEnd w:id="49"/>
      <w:r>
        <w:rPr>
          <w:rFonts w:eastAsia="Arial" w:cs="Arial"/>
          <w:b/>
          <w:szCs w:val="24"/>
        </w:rPr>
        <w:t>Information lifecycle management</w:t>
      </w:r>
      <w:r>
        <w:rPr>
          <w:rFonts w:eastAsia="Arial" w:cs="Arial"/>
          <w:szCs w:val="24"/>
        </w:rPr>
        <w:t xml:space="preserve">: cloud-based storage is practiced to protect the data from any corruption due to machine failure, malware, or virus attack. The file will be kept for five years. After the time period of keeping, the data will be deleted from the cloud storage service.  Paper-based data collection was discouraged for this research. </w:t>
      </w:r>
    </w:p>
    <w:p w14:paraId="221B73F6" w14:textId="77777777" w:rsidR="007C6854" w:rsidRDefault="00E0219E" w:rsidP="00113E43">
      <w:pPr>
        <w:numPr>
          <w:ilvl w:val="0"/>
          <w:numId w:val="6"/>
        </w:numPr>
        <w:spacing w:before="280" w:line="480" w:lineRule="auto"/>
        <w:ind w:left="220" w:firstLine="0"/>
        <w:rPr>
          <w:rFonts w:eastAsia="Arial" w:cs="Arial"/>
          <w:b/>
          <w:szCs w:val="24"/>
        </w:rPr>
      </w:pPr>
      <w:r>
        <w:rPr>
          <w:rFonts w:eastAsia="Arial" w:cs="Arial"/>
          <w:b/>
          <w:szCs w:val="24"/>
        </w:rPr>
        <w:t>Transparency and Contact Person</w:t>
      </w:r>
    </w:p>
    <w:p w14:paraId="123C6EB3" w14:textId="77777777" w:rsidR="007C6854" w:rsidRDefault="00E0219E" w:rsidP="00113E43">
      <w:pPr>
        <w:spacing w:line="480" w:lineRule="auto"/>
        <w:ind w:left="220" w:firstLine="240"/>
        <w:jc w:val="both"/>
        <w:rPr>
          <w:rFonts w:eastAsia="Arial" w:cs="Arial"/>
          <w:szCs w:val="24"/>
        </w:rPr>
      </w:pPr>
      <w:r>
        <w:rPr>
          <w:rFonts w:eastAsia="Arial" w:cs="Arial"/>
          <w:szCs w:val="24"/>
        </w:rPr>
        <w:t xml:space="preserve">The research is a requirement for the researcher to graduate from the master’s in international health program of the University of the Philippines Open University. During the conduct of the research, the researcher ensured transparency about aspects of the research that may have an impact on participants’ rights and safety </w:t>
      </w:r>
      <w:r>
        <w:rPr>
          <w:rFonts w:eastAsia="Arial" w:cs="Arial"/>
          <w:szCs w:val="24"/>
        </w:rPr>
        <w:lastRenderedPageBreak/>
        <w:t xml:space="preserve">or information that may have a bearing on the participants' decision to give or withhold their informed consent (PHREB, 2017). In case of any questions regarding the research, the researcher can be reached through his personal email and mobile number. </w:t>
      </w:r>
    </w:p>
    <w:p w14:paraId="336F83B3" w14:textId="77777777" w:rsidR="007C6854" w:rsidRDefault="00E0219E" w:rsidP="00113E43">
      <w:pPr>
        <w:spacing w:line="480" w:lineRule="auto"/>
        <w:jc w:val="both"/>
        <w:rPr>
          <w:rFonts w:eastAsia="Arial" w:cs="Arial"/>
          <w:szCs w:val="24"/>
        </w:rPr>
      </w:pPr>
      <w:r>
        <w:rPr>
          <w:rFonts w:eastAsia="Arial" w:cs="Arial"/>
          <w:szCs w:val="24"/>
        </w:rPr>
        <w:tab/>
        <w:t>Name of the Researcher: Rammell Eric C. Martinez</w:t>
      </w:r>
    </w:p>
    <w:p w14:paraId="581C261E" w14:textId="77777777" w:rsidR="007C6854" w:rsidRDefault="00E0219E" w:rsidP="00113E43">
      <w:pPr>
        <w:spacing w:line="480" w:lineRule="auto"/>
        <w:jc w:val="both"/>
        <w:rPr>
          <w:rFonts w:eastAsia="Arial" w:cs="Arial"/>
          <w:szCs w:val="24"/>
        </w:rPr>
      </w:pPr>
      <w:r>
        <w:rPr>
          <w:rFonts w:eastAsia="Arial" w:cs="Arial"/>
          <w:szCs w:val="24"/>
        </w:rPr>
        <w:tab/>
        <w:t xml:space="preserve">Email Address: </w:t>
      </w:r>
      <w:r>
        <w:rPr>
          <w:rFonts w:eastAsia="Arial" w:cs="Arial"/>
          <w:szCs w:val="24"/>
          <w:u w:val="single"/>
        </w:rPr>
        <w:t>rcmartinez3@up.edu.ph</w:t>
      </w:r>
    </w:p>
    <w:p w14:paraId="4AEF40AA" w14:textId="77777777" w:rsidR="007C6854" w:rsidRDefault="00E0219E" w:rsidP="00113E43">
      <w:pPr>
        <w:spacing w:line="480" w:lineRule="auto"/>
        <w:jc w:val="both"/>
        <w:rPr>
          <w:rFonts w:eastAsia="Arial" w:cs="Arial"/>
          <w:szCs w:val="24"/>
        </w:rPr>
      </w:pPr>
      <w:r>
        <w:rPr>
          <w:rFonts w:eastAsia="Arial" w:cs="Arial"/>
          <w:szCs w:val="24"/>
        </w:rPr>
        <w:tab/>
        <w:t>Mobile Number: 0921-447-7490</w:t>
      </w:r>
    </w:p>
    <w:p w14:paraId="57908596" w14:textId="77777777" w:rsidR="007C6854" w:rsidRDefault="00E0219E" w:rsidP="00113E43">
      <w:pPr>
        <w:spacing w:line="480" w:lineRule="auto"/>
        <w:jc w:val="both"/>
        <w:rPr>
          <w:rFonts w:eastAsia="Arial" w:cs="Arial"/>
          <w:szCs w:val="24"/>
        </w:rPr>
      </w:pPr>
      <w:r>
        <w:rPr>
          <w:rFonts w:eastAsia="Arial" w:cs="Arial"/>
          <w:szCs w:val="24"/>
        </w:rPr>
        <w:tab/>
        <w:t>For any complaint, grievance, or concern regarding the ethical misconduct of the researcher, the study participants may contact the panel chair and the researcher's thesis adviser.</w:t>
      </w:r>
    </w:p>
    <w:p w14:paraId="5E619E70" w14:textId="77777777" w:rsidR="007C6854" w:rsidRDefault="00E0219E" w:rsidP="00113E43">
      <w:pPr>
        <w:spacing w:line="480" w:lineRule="auto"/>
        <w:ind w:left="220"/>
        <w:jc w:val="both"/>
        <w:rPr>
          <w:rFonts w:eastAsia="Arial" w:cs="Arial"/>
          <w:szCs w:val="24"/>
        </w:rPr>
      </w:pPr>
      <w:r>
        <w:rPr>
          <w:rFonts w:eastAsia="Arial" w:cs="Arial"/>
          <w:szCs w:val="24"/>
        </w:rPr>
        <w:t xml:space="preserve">Name: Dr Myra D. </w:t>
      </w:r>
      <w:proofErr w:type="spellStart"/>
      <w:r>
        <w:rPr>
          <w:rFonts w:eastAsia="Arial" w:cs="Arial"/>
          <w:szCs w:val="24"/>
        </w:rPr>
        <w:t>Oruga</w:t>
      </w:r>
      <w:proofErr w:type="spellEnd"/>
    </w:p>
    <w:p w14:paraId="62080B72" w14:textId="77777777" w:rsidR="007C6854" w:rsidRDefault="00E0219E" w:rsidP="00113E43">
      <w:pPr>
        <w:spacing w:line="480" w:lineRule="auto"/>
        <w:ind w:left="220"/>
        <w:jc w:val="both"/>
        <w:rPr>
          <w:rFonts w:eastAsia="Arial" w:cs="Arial"/>
          <w:szCs w:val="24"/>
        </w:rPr>
      </w:pPr>
      <w:r>
        <w:rPr>
          <w:rFonts w:eastAsia="Arial" w:cs="Arial"/>
          <w:szCs w:val="24"/>
        </w:rPr>
        <w:t xml:space="preserve">Email Address: </w:t>
      </w:r>
      <w:hyperlink r:id="rId40">
        <w:r>
          <w:rPr>
            <w:rFonts w:eastAsia="Arial" w:cs="Arial"/>
            <w:color w:val="000000"/>
            <w:sz w:val="23"/>
            <w:szCs w:val="23"/>
            <w:highlight w:val="white"/>
            <w:u w:val="single"/>
          </w:rPr>
          <w:t>dmihpc@upou.edu.ph</w:t>
        </w:r>
      </w:hyperlink>
      <w:r>
        <w:rPr>
          <w:rFonts w:eastAsia="Arial" w:cs="Arial"/>
        </w:rPr>
        <w:t xml:space="preserve"> or </w:t>
      </w:r>
      <w:hyperlink r:id="rId41">
        <w:r>
          <w:rPr>
            <w:rFonts w:eastAsia="Arial" w:cs="Arial"/>
            <w:color w:val="000000"/>
            <w:szCs w:val="24"/>
            <w:u w:val="single"/>
          </w:rPr>
          <w:t>mdoruga@up.edu.ph</w:t>
        </w:r>
      </w:hyperlink>
      <w:r>
        <w:rPr>
          <w:rFonts w:eastAsia="Arial" w:cs="Arial"/>
          <w:szCs w:val="24"/>
        </w:rPr>
        <w:t xml:space="preserve"> </w:t>
      </w:r>
    </w:p>
    <w:p w14:paraId="69AC0FAB" w14:textId="77777777" w:rsidR="007C6854" w:rsidRDefault="00E0219E" w:rsidP="00113E43">
      <w:pPr>
        <w:spacing w:line="480" w:lineRule="auto"/>
        <w:ind w:left="220"/>
        <w:jc w:val="both"/>
        <w:rPr>
          <w:rFonts w:eastAsia="Arial" w:cs="Arial"/>
        </w:rPr>
      </w:pPr>
      <w:r>
        <w:rPr>
          <w:rFonts w:eastAsia="Arial" w:cs="Arial"/>
          <w:szCs w:val="24"/>
        </w:rPr>
        <w:t xml:space="preserve">UPOU-FMDS Contact Number: </w:t>
      </w:r>
      <w:hyperlink r:id="rId42">
        <w:r>
          <w:rPr>
            <w:rFonts w:eastAsia="Arial" w:cs="Arial"/>
            <w:color w:val="000000"/>
            <w:sz w:val="23"/>
            <w:szCs w:val="23"/>
            <w:u w:val="single"/>
            <w:shd w:val="clear" w:color="auto" w:fill="F8F8F8"/>
          </w:rPr>
          <w:t>(+6349) 536-6001 to 06 local 821, 333</w:t>
        </w:r>
      </w:hyperlink>
      <w:r>
        <w:rPr>
          <w:rFonts w:eastAsia="Arial" w:cs="Arial"/>
        </w:rPr>
        <w:t xml:space="preserve"> </w:t>
      </w:r>
    </w:p>
    <w:p w14:paraId="08E20B9C" w14:textId="77777777" w:rsidR="007C6854" w:rsidRDefault="00E0219E" w:rsidP="00113E43">
      <w:pPr>
        <w:numPr>
          <w:ilvl w:val="0"/>
          <w:numId w:val="6"/>
        </w:numPr>
        <w:spacing w:before="280" w:line="480" w:lineRule="auto"/>
        <w:ind w:left="220" w:firstLine="0"/>
        <w:rPr>
          <w:rFonts w:eastAsia="Arial" w:cs="Arial"/>
          <w:b/>
          <w:szCs w:val="24"/>
        </w:rPr>
      </w:pPr>
      <w:r>
        <w:rPr>
          <w:rFonts w:eastAsia="Arial" w:cs="Arial"/>
          <w:b/>
          <w:szCs w:val="24"/>
        </w:rPr>
        <w:t>Use of Open-Source Mobile Applications for Collection of Data</w:t>
      </w:r>
    </w:p>
    <w:p w14:paraId="035D49D5" w14:textId="7BE5FF90" w:rsidR="00F362B2" w:rsidRPr="00F362B2" w:rsidRDefault="00E0219E" w:rsidP="00F362B2">
      <w:pPr>
        <w:spacing w:line="480" w:lineRule="auto"/>
        <w:ind w:left="220" w:firstLine="500"/>
        <w:jc w:val="both"/>
        <w:rPr>
          <w:rFonts w:eastAsia="Arial" w:cs="Arial"/>
          <w:szCs w:val="24"/>
        </w:rPr>
      </w:pPr>
      <w:r>
        <w:rPr>
          <w:rFonts w:eastAsia="Arial" w:cs="Arial"/>
          <w:szCs w:val="24"/>
        </w:rPr>
        <w:t xml:space="preserve">The researcher developed the questionnaire using </w:t>
      </w:r>
      <w:proofErr w:type="spellStart"/>
      <w:r>
        <w:rPr>
          <w:rFonts w:eastAsia="Arial" w:cs="Arial"/>
          <w:szCs w:val="24"/>
        </w:rPr>
        <w:t>KoboToolbox</w:t>
      </w:r>
      <w:proofErr w:type="spellEnd"/>
      <w:r>
        <w:rPr>
          <w:rFonts w:eastAsia="Arial" w:cs="Arial"/>
          <w:szCs w:val="24"/>
        </w:rPr>
        <w:t xml:space="preserve">, an open-source web application. A mobile application tool, </w:t>
      </w:r>
      <w:proofErr w:type="spellStart"/>
      <w:r>
        <w:rPr>
          <w:rFonts w:eastAsia="Arial" w:cs="Arial"/>
          <w:szCs w:val="24"/>
        </w:rPr>
        <w:t>KoboCollect</w:t>
      </w:r>
      <w:proofErr w:type="spellEnd"/>
      <w:r>
        <w:rPr>
          <w:rFonts w:eastAsia="Arial" w:cs="Arial"/>
          <w:szCs w:val="24"/>
        </w:rPr>
        <w:t>, was used in the survey. Using existing technology for data collection and encoding, we can simplify the process of data collection. Likewise, data efficiency and quality are observed. In the event of a client's non-response or refusal to continue the survey (breakoff interview) due to whatever reasons, the interviewers will document the event and consider it a refusal. The refusal rate is calculated to measure any error in estimates.</w:t>
      </w:r>
    </w:p>
    <w:p w14:paraId="6332654D" w14:textId="77777777" w:rsidR="007C6854" w:rsidRDefault="00E0219E" w:rsidP="00F362B2">
      <w:pPr>
        <w:pStyle w:val="Heading3"/>
        <w:spacing w:line="480" w:lineRule="auto"/>
        <w:rPr>
          <w:rFonts w:eastAsia="Arial" w:cs="Arial"/>
          <w:sz w:val="24"/>
          <w:szCs w:val="24"/>
        </w:rPr>
      </w:pPr>
      <w:bookmarkStart w:id="50" w:name="_heading=h.3tbugp1" w:colFirst="0" w:colLast="0"/>
      <w:bookmarkEnd w:id="50"/>
      <w:r>
        <w:rPr>
          <w:rFonts w:eastAsia="Arial" w:cs="Arial"/>
          <w:sz w:val="24"/>
          <w:szCs w:val="24"/>
        </w:rPr>
        <w:lastRenderedPageBreak/>
        <w:t>Funding Source</w:t>
      </w:r>
    </w:p>
    <w:p w14:paraId="2F9BF573" w14:textId="50009174" w:rsidR="00F362B2" w:rsidRDefault="00E0219E" w:rsidP="00F362B2">
      <w:pPr>
        <w:spacing w:before="280" w:line="480" w:lineRule="auto"/>
        <w:ind w:firstLine="720"/>
        <w:jc w:val="both"/>
        <w:rPr>
          <w:rFonts w:eastAsia="Arial" w:cs="Arial"/>
          <w:szCs w:val="24"/>
        </w:rPr>
      </w:pPr>
      <w:r>
        <w:rPr>
          <w:rFonts w:eastAsia="Arial" w:cs="Arial"/>
          <w:szCs w:val="24"/>
        </w:rPr>
        <w:t xml:space="preserve">The research was conducted out of the personal savings of the researcher. Thus, the research has no funding source except the interest in the research anchored in the MIH program requirements. </w:t>
      </w:r>
      <w:bookmarkStart w:id="51" w:name="_heading=h.28h4qwu" w:colFirst="0" w:colLast="0"/>
      <w:bookmarkEnd w:id="51"/>
    </w:p>
    <w:p w14:paraId="0FB67448" w14:textId="348DB8FE" w:rsidR="00F362B2" w:rsidRDefault="00E0219E" w:rsidP="00F362B2">
      <w:pPr>
        <w:pStyle w:val="Heading3"/>
        <w:spacing w:line="480" w:lineRule="auto"/>
        <w:rPr>
          <w:rFonts w:eastAsia="Arial" w:cs="Arial"/>
          <w:sz w:val="24"/>
          <w:szCs w:val="24"/>
        </w:rPr>
      </w:pPr>
      <w:r>
        <w:rPr>
          <w:rFonts w:eastAsia="Arial" w:cs="Arial"/>
          <w:sz w:val="24"/>
          <w:szCs w:val="24"/>
        </w:rPr>
        <w:t>Conflict of Interest</w:t>
      </w:r>
    </w:p>
    <w:p w14:paraId="311DE17B" w14:textId="05365062" w:rsidR="007C6854" w:rsidRPr="00F362B2" w:rsidRDefault="00E0219E" w:rsidP="00F362B2">
      <w:pPr>
        <w:pStyle w:val="Heading3"/>
        <w:spacing w:line="480" w:lineRule="auto"/>
        <w:ind w:firstLine="720"/>
        <w:rPr>
          <w:rFonts w:eastAsia="Arial" w:cs="Arial"/>
          <w:b w:val="0"/>
          <w:bCs/>
          <w:sz w:val="24"/>
          <w:szCs w:val="24"/>
        </w:rPr>
      </w:pPr>
      <w:r w:rsidRPr="00F362B2">
        <w:rPr>
          <w:rFonts w:eastAsia="Arial" w:cs="Arial"/>
          <w:b w:val="0"/>
          <w:bCs/>
          <w:sz w:val="24"/>
          <w:szCs w:val="24"/>
        </w:rPr>
        <w:t>The researcher declared no conflicts of interest because the research was conducted without funding. Moreover, the researcher was not an employee of the Municipality of Pateros. More so, this research was conducted as an independent activity whose purpose was the completion of the researcher's master's degree.</w:t>
      </w:r>
      <w:r w:rsidRPr="00F362B2">
        <w:rPr>
          <w:b w:val="0"/>
          <w:bCs/>
        </w:rPr>
        <w:br w:type="page"/>
      </w:r>
    </w:p>
    <w:p w14:paraId="62600B71" w14:textId="03AD7AFB" w:rsidR="007C6854" w:rsidRDefault="00F362B2" w:rsidP="00F362B2">
      <w:pPr>
        <w:pStyle w:val="Heading1"/>
        <w:spacing w:line="240" w:lineRule="auto"/>
        <w:jc w:val="center"/>
        <w:rPr>
          <w:rFonts w:eastAsia="Arial" w:cs="Arial"/>
          <w:sz w:val="24"/>
          <w:szCs w:val="24"/>
        </w:rPr>
      </w:pPr>
      <w:bookmarkStart w:id="52" w:name="_heading=h.nmf14n" w:colFirst="0" w:colLast="0"/>
      <w:bookmarkEnd w:id="52"/>
      <w:r>
        <w:rPr>
          <w:rFonts w:eastAsia="Arial" w:cs="Arial"/>
          <w:sz w:val="24"/>
          <w:szCs w:val="24"/>
        </w:rPr>
        <w:lastRenderedPageBreak/>
        <w:t>Chapter</w:t>
      </w:r>
      <w:r w:rsidR="00E0219E">
        <w:rPr>
          <w:rFonts w:eastAsia="Arial" w:cs="Arial"/>
          <w:sz w:val="24"/>
          <w:szCs w:val="24"/>
        </w:rPr>
        <w:t xml:space="preserve"> IV:</w:t>
      </w:r>
    </w:p>
    <w:p w14:paraId="61DFF308" w14:textId="6AD4DC4E" w:rsidR="00F362B2" w:rsidRDefault="00E0219E" w:rsidP="00F362B2">
      <w:pPr>
        <w:pStyle w:val="Heading1"/>
        <w:spacing w:line="480" w:lineRule="auto"/>
        <w:jc w:val="center"/>
        <w:rPr>
          <w:rFonts w:eastAsia="Arial" w:cs="Arial"/>
          <w:sz w:val="24"/>
          <w:szCs w:val="24"/>
        </w:rPr>
      </w:pPr>
      <w:bookmarkStart w:id="53" w:name="_heading=h.37m2jsg" w:colFirst="0" w:colLast="0"/>
      <w:bookmarkEnd w:id="53"/>
      <w:r>
        <w:rPr>
          <w:rFonts w:eastAsia="Arial" w:cs="Arial"/>
          <w:sz w:val="24"/>
          <w:szCs w:val="24"/>
        </w:rPr>
        <w:t>RESULTS AND DISCUSSION</w:t>
      </w:r>
      <w:bookmarkStart w:id="54" w:name="_heading=h.1mrcu09" w:colFirst="0" w:colLast="0"/>
      <w:bookmarkEnd w:id="54"/>
    </w:p>
    <w:p w14:paraId="205CC73D" w14:textId="40D8F950" w:rsidR="007C6854" w:rsidRPr="00E865ED" w:rsidRDefault="00E0219E" w:rsidP="00E865ED">
      <w:pPr>
        <w:pStyle w:val="Heading2"/>
        <w:spacing w:line="480" w:lineRule="auto"/>
        <w:rPr>
          <w:rFonts w:eastAsia="Arial" w:cs="Arial"/>
          <w:sz w:val="24"/>
          <w:szCs w:val="24"/>
        </w:rPr>
      </w:pPr>
      <w:r>
        <w:rPr>
          <w:rFonts w:eastAsia="Arial" w:cs="Arial"/>
          <w:sz w:val="24"/>
          <w:szCs w:val="24"/>
        </w:rPr>
        <w:t>Socio-demographic Profile of Urban Poor Settlers</w:t>
      </w:r>
    </w:p>
    <w:p w14:paraId="22543140" w14:textId="77777777" w:rsidR="007C6854" w:rsidRDefault="00E0219E" w:rsidP="00113E43">
      <w:pPr>
        <w:spacing w:after="160" w:line="480" w:lineRule="auto"/>
        <w:ind w:firstLine="720"/>
        <w:jc w:val="both"/>
        <w:rPr>
          <w:rFonts w:eastAsia="Arial" w:cs="Arial"/>
          <w:b/>
          <w:szCs w:val="24"/>
        </w:rPr>
      </w:pPr>
      <w:r>
        <w:rPr>
          <w:rFonts w:eastAsia="Arial" w:cs="Arial"/>
          <w:szCs w:val="24"/>
        </w:rPr>
        <w:t xml:space="preserve">The mean age (SD) of the respondents in this research was 59.53 (SD: 14.38323) years, while the country’s population consisted of ages 15 to 64 years of age. (PSA, 2022; Statista, 2023) The majority of surveyed participants were in the age group of 60 years and older (57.6%) and were female. In a study on blood pressure screening in the Philippines conducted by Diaz et al. (2021), 44.6 was the mean age of the participants, which was quite far from the result of this survey. On the other hand, in the last PSA census, the result on sex distribution among urban barangays in the country showed that males were dominant among females, which was the same as Diaz et al.'s (2021) study (PSA, 2022; Diaz et al., 2021). On a side note, gender disparities have been an issue among regions globally (Connely et al., 2022). The survey's variability, especially in age and gender distribution, is expected since the conduct of the survey is daytime and most of the respondents whom the interviewer came across at the time of the interview were female. In urban settings, most of the individuals who are left at home are female. More so, maybe the sampling technique that was used in this research may have contributed to the difference that was observed in this research. Non-probability sampling is prone to sampling bias, and although the research considered this at the start of the survey, participants were still selected based on accessibility and availability. On the other hand, the result also showed that 83.44% of the respondents' nature of work in the past 12 months was either self-employed, homemaker, retired, or unemployed. (Table 4) This implies that when a survey is conducted during the day and mostly on weekdays, we can </w:t>
      </w:r>
      <w:r>
        <w:rPr>
          <w:rFonts w:eastAsia="Arial" w:cs="Arial"/>
          <w:szCs w:val="24"/>
        </w:rPr>
        <w:lastRenderedPageBreak/>
        <w:t xml:space="preserve">encounter mostly female respondents, those in a higher age group, and those who are not in the working class. On the other hand, surveys such as the National Demographic Health Survey demonstrate symmetrical distribution in variables such as gender, age, and place of residence (PSA and ICF, 2018). Further, the survey showed that 64.9% were currently married. Most were Catholics. A greater number of surveyed participants have not finished high school. The dominant ethnic or sub-cultural groups living in the area were from the Visayas region, and most family households have health insurance. In the 2018 National Migration Survey (NMS), it was shown that the most migrated regions came from Western Visayas, Central Visayas, and Calabarzon. (PSA, 2020) On a side note, some of the respondents were considered lifetime migrants, specifically in the </w:t>
      </w:r>
      <w:proofErr w:type="spellStart"/>
      <w:r>
        <w:rPr>
          <w:rFonts w:eastAsia="Arial" w:cs="Arial"/>
          <w:szCs w:val="24"/>
        </w:rPr>
        <w:t>Bukuhan</w:t>
      </w:r>
      <w:proofErr w:type="spellEnd"/>
      <w:r>
        <w:rPr>
          <w:rFonts w:eastAsia="Arial" w:cs="Arial"/>
          <w:szCs w:val="24"/>
        </w:rPr>
        <w:t xml:space="preserve"> Community, considering that most survey respondents were Waray, Tagalog, and Cebuano (Table 4). It was also observed that most surveyed respondents belong to the poor (67.55%) and low-income groups (25.83%), with a median family income of PHP 6,000 (IQR = 3,600 to 10,000) (Table 4). Urbanization due to migration was a big factor in the urban community population explosion, and the survey corroborates the report of the ADB (2014) that the problem of urban poverty, particularly in Asia, is multidimensional, extending beyond income. It includes health, educational aspects, and social security, including health insurance. However, on the aspect of health insurance, the result of this survey disagrees with ADB’s report because around 87% of the survey participants have health insurance. It was good to know that in this community, residents have health insurance. This applauded the compliance of the Municipality of Pateros in promoting the government health insurance program in attaining Universal Health Care, particularly for the less fortunate and those who are at risk. Likewise, health insurance is important for the prevention and control of hypertension. Most patients covered by health insurance </w:t>
      </w:r>
      <w:r>
        <w:rPr>
          <w:rFonts w:eastAsia="Arial" w:cs="Arial"/>
          <w:szCs w:val="24"/>
        </w:rPr>
        <w:lastRenderedPageBreak/>
        <w:t>have controlled BP (Oso et al., 2019). In addition, given that the urban community population belongs to the poor and low-income group, having PhilHealth or any other health insurance can increase the community's health-seeking behavior. But proving another view</w:t>
      </w:r>
      <w:r>
        <w:rPr>
          <w:rFonts w:eastAsia="Arial" w:cs="Arial"/>
          <w:color w:val="212121"/>
          <w:szCs w:val="24"/>
          <w:highlight w:val="white"/>
        </w:rPr>
        <w:t xml:space="preserve">, in the study by El Omari and </w:t>
      </w:r>
      <w:proofErr w:type="spellStart"/>
      <w:r>
        <w:rPr>
          <w:rFonts w:eastAsia="Arial" w:cs="Arial"/>
          <w:color w:val="212121"/>
          <w:szCs w:val="24"/>
          <w:highlight w:val="white"/>
        </w:rPr>
        <w:t>Karasneh</w:t>
      </w:r>
      <w:proofErr w:type="spellEnd"/>
      <w:r>
        <w:rPr>
          <w:rFonts w:eastAsia="Arial" w:cs="Arial"/>
          <w:color w:val="212121"/>
          <w:szCs w:val="24"/>
          <w:highlight w:val="white"/>
        </w:rPr>
        <w:t xml:space="preserve"> (2021), they observed that even though the provision of health insurance to the poor is effective in the Philippines, it is not a guarantee that they will access health services.</w:t>
      </w:r>
      <w:r>
        <w:rPr>
          <w:rFonts w:eastAsia="Arial" w:cs="Arial"/>
          <w:szCs w:val="24"/>
        </w:rPr>
        <w:t xml:space="preserve"> The idea may be related to the fact that the poverty level of the community can also affect an individual's decision to be healthy. According to PSA (2021), the country’s poverty incidence increased by two points in 2018 and 2021, respectively, while in NCR district 4, where Pateros belongs, there was a significant increase compared to 2018 and 2021 data (Mapa, 2021; PSA, 2021). Adding to the low literacy of the community, it could be a risk factor for having hypertension (McNaughton, Jacobson, &amp; Kripalani, 2014; Sun, K. et al., 2021). Further, it was cited by </w:t>
      </w:r>
      <w:proofErr w:type="spellStart"/>
      <w:r>
        <w:rPr>
          <w:rFonts w:eastAsia="Arial" w:cs="Arial"/>
          <w:szCs w:val="24"/>
        </w:rPr>
        <w:t>Baydu</w:t>
      </w:r>
      <w:proofErr w:type="spellEnd"/>
      <w:r>
        <w:rPr>
          <w:rFonts w:eastAsia="Arial" w:cs="Arial"/>
          <w:szCs w:val="24"/>
        </w:rPr>
        <w:t>, Kaplan, and Bayar (2013) that low graduation rates among public high schools were high for those who were considered to be living in poverty. The results of the study and other literature suggest that literacy programs need to be enhanced among people living in poverty. Other studies agree that individuals with low literacy affect their health (UTHSC, 2022; Jayasinghe, U.W., et al., 2016).</w:t>
      </w:r>
    </w:p>
    <w:p w14:paraId="00FAB6E7" w14:textId="77777777" w:rsidR="00C00846" w:rsidRDefault="00C00846">
      <w:pPr>
        <w:rPr>
          <w:rFonts w:eastAsia="Arial" w:cs="Arial"/>
          <w:b/>
          <w:szCs w:val="24"/>
        </w:rPr>
      </w:pPr>
      <w:r>
        <w:rPr>
          <w:rFonts w:eastAsia="Arial" w:cs="Arial"/>
          <w:b/>
          <w:szCs w:val="24"/>
        </w:rPr>
        <w:br w:type="page"/>
      </w:r>
    </w:p>
    <w:p w14:paraId="12F21FAC" w14:textId="27DDBF25" w:rsidR="007C6854" w:rsidRDefault="00E0219E">
      <w:pPr>
        <w:spacing w:after="160" w:line="360" w:lineRule="auto"/>
        <w:rPr>
          <w:rFonts w:eastAsia="Arial" w:cs="Arial"/>
          <w:b/>
          <w:szCs w:val="24"/>
        </w:rPr>
      </w:pPr>
      <w:r>
        <w:rPr>
          <w:rFonts w:eastAsia="Arial" w:cs="Arial"/>
          <w:b/>
          <w:szCs w:val="24"/>
        </w:rPr>
        <w:lastRenderedPageBreak/>
        <w:t>Table 4</w:t>
      </w:r>
    </w:p>
    <w:p w14:paraId="6DB5BE88" w14:textId="77777777" w:rsidR="007C6854" w:rsidRDefault="00E0219E">
      <w:pPr>
        <w:spacing w:after="160" w:line="360" w:lineRule="auto"/>
        <w:jc w:val="both"/>
        <w:rPr>
          <w:rFonts w:eastAsia="Arial" w:cs="Arial"/>
          <w:i/>
          <w:szCs w:val="24"/>
        </w:rPr>
      </w:pPr>
      <w:r>
        <w:rPr>
          <w:rFonts w:eastAsia="Arial" w:cs="Arial"/>
          <w:i/>
          <w:szCs w:val="24"/>
        </w:rPr>
        <w:t>Distribution of Frequency and Percentage on Socio-demographic Profiles (Sex, Age Group, Marital Status, Religious Affiliation, Ethnic or Cultural Sub-group, Health Insurance Status, and Wealth Status) of Urban Poor Settlers</w:t>
      </w:r>
    </w:p>
    <w:tbl>
      <w:tblPr>
        <w:tblStyle w:val="afff4"/>
        <w:tblW w:w="9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05"/>
        <w:gridCol w:w="2670"/>
        <w:gridCol w:w="2095"/>
      </w:tblGrid>
      <w:tr w:rsidR="007C6854" w14:paraId="73F5821E" w14:textId="77777777" w:rsidTr="00C00846">
        <w:tc>
          <w:tcPr>
            <w:tcW w:w="4605" w:type="dxa"/>
            <w:tcBorders>
              <w:top w:val="single" w:sz="4" w:space="0" w:color="auto"/>
              <w:left w:val="nil"/>
              <w:bottom w:val="single" w:sz="4" w:space="0" w:color="auto"/>
              <w:right w:val="nil"/>
            </w:tcBorders>
            <w:vAlign w:val="center"/>
          </w:tcPr>
          <w:p w14:paraId="705B5852" w14:textId="77777777" w:rsidR="007C6854" w:rsidRDefault="00E0219E">
            <w:pPr>
              <w:spacing w:line="259" w:lineRule="auto"/>
              <w:jc w:val="center"/>
              <w:rPr>
                <w:rFonts w:eastAsia="Arial" w:cs="Arial"/>
                <w:szCs w:val="24"/>
              </w:rPr>
            </w:pPr>
            <w:r>
              <w:rPr>
                <w:rFonts w:eastAsia="Arial" w:cs="Arial"/>
                <w:szCs w:val="24"/>
              </w:rPr>
              <w:t>Socio-Demographic Profile</w:t>
            </w:r>
          </w:p>
        </w:tc>
        <w:tc>
          <w:tcPr>
            <w:tcW w:w="2670" w:type="dxa"/>
            <w:tcBorders>
              <w:top w:val="single" w:sz="4" w:space="0" w:color="auto"/>
              <w:left w:val="nil"/>
              <w:bottom w:val="single" w:sz="4" w:space="0" w:color="auto"/>
              <w:right w:val="nil"/>
            </w:tcBorders>
            <w:vAlign w:val="center"/>
          </w:tcPr>
          <w:p w14:paraId="7B5837CC" w14:textId="77777777" w:rsidR="007C6854" w:rsidRDefault="00E0219E">
            <w:pPr>
              <w:spacing w:line="259" w:lineRule="auto"/>
              <w:jc w:val="center"/>
              <w:rPr>
                <w:rFonts w:eastAsia="Arial" w:cs="Arial"/>
                <w:szCs w:val="24"/>
              </w:rPr>
            </w:pPr>
            <w:r>
              <w:rPr>
                <w:rFonts w:eastAsia="Arial" w:cs="Arial"/>
                <w:szCs w:val="24"/>
              </w:rPr>
              <w:t>Frequency</w:t>
            </w:r>
          </w:p>
        </w:tc>
        <w:tc>
          <w:tcPr>
            <w:tcW w:w="2095" w:type="dxa"/>
            <w:tcBorders>
              <w:top w:val="single" w:sz="4" w:space="0" w:color="auto"/>
              <w:left w:val="nil"/>
              <w:bottom w:val="single" w:sz="4" w:space="0" w:color="auto"/>
              <w:right w:val="nil"/>
            </w:tcBorders>
            <w:vAlign w:val="center"/>
          </w:tcPr>
          <w:p w14:paraId="0261909D" w14:textId="77777777" w:rsidR="007C6854" w:rsidRDefault="00E0219E">
            <w:pPr>
              <w:spacing w:line="259" w:lineRule="auto"/>
              <w:jc w:val="center"/>
              <w:rPr>
                <w:rFonts w:eastAsia="Arial" w:cs="Arial"/>
                <w:szCs w:val="24"/>
              </w:rPr>
            </w:pPr>
            <w:r>
              <w:rPr>
                <w:rFonts w:eastAsia="Arial" w:cs="Arial"/>
                <w:szCs w:val="24"/>
              </w:rPr>
              <w:t>Percentage</w:t>
            </w:r>
          </w:p>
        </w:tc>
      </w:tr>
      <w:tr w:rsidR="007C6854" w14:paraId="36BE45A5" w14:textId="77777777" w:rsidTr="00C00846">
        <w:tc>
          <w:tcPr>
            <w:tcW w:w="4605" w:type="dxa"/>
            <w:tcBorders>
              <w:top w:val="single" w:sz="4" w:space="0" w:color="auto"/>
              <w:left w:val="nil"/>
              <w:bottom w:val="nil"/>
              <w:right w:val="nil"/>
            </w:tcBorders>
          </w:tcPr>
          <w:p w14:paraId="2C8DA3C0" w14:textId="77777777" w:rsidR="007C6854" w:rsidRDefault="00E0219E">
            <w:pPr>
              <w:spacing w:line="259" w:lineRule="auto"/>
              <w:rPr>
                <w:rFonts w:eastAsia="Arial" w:cs="Arial"/>
                <w:szCs w:val="24"/>
              </w:rPr>
            </w:pPr>
            <w:r>
              <w:rPr>
                <w:rFonts w:eastAsia="Arial" w:cs="Arial"/>
                <w:szCs w:val="24"/>
              </w:rPr>
              <w:t>Sex</w:t>
            </w:r>
          </w:p>
        </w:tc>
        <w:tc>
          <w:tcPr>
            <w:tcW w:w="2670" w:type="dxa"/>
            <w:tcBorders>
              <w:top w:val="single" w:sz="4" w:space="0" w:color="auto"/>
              <w:left w:val="nil"/>
              <w:bottom w:val="nil"/>
              <w:right w:val="nil"/>
            </w:tcBorders>
          </w:tcPr>
          <w:p w14:paraId="50CFC80D" w14:textId="77777777" w:rsidR="007C6854" w:rsidRDefault="007C6854">
            <w:pPr>
              <w:spacing w:line="259" w:lineRule="auto"/>
              <w:jc w:val="center"/>
              <w:rPr>
                <w:rFonts w:eastAsia="Arial" w:cs="Arial"/>
                <w:szCs w:val="24"/>
              </w:rPr>
            </w:pPr>
          </w:p>
        </w:tc>
        <w:tc>
          <w:tcPr>
            <w:tcW w:w="2095" w:type="dxa"/>
            <w:tcBorders>
              <w:top w:val="single" w:sz="4" w:space="0" w:color="auto"/>
              <w:left w:val="nil"/>
              <w:bottom w:val="nil"/>
              <w:right w:val="nil"/>
            </w:tcBorders>
          </w:tcPr>
          <w:p w14:paraId="4E3A899E" w14:textId="77777777" w:rsidR="007C6854" w:rsidRDefault="007C6854">
            <w:pPr>
              <w:spacing w:line="259" w:lineRule="auto"/>
              <w:jc w:val="center"/>
              <w:rPr>
                <w:rFonts w:eastAsia="Arial" w:cs="Arial"/>
                <w:szCs w:val="24"/>
              </w:rPr>
            </w:pPr>
          </w:p>
        </w:tc>
      </w:tr>
      <w:tr w:rsidR="007C6854" w14:paraId="79330F06" w14:textId="77777777" w:rsidTr="00C00846">
        <w:tc>
          <w:tcPr>
            <w:tcW w:w="4605" w:type="dxa"/>
            <w:tcBorders>
              <w:top w:val="nil"/>
              <w:left w:val="nil"/>
              <w:bottom w:val="nil"/>
              <w:right w:val="nil"/>
            </w:tcBorders>
          </w:tcPr>
          <w:p w14:paraId="3C829D37" w14:textId="77777777" w:rsidR="007C6854" w:rsidRDefault="00E0219E">
            <w:pPr>
              <w:spacing w:line="259" w:lineRule="auto"/>
              <w:ind w:left="720"/>
              <w:rPr>
                <w:rFonts w:eastAsia="Arial" w:cs="Arial"/>
                <w:szCs w:val="24"/>
              </w:rPr>
            </w:pPr>
            <w:r>
              <w:rPr>
                <w:rFonts w:eastAsia="Arial" w:cs="Arial"/>
                <w:szCs w:val="24"/>
              </w:rPr>
              <w:t>Male</w:t>
            </w:r>
          </w:p>
        </w:tc>
        <w:tc>
          <w:tcPr>
            <w:tcW w:w="2670" w:type="dxa"/>
            <w:tcBorders>
              <w:top w:val="nil"/>
              <w:left w:val="nil"/>
              <w:bottom w:val="nil"/>
              <w:right w:val="nil"/>
            </w:tcBorders>
          </w:tcPr>
          <w:p w14:paraId="79D60B63" w14:textId="77777777" w:rsidR="007C6854" w:rsidRDefault="00E0219E">
            <w:pPr>
              <w:spacing w:line="259" w:lineRule="auto"/>
              <w:jc w:val="center"/>
              <w:rPr>
                <w:rFonts w:eastAsia="Arial" w:cs="Arial"/>
                <w:szCs w:val="24"/>
              </w:rPr>
            </w:pPr>
            <w:r>
              <w:rPr>
                <w:rFonts w:eastAsia="Arial" w:cs="Arial"/>
                <w:szCs w:val="24"/>
              </w:rPr>
              <w:t>49</w:t>
            </w:r>
          </w:p>
        </w:tc>
        <w:tc>
          <w:tcPr>
            <w:tcW w:w="2095" w:type="dxa"/>
            <w:tcBorders>
              <w:top w:val="nil"/>
              <w:left w:val="nil"/>
              <w:bottom w:val="nil"/>
              <w:right w:val="nil"/>
            </w:tcBorders>
          </w:tcPr>
          <w:p w14:paraId="237FCEF3" w14:textId="77777777" w:rsidR="007C6854" w:rsidRDefault="00E0219E">
            <w:pPr>
              <w:spacing w:line="259" w:lineRule="auto"/>
              <w:jc w:val="center"/>
              <w:rPr>
                <w:rFonts w:eastAsia="Arial" w:cs="Arial"/>
                <w:szCs w:val="24"/>
              </w:rPr>
            </w:pPr>
            <w:r>
              <w:rPr>
                <w:rFonts w:eastAsia="Arial" w:cs="Arial"/>
                <w:szCs w:val="24"/>
              </w:rPr>
              <w:t>32.45</w:t>
            </w:r>
          </w:p>
        </w:tc>
      </w:tr>
      <w:tr w:rsidR="007C6854" w14:paraId="4CDF045C" w14:textId="77777777" w:rsidTr="00C00846">
        <w:tc>
          <w:tcPr>
            <w:tcW w:w="4605" w:type="dxa"/>
            <w:tcBorders>
              <w:top w:val="nil"/>
              <w:left w:val="nil"/>
              <w:bottom w:val="nil"/>
              <w:right w:val="nil"/>
            </w:tcBorders>
          </w:tcPr>
          <w:p w14:paraId="36D455B6" w14:textId="77777777" w:rsidR="007C6854" w:rsidRDefault="00E0219E">
            <w:pPr>
              <w:spacing w:line="259" w:lineRule="auto"/>
              <w:ind w:left="720"/>
              <w:rPr>
                <w:rFonts w:eastAsia="Arial" w:cs="Arial"/>
                <w:szCs w:val="24"/>
              </w:rPr>
            </w:pPr>
            <w:r>
              <w:rPr>
                <w:rFonts w:eastAsia="Arial" w:cs="Arial"/>
                <w:szCs w:val="24"/>
              </w:rPr>
              <w:t>Female</w:t>
            </w:r>
          </w:p>
        </w:tc>
        <w:tc>
          <w:tcPr>
            <w:tcW w:w="2670" w:type="dxa"/>
            <w:tcBorders>
              <w:top w:val="nil"/>
              <w:left w:val="nil"/>
              <w:bottom w:val="nil"/>
              <w:right w:val="nil"/>
            </w:tcBorders>
          </w:tcPr>
          <w:p w14:paraId="0AE8FCC4" w14:textId="77777777" w:rsidR="007C6854" w:rsidRDefault="00E0219E">
            <w:pPr>
              <w:spacing w:line="259" w:lineRule="auto"/>
              <w:jc w:val="center"/>
              <w:rPr>
                <w:rFonts w:eastAsia="Arial" w:cs="Arial"/>
                <w:szCs w:val="24"/>
              </w:rPr>
            </w:pPr>
            <w:r>
              <w:rPr>
                <w:rFonts w:eastAsia="Arial" w:cs="Arial"/>
                <w:szCs w:val="24"/>
              </w:rPr>
              <w:t>102</w:t>
            </w:r>
          </w:p>
        </w:tc>
        <w:tc>
          <w:tcPr>
            <w:tcW w:w="2095" w:type="dxa"/>
            <w:tcBorders>
              <w:top w:val="nil"/>
              <w:left w:val="nil"/>
              <w:bottom w:val="nil"/>
              <w:right w:val="nil"/>
            </w:tcBorders>
          </w:tcPr>
          <w:p w14:paraId="27358FEB" w14:textId="77777777" w:rsidR="007C6854" w:rsidRDefault="00E0219E">
            <w:pPr>
              <w:spacing w:line="259" w:lineRule="auto"/>
              <w:jc w:val="center"/>
              <w:rPr>
                <w:rFonts w:eastAsia="Arial" w:cs="Arial"/>
                <w:szCs w:val="24"/>
              </w:rPr>
            </w:pPr>
            <w:r>
              <w:rPr>
                <w:rFonts w:eastAsia="Arial" w:cs="Arial"/>
                <w:szCs w:val="24"/>
              </w:rPr>
              <w:t>67.55</w:t>
            </w:r>
          </w:p>
        </w:tc>
      </w:tr>
      <w:tr w:rsidR="007C6854" w14:paraId="5C1A2785" w14:textId="77777777" w:rsidTr="00C00846">
        <w:tc>
          <w:tcPr>
            <w:tcW w:w="4605" w:type="dxa"/>
            <w:tcBorders>
              <w:top w:val="nil"/>
              <w:left w:val="nil"/>
              <w:bottom w:val="nil"/>
              <w:right w:val="nil"/>
            </w:tcBorders>
          </w:tcPr>
          <w:p w14:paraId="22B71D08" w14:textId="77777777" w:rsidR="007C6854" w:rsidRDefault="00E0219E">
            <w:pPr>
              <w:spacing w:line="259" w:lineRule="auto"/>
              <w:rPr>
                <w:rFonts w:eastAsia="Arial" w:cs="Arial"/>
                <w:szCs w:val="24"/>
              </w:rPr>
            </w:pPr>
            <w:r>
              <w:rPr>
                <w:rFonts w:eastAsia="Arial" w:cs="Arial"/>
                <w:szCs w:val="24"/>
              </w:rPr>
              <w:t>Age Group</w:t>
            </w:r>
          </w:p>
        </w:tc>
        <w:tc>
          <w:tcPr>
            <w:tcW w:w="2670" w:type="dxa"/>
            <w:tcBorders>
              <w:top w:val="nil"/>
              <w:left w:val="nil"/>
              <w:bottom w:val="nil"/>
              <w:right w:val="nil"/>
            </w:tcBorders>
          </w:tcPr>
          <w:p w14:paraId="65E18D0D" w14:textId="77777777" w:rsidR="007C6854" w:rsidRDefault="007C6854">
            <w:pPr>
              <w:spacing w:line="259" w:lineRule="auto"/>
              <w:jc w:val="center"/>
              <w:rPr>
                <w:rFonts w:eastAsia="Arial" w:cs="Arial"/>
                <w:szCs w:val="24"/>
              </w:rPr>
            </w:pPr>
          </w:p>
        </w:tc>
        <w:tc>
          <w:tcPr>
            <w:tcW w:w="2095" w:type="dxa"/>
            <w:tcBorders>
              <w:top w:val="nil"/>
              <w:left w:val="nil"/>
              <w:bottom w:val="nil"/>
              <w:right w:val="nil"/>
            </w:tcBorders>
          </w:tcPr>
          <w:p w14:paraId="18ED2110" w14:textId="77777777" w:rsidR="007C6854" w:rsidRDefault="007C6854">
            <w:pPr>
              <w:spacing w:line="259" w:lineRule="auto"/>
              <w:jc w:val="center"/>
              <w:rPr>
                <w:rFonts w:eastAsia="Arial" w:cs="Arial"/>
                <w:szCs w:val="24"/>
              </w:rPr>
            </w:pPr>
          </w:p>
        </w:tc>
      </w:tr>
      <w:tr w:rsidR="007C6854" w14:paraId="235CA5DB" w14:textId="77777777" w:rsidTr="00C00846">
        <w:tc>
          <w:tcPr>
            <w:tcW w:w="4605" w:type="dxa"/>
            <w:tcBorders>
              <w:top w:val="nil"/>
              <w:left w:val="nil"/>
              <w:bottom w:val="nil"/>
              <w:right w:val="nil"/>
            </w:tcBorders>
          </w:tcPr>
          <w:p w14:paraId="726B08CF" w14:textId="77777777" w:rsidR="007C6854" w:rsidRDefault="00E0219E">
            <w:pPr>
              <w:spacing w:line="259" w:lineRule="auto"/>
              <w:ind w:left="720"/>
              <w:rPr>
                <w:rFonts w:eastAsia="Arial" w:cs="Arial"/>
                <w:szCs w:val="24"/>
              </w:rPr>
            </w:pPr>
            <w:r>
              <w:rPr>
                <w:rFonts w:eastAsia="Arial" w:cs="Arial"/>
                <w:szCs w:val="24"/>
              </w:rPr>
              <w:t>20 to 29</w:t>
            </w:r>
          </w:p>
        </w:tc>
        <w:tc>
          <w:tcPr>
            <w:tcW w:w="2670" w:type="dxa"/>
            <w:tcBorders>
              <w:top w:val="nil"/>
              <w:left w:val="nil"/>
              <w:bottom w:val="nil"/>
              <w:right w:val="nil"/>
            </w:tcBorders>
          </w:tcPr>
          <w:p w14:paraId="0F3DD1D5" w14:textId="77777777" w:rsidR="007C6854" w:rsidRDefault="00E0219E">
            <w:pPr>
              <w:spacing w:line="259" w:lineRule="auto"/>
              <w:jc w:val="center"/>
              <w:rPr>
                <w:rFonts w:eastAsia="Arial" w:cs="Arial"/>
                <w:szCs w:val="24"/>
              </w:rPr>
            </w:pPr>
            <w:r>
              <w:rPr>
                <w:rFonts w:eastAsia="Arial" w:cs="Arial"/>
                <w:szCs w:val="24"/>
              </w:rPr>
              <w:t>4</w:t>
            </w:r>
          </w:p>
        </w:tc>
        <w:tc>
          <w:tcPr>
            <w:tcW w:w="2095" w:type="dxa"/>
            <w:tcBorders>
              <w:top w:val="nil"/>
              <w:left w:val="nil"/>
              <w:bottom w:val="nil"/>
              <w:right w:val="nil"/>
            </w:tcBorders>
          </w:tcPr>
          <w:p w14:paraId="51A789C2" w14:textId="77777777" w:rsidR="007C6854" w:rsidRDefault="00E0219E">
            <w:pPr>
              <w:spacing w:line="259" w:lineRule="auto"/>
              <w:jc w:val="center"/>
              <w:rPr>
                <w:rFonts w:eastAsia="Arial" w:cs="Arial"/>
                <w:szCs w:val="24"/>
              </w:rPr>
            </w:pPr>
            <w:r>
              <w:rPr>
                <w:rFonts w:eastAsia="Arial" w:cs="Arial"/>
                <w:szCs w:val="24"/>
              </w:rPr>
              <w:t>2.65</w:t>
            </w:r>
          </w:p>
        </w:tc>
      </w:tr>
      <w:tr w:rsidR="007C6854" w14:paraId="3ED7F15F" w14:textId="77777777" w:rsidTr="00C00846">
        <w:tc>
          <w:tcPr>
            <w:tcW w:w="4605" w:type="dxa"/>
            <w:tcBorders>
              <w:top w:val="nil"/>
              <w:left w:val="nil"/>
              <w:bottom w:val="nil"/>
              <w:right w:val="nil"/>
            </w:tcBorders>
          </w:tcPr>
          <w:p w14:paraId="345375E3" w14:textId="77777777" w:rsidR="007C6854" w:rsidRDefault="00E0219E">
            <w:pPr>
              <w:spacing w:line="259" w:lineRule="auto"/>
              <w:ind w:left="720"/>
              <w:rPr>
                <w:rFonts w:eastAsia="Arial" w:cs="Arial"/>
                <w:szCs w:val="24"/>
              </w:rPr>
            </w:pPr>
            <w:r>
              <w:rPr>
                <w:rFonts w:eastAsia="Arial" w:cs="Arial"/>
                <w:szCs w:val="24"/>
              </w:rPr>
              <w:t>30 to 39</w:t>
            </w:r>
          </w:p>
        </w:tc>
        <w:tc>
          <w:tcPr>
            <w:tcW w:w="2670" w:type="dxa"/>
            <w:tcBorders>
              <w:top w:val="nil"/>
              <w:left w:val="nil"/>
              <w:bottom w:val="nil"/>
              <w:right w:val="nil"/>
            </w:tcBorders>
          </w:tcPr>
          <w:p w14:paraId="00DE4934" w14:textId="77777777" w:rsidR="007C6854" w:rsidRDefault="00E0219E">
            <w:pPr>
              <w:spacing w:line="259" w:lineRule="auto"/>
              <w:jc w:val="center"/>
              <w:rPr>
                <w:rFonts w:eastAsia="Arial" w:cs="Arial"/>
                <w:szCs w:val="24"/>
              </w:rPr>
            </w:pPr>
            <w:r>
              <w:rPr>
                <w:rFonts w:eastAsia="Arial" w:cs="Arial"/>
                <w:szCs w:val="24"/>
              </w:rPr>
              <w:t>10</w:t>
            </w:r>
          </w:p>
        </w:tc>
        <w:tc>
          <w:tcPr>
            <w:tcW w:w="2095" w:type="dxa"/>
            <w:tcBorders>
              <w:top w:val="nil"/>
              <w:left w:val="nil"/>
              <w:bottom w:val="nil"/>
              <w:right w:val="nil"/>
            </w:tcBorders>
          </w:tcPr>
          <w:p w14:paraId="6AAB0B28" w14:textId="77777777" w:rsidR="007C6854" w:rsidRDefault="00E0219E">
            <w:pPr>
              <w:spacing w:line="259" w:lineRule="auto"/>
              <w:jc w:val="center"/>
              <w:rPr>
                <w:rFonts w:eastAsia="Arial" w:cs="Arial"/>
                <w:szCs w:val="24"/>
              </w:rPr>
            </w:pPr>
            <w:r>
              <w:rPr>
                <w:rFonts w:eastAsia="Arial" w:cs="Arial"/>
                <w:szCs w:val="24"/>
              </w:rPr>
              <w:t>6.62</w:t>
            </w:r>
          </w:p>
        </w:tc>
      </w:tr>
      <w:tr w:rsidR="007C6854" w14:paraId="3E351831" w14:textId="77777777" w:rsidTr="00C00846">
        <w:tc>
          <w:tcPr>
            <w:tcW w:w="4605" w:type="dxa"/>
            <w:tcBorders>
              <w:top w:val="nil"/>
              <w:left w:val="nil"/>
              <w:bottom w:val="nil"/>
              <w:right w:val="nil"/>
            </w:tcBorders>
          </w:tcPr>
          <w:p w14:paraId="7D53A7C5" w14:textId="77777777" w:rsidR="007C6854" w:rsidRDefault="00E0219E">
            <w:pPr>
              <w:spacing w:line="259" w:lineRule="auto"/>
              <w:ind w:left="720"/>
              <w:rPr>
                <w:rFonts w:eastAsia="Arial" w:cs="Arial"/>
                <w:szCs w:val="24"/>
              </w:rPr>
            </w:pPr>
            <w:r>
              <w:rPr>
                <w:rFonts w:eastAsia="Arial" w:cs="Arial"/>
                <w:szCs w:val="24"/>
              </w:rPr>
              <w:t>40 to 49</w:t>
            </w:r>
          </w:p>
        </w:tc>
        <w:tc>
          <w:tcPr>
            <w:tcW w:w="2670" w:type="dxa"/>
            <w:tcBorders>
              <w:top w:val="nil"/>
              <w:left w:val="nil"/>
              <w:bottom w:val="nil"/>
              <w:right w:val="nil"/>
            </w:tcBorders>
          </w:tcPr>
          <w:p w14:paraId="0D581DBE" w14:textId="77777777" w:rsidR="007C6854" w:rsidRDefault="00E0219E">
            <w:pPr>
              <w:spacing w:line="259" w:lineRule="auto"/>
              <w:jc w:val="center"/>
              <w:rPr>
                <w:rFonts w:eastAsia="Arial" w:cs="Arial"/>
                <w:szCs w:val="24"/>
              </w:rPr>
            </w:pPr>
            <w:r>
              <w:rPr>
                <w:rFonts w:eastAsia="Arial" w:cs="Arial"/>
                <w:szCs w:val="24"/>
              </w:rPr>
              <w:t>25</w:t>
            </w:r>
          </w:p>
        </w:tc>
        <w:tc>
          <w:tcPr>
            <w:tcW w:w="2095" w:type="dxa"/>
            <w:tcBorders>
              <w:top w:val="nil"/>
              <w:left w:val="nil"/>
              <w:bottom w:val="nil"/>
              <w:right w:val="nil"/>
            </w:tcBorders>
          </w:tcPr>
          <w:p w14:paraId="0879A82A" w14:textId="77777777" w:rsidR="007C6854" w:rsidRDefault="00E0219E">
            <w:pPr>
              <w:spacing w:line="259" w:lineRule="auto"/>
              <w:jc w:val="center"/>
              <w:rPr>
                <w:rFonts w:eastAsia="Arial" w:cs="Arial"/>
                <w:szCs w:val="24"/>
              </w:rPr>
            </w:pPr>
            <w:r>
              <w:rPr>
                <w:rFonts w:eastAsia="Arial" w:cs="Arial"/>
                <w:szCs w:val="24"/>
              </w:rPr>
              <w:t>16.56</w:t>
            </w:r>
          </w:p>
        </w:tc>
      </w:tr>
      <w:tr w:rsidR="007C6854" w14:paraId="1D387729" w14:textId="77777777" w:rsidTr="00C00846">
        <w:tc>
          <w:tcPr>
            <w:tcW w:w="4605" w:type="dxa"/>
            <w:tcBorders>
              <w:top w:val="nil"/>
              <w:left w:val="nil"/>
              <w:bottom w:val="nil"/>
              <w:right w:val="nil"/>
            </w:tcBorders>
          </w:tcPr>
          <w:p w14:paraId="15EDEDD7" w14:textId="77777777" w:rsidR="007C6854" w:rsidRDefault="00E0219E">
            <w:pPr>
              <w:spacing w:line="259" w:lineRule="auto"/>
              <w:ind w:left="720"/>
              <w:rPr>
                <w:rFonts w:eastAsia="Arial" w:cs="Arial"/>
                <w:szCs w:val="24"/>
              </w:rPr>
            </w:pPr>
            <w:r>
              <w:rPr>
                <w:rFonts w:eastAsia="Arial" w:cs="Arial"/>
                <w:szCs w:val="24"/>
              </w:rPr>
              <w:t>50 to 59</w:t>
            </w:r>
          </w:p>
        </w:tc>
        <w:tc>
          <w:tcPr>
            <w:tcW w:w="2670" w:type="dxa"/>
            <w:tcBorders>
              <w:top w:val="nil"/>
              <w:left w:val="nil"/>
              <w:bottom w:val="nil"/>
              <w:right w:val="nil"/>
            </w:tcBorders>
          </w:tcPr>
          <w:p w14:paraId="63CA0301" w14:textId="77777777" w:rsidR="007C6854" w:rsidRDefault="00E0219E">
            <w:pPr>
              <w:spacing w:line="259" w:lineRule="auto"/>
              <w:jc w:val="center"/>
              <w:rPr>
                <w:rFonts w:eastAsia="Arial" w:cs="Arial"/>
                <w:szCs w:val="24"/>
              </w:rPr>
            </w:pPr>
            <w:r>
              <w:rPr>
                <w:rFonts w:eastAsia="Arial" w:cs="Arial"/>
                <w:szCs w:val="24"/>
              </w:rPr>
              <w:t>25</w:t>
            </w:r>
          </w:p>
        </w:tc>
        <w:tc>
          <w:tcPr>
            <w:tcW w:w="2095" w:type="dxa"/>
            <w:tcBorders>
              <w:top w:val="nil"/>
              <w:left w:val="nil"/>
              <w:bottom w:val="nil"/>
              <w:right w:val="nil"/>
            </w:tcBorders>
          </w:tcPr>
          <w:p w14:paraId="57E23C84" w14:textId="77777777" w:rsidR="007C6854" w:rsidRDefault="00E0219E">
            <w:pPr>
              <w:spacing w:line="259" w:lineRule="auto"/>
              <w:jc w:val="center"/>
              <w:rPr>
                <w:rFonts w:eastAsia="Arial" w:cs="Arial"/>
                <w:szCs w:val="24"/>
              </w:rPr>
            </w:pPr>
            <w:r>
              <w:rPr>
                <w:rFonts w:eastAsia="Arial" w:cs="Arial"/>
                <w:szCs w:val="24"/>
              </w:rPr>
              <w:t>16.56</w:t>
            </w:r>
          </w:p>
        </w:tc>
      </w:tr>
      <w:tr w:rsidR="007C6854" w14:paraId="12FBC78E" w14:textId="77777777" w:rsidTr="00C00846">
        <w:tc>
          <w:tcPr>
            <w:tcW w:w="4605" w:type="dxa"/>
            <w:tcBorders>
              <w:top w:val="nil"/>
              <w:left w:val="nil"/>
              <w:bottom w:val="nil"/>
              <w:right w:val="nil"/>
            </w:tcBorders>
          </w:tcPr>
          <w:p w14:paraId="1A402641" w14:textId="77777777" w:rsidR="007C6854" w:rsidRDefault="00E0219E">
            <w:pPr>
              <w:spacing w:line="259" w:lineRule="auto"/>
              <w:ind w:left="720"/>
              <w:rPr>
                <w:rFonts w:eastAsia="Arial" w:cs="Arial"/>
                <w:szCs w:val="24"/>
              </w:rPr>
            </w:pPr>
            <w:r>
              <w:rPr>
                <w:rFonts w:eastAsia="Arial" w:cs="Arial"/>
                <w:szCs w:val="24"/>
              </w:rPr>
              <w:t>60 to 69</w:t>
            </w:r>
          </w:p>
        </w:tc>
        <w:tc>
          <w:tcPr>
            <w:tcW w:w="2670" w:type="dxa"/>
            <w:tcBorders>
              <w:top w:val="nil"/>
              <w:left w:val="nil"/>
              <w:bottom w:val="nil"/>
              <w:right w:val="nil"/>
            </w:tcBorders>
          </w:tcPr>
          <w:p w14:paraId="2A085498" w14:textId="77777777" w:rsidR="007C6854" w:rsidRDefault="00E0219E">
            <w:pPr>
              <w:spacing w:line="259" w:lineRule="auto"/>
              <w:jc w:val="center"/>
              <w:rPr>
                <w:rFonts w:eastAsia="Arial" w:cs="Arial"/>
                <w:szCs w:val="24"/>
              </w:rPr>
            </w:pPr>
            <w:r>
              <w:rPr>
                <w:rFonts w:eastAsia="Arial" w:cs="Arial"/>
                <w:szCs w:val="24"/>
              </w:rPr>
              <w:t>45</w:t>
            </w:r>
          </w:p>
        </w:tc>
        <w:tc>
          <w:tcPr>
            <w:tcW w:w="2095" w:type="dxa"/>
            <w:tcBorders>
              <w:top w:val="nil"/>
              <w:left w:val="nil"/>
              <w:bottom w:val="nil"/>
              <w:right w:val="nil"/>
            </w:tcBorders>
          </w:tcPr>
          <w:p w14:paraId="1CA221EA" w14:textId="77777777" w:rsidR="007C6854" w:rsidRDefault="00E0219E">
            <w:pPr>
              <w:spacing w:line="259" w:lineRule="auto"/>
              <w:jc w:val="center"/>
              <w:rPr>
                <w:rFonts w:eastAsia="Arial" w:cs="Arial"/>
                <w:szCs w:val="24"/>
              </w:rPr>
            </w:pPr>
            <w:r>
              <w:rPr>
                <w:rFonts w:eastAsia="Arial" w:cs="Arial"/>
                <w:szCs w:val="24"/>
              </w:rPr>
              <w:t>29.80</w:t>
            </w:r>
          </w:p>
        </w:tc>
      </w:tr>
      <w:tr w:rsidR="007C6854" w14:paraId="111A4DD3" w14:textId="77777777" w:rsidTr="00C00846">
        <w:tc>
          <w:tcPr>
            <w:tcW w:w="4605" w:type="dxa"/>
            <w:tcBorders>
              <w:top w:val="nil"/>
              <w:left w:val="nil"/>
              <w:bottom w:val="nil"/>
              <w:right w:val="nil"/>
            </w:tcBorders>
          </w:tcPr>
          <w:p w14:paraId="6023593E" w14:textId="77777777" w:rsidR="007C6854" w:rsidRDefault="00E0219E">
            <w:pPr>
              <w:spacing w:line="259" w:lineRule="auto"/>
              <w:ind w:left="720"/>
              <w:rPr>
                <w:rFonts w:eastAsia="Arial" w:cs="Arial"/>
                <w:szCs w:val="24"/>
              </w:rPr>
            </w:pPr>
            <w:r>
              <w:rPr>
                <w:rFonts w:eastAsia="Arial" w:cs="Arial"/>
                <w:szCs w:val="24"/>
              </w:rPr>
              <w:t>70 above</w:t>
            </w:r>
          </w:p>
        </w:tc>
        <w:tc>
          <w:tcPr>
            <w:tcW w:w="2670" w:type="dxa"/>
            <w:tcBorders>
              <w:top w:val="nil"/>
              <w:left w:val="nil"/>
              <w:bottom w:val="nil"/>
              <w:right w:val="nil"/>
            </w:tcBorders>
          </w:tcPr>
          <w:p w14:paraId="47238460" w14:textId="77777777" w:rsidR="007C6854" w:rsidRDefault="00E0219E">
            <w:pPr>
              <w:spacing w:line="259" w:lineRule="auto"/>
              <w:jc w:val="center"/>
              <w:rPr>
                <w:rFonts w:eastAsia="Arial" w:cs="Arial"/>
                <w:szCs w:val="24"/>
              </w:rPr>
            </w:pPr>
            <w:r>
              <w:rPr>
                <w:rFonts w:eastAsia="Arial" w:cs="Arial"/>
                <w:szCs w:val="24"/>
              </w:rPr>
              <w:t>42</w:t>
            </w:r>
          </w:p>
        </w:tc>
        <w:tc>
          <w:tcPr>
            <w:tcW w:w="2095" w:type="dxa"/>
            <w:tcBorders>
              <w:top w:val="nil"/>
              <w:left w:val="nil"/>
              <w:bottom w:val="nil"/>
              <w:right w:val="nil"/>
            </w:tcBorders>
          </w:tcPr>
          <w:p w14:paraId="389A4372" w14:textId="77777777" w:rsidR="007C6854" w:rsidRDefault="00E0219E">
            <w:pPr>
              <w:spacing w:line="259" w:lineRule="auto"/>
              <w:jc w:val="center"/>
              <w:rPr>
                <w:rFonts w:eastAsia="Arial" w:cs="Arial"/>
                <w:szCs w:val="24"/>
              </w:rPr>
            </w:pPr>
            <w:r>
              <w:rPr>
                <w:rFonts w:eastAsia="Arial" w:cs="Arial"/>
                <w:szCs w:val="24"/>
              </w:rPr>
              <w:t>27.81</w:t>
            </w:r>
          </w:p>
        </w:tc>
      </w:tr>
      <w:tr w:rsidR="007C6854" w14:paraId="4720C908" w14:textId="77777777" w:rsidTr="00C00846">
        <w:tc>
          <w:tcPr>
            <w:tcW w:w="4605" w:type="dxa"/>
            <w:tcBorders>
              <w:top w:val="nil"/>
              <w:left w:val="nil"/>
              <w:bottom w:val="nil"/>
              <w:right w:val="nil"/>
            </w:tcBorders>
          </w:tcPr>
          <w:p w14:paraId="39285039" w14:textId="77777777" w:rsidR="007C6854" w:rsidRDefault="00E0219E">
            <w:pPr>
              <w:spacing w:line="259" w:lineRule="auto"/>
              <w:rPr>
                <w:rFonts w:eastAsia="Arial" w:cs="Arial"/>
                <w:szCs w:val="24"/>
              </w:rPr>
            </w:pPr>
            <w:r>
              <w:rPr>
                <w:rFonts w:eastAsia="Arial" w:cs="Arial"/>
                <w:szCs w:val="24"/>
              </w:rPr>
              <w:t>Marital Status</w:t>
            </w:r>
          </w:p>
        </w:tc>
        <w:tc>
          <w:tcPr>
            <w:tcW w:w="2670" w:type="dxa"/>
            <w:tcBorders>
              <w:top w:val="nil"/>
              <w:left w:val="nil"/>
              <w:bottom w:val="nil"/>
              <w:right w:val="nil"/>
            </w:tcBorders>
          </w:tcPr>
          <w:p w14:paraId="5A9A79DD" w14:textId="77777777" w:rsidR="007C6854" w:rsidRDefault="007C6854">
            <w:pPr>
              <w:spacing w:line="259" w:lineRule="auto"/>
              <w:jc w:val="center"/>
              <w:rPr>
                <w:rFonts w:eastAsia="Arial" w:cs="Arial"/>
                <w:szCs w:val="24"/>
              </w:rPr>
            </w:pPr>
          </w:p>
        </w:tc>
        <w:tc>
          <w:tcPr>
            <w:tcW w:w="2095" w:type="dxa"/>
            <w:tcBorders>
              <w:top w:val="nil"/>
              <w:left w:val="nil"/>
              <w:bottom w:val="nil"/>
              <w:right w:val="nil"/>
            </w:tcBorders>
          </w:tcPr>
          <w:p w14:paraId="73420759" w14:textId="77777777" w:rsidR="007C6854" w:rsidRDefault="007C6854">
            <w:pPr>
              <w:spacing w:line="259" w:lineRule="auto"/>
              <w:jc w:val="center"/>
              <w:rPr>
                <w:rFonts w:eastAsia="Arial" w:cs="Arial"/>
                <w:szCs w:val="24"/>
              </w:rPr>
            </w:pPr>
          </w:p>
        </w:tc>
      </w:tr>
      <w:tr w:rsidR="007C6854" w14:paraId="431774E2" w14:textId="77777777" w:rsidTr="00C00846">
        <w:tc>
          <w:tcPr>
            <w:tcW w:w="4605" w:type="dxa"/>
            <w:tcBorders>
              <w:top w:val="nil"/>
              <w:left w:val="nil"/>
              <w:bottom w:val="nil"/>
              <w:right w:val="nil"/>
            </w:tcBorders>
          </w:tcPr>
          <w:p w14:paraId="4FCD20BB" w14:textId="77777777" w:rsidR="007C6854" w:rsidRDefault="00E0219E">
            <w:pPr>
              <w:spacing w:line="259" w:lineRule="auto"/>
              <w:ind w:left="720"/>
              <w:rPr>
                <w:rFonts w:eastAsia="Arial" w:cs="Arial"/>
                <w:szCs w:val="24"/>
              </w:rPr>
            </w:pPr>
            <w:r>
              <w:rPr>
                <w:rFonts w:eastAsia="Arial" w:cs="Arial"/>
                <w:szCs w:val="24"/>
              </w:rPr>
              <w:t>Never Married</w:t>
            </w:r>
          </w:p>
        </w:tc>
        <w:tc>
          <w:tcPr>
            <w:tcW w:w="2670" w:type="dxa"/>
            <w:tcBorders>
              <w:top w:val="nil"/>
              <w:left w:val="nil"/>
              <w:bottom w:val="nil"/>
              <w:right w:val="nil"/>
            </w:tcBorders>
          </w:tcPr>
          <w:p w14:paraId="0B6D8432" w14:textId="77777777" w:rsidR="007C6854" w:rsidRDefault="00E0219E">
            <w:pPr>
              <w:spacing w:line="259" w:lineRule="auto"/>
              <w:jc w:val="center"/>
              <w:rPr>
                <w:rFonts w:eastAsia="Arial" w:cs="Arial"/>
                <w:szCs w:val="24"/>
              </w:rPr>
            </w:pPr>
            <w:r>
              <w:rPr>
                <w:rFonts w:eastAsia="Arial" w:cs="Arial"/>
                <w:szCs w:val="24"/>
              </w:rPr>
              <w:t>14</w:t>
            </w:r>
          </w:p>
        </w:tc>
        <w:tc>
          <w:tcPr>
            <w:tcW w:w="2095" w:type="dxa"/>
            <w:tcBorders>
              <w:top w:val="nil"/>
              <w:left w:val="nil"/>
              <w:bottom w:val="nil"/>
              <w:right w:val="nil"/>
            </w:tcBorders>
          </w:tcPr>
          <w:p w14:paraId="037538FA" w14:textId="77777777" w:rsidR="007C6854" w:rsidRDefault="00E0219E">
            <w:pPr>
              <w:spacing w:line="259" w:lineRule="auto"/>
              <w:jc w:val="center"/>
              <w:rPr>
                <w:rFonts w:eastAsia="Arial" w:cs="Arial"/>
                <w:szCs w:val="24"/>
              </w:rPr>
            </w:pPr>
            <w:r>
              <w:rPr>
                <w:rFonts w:eastAsia="Arial" w:cs="Arial"/>
                <w:szCs w:val="24"/>
              </w:rPr>
              <w:t>9.27</w:t>
            </w:r>
          </w:p>
        </w:tc>
      </w:tr>
      <w:tr w:rsidR="007C6854" w14:paraId="49016B83" w14:textId="77777777" w:rsidTr="00C00846">
        <w:tc>
          <w:tcPr>
            <w:tcW w:w="4605" w:type="dxa"/>
            <w:tcBorders>
              <w:top w:val="nil"/>
              <w:left w:val="nil"/>
              <w:bottom w:val="nil"/>
              <w:right w:val="nil"/>
            </w:tcBorders>
          </w:tcPr>
          <w:p w14:paraId="75EBE66D" w14:textId="77777777" w:rsidR="007C6854" w:rsidRDefault="00E0219E">
            <w:pPr>
              <w:spacing w:line="259" w:lineRule="auto"/>
              <w:ind w:left="720"/>
              <w:rPr>
                <w:rFonts w:eastAsia="Arial" w:cs="Arial"/>
                <w:szCs w:val="24"/>
              </w:rPr>
            </w:pPr>
            <w:r>
              <w:rPr>
                <w:rFonts w:eastAsia="Arial" w:cs="Arial"/>
                <w:szCs w:val="24"/>
              </w:rPr>
              <w:t>Currently Married</w:t>
            </w:r>
          </w:p>
        </w:tc>
        <w:tc>
          <w:tcPr>
            <w:tcW w:w="2670" w:type="dxa"/>
            <w:tcBorders>
              <w:top w:val="nil"/>
              <w:left w:val="nil"/>
              <w:bottom w:val="nil"/>
              <w:right w:val="nil"/>
            </w:tcBorders>
          </w:tcPr>
          <w:p w14:paraId="75F3EC1D" w14:textId="77777777" w:rsidR="007C6854" w:rsidRDefault="00E0219E">
            <w:pPr>
              <w:spacing w:line="259" w:lineRule="auto"/>
              <w:jc w:val="center"/>
              <w:rPr>
                <w:rFonts w:eastAsia="Arial" w:cs="Arial"/>
                <w:szCs w:val="24"/>
              </w:rPr>
            </w:pPr>
            <w:r>
              <w:rPr>
                <w:rFonts w:eastAsia="Arial" w:cs="Arial"/>
                <w:szCs w:val="24"/>
              </w:rPr>
              <w:t>98</w:t>
            </w:r>
          </w:p>
        </w:tc>
        <w:tc>
          <w:tcPr>
            <w:tcW w:w="2095" w:type="dxa"/>
            <w:tcBorders>
              <w:top w:val="nil"/>
              <w:left w:val="nil"/>
              <w:bottom w:val="nil"/>
              <w:right w:val="nil"/>
            </w:tcBorders>
          </w:tcPr>
          <w:p w14:paraId="29B612F1" w14:textId="77777777" w:rsidR="007C6854" w:rsidRDefault="00E0219E">
            <w:pPr>
              <w:spacing w:line="259" w:lineRule="auto"/>
              <w:jc w:val="center"/>
              <w:rPr>
                <w:rFonts w:eastAsia="Arial" w:cs="Arial"/>
                <w:szCs w:val="24"/>
              </w:rPr>
            </w:pPr>
            <w:r>
              <w:rPr>
                <w:rFonts w:eastAsia="Arial" w:cs="Arial"/>
                <w:szCs w:val="24"/>
              </w:rPr>
              <w:t>64.90</w:t>
            </w:r>
          </w:p>
        </w:tc>
      </w:tr>
      <w:tr w:rsidR="007C6854" w14:paraId="04A88598" w14:textId="77777777" w:rsidTr="00C00846">
        <w:tc>
          <w:tcPr>
            <w:tcW w:w="4605" w:type="dxa"/>
            <w:tcBorders>
              <w:top w:val="nil"/>
              <w:left w:val="nil"/>
              <w:bottom w:val="nil"/>
              <w:right w:val="nil"/>
            </w:tcBorders>
          </w:tcPr>
          <w:p w14:paraId="568650C3" w14:textId="77777777" w:rsidR="007C6854" w:rsidRDefault="00E0219E">
            <w:pPr>
              <w:spacing w:line="259" w:lineRule="auto"/>
              <w:ind w:left="720"/>
              <w:rPr>
                <w:rFonts w:eastAsia="Arial" w:cs="Arial"/>
                <w:szCs w:val="24"/>
              </w:rPr>
            </w:pPr>
            <w:r>
              <w:rPr>
                <w:rFonts w:eastAsia="Arial" w:cs="Arial"/>
                <w:szCs w:val="24"/>
              </w:rPr>
              <w:t>Separated</w:t>
            </w:r>
          </w:p>
        </w:tc>
        <w:tc>
          <w:tcPr>
            <w:tcW w:w="2670" w:type="dxa"/>
            <w:tcBorders>
              <w:top w:val="nil"/>
              <w:left w:val="nil"/>
              <w:bottom w:val="nil"/>
              <w:right w:val="nil"/>
            </w:tcBorders>
          </w:tcPr>
          <w:p w14:paraId="79D53050" w14:textId="77777777" w:rsidR="007C6854" w:rsidRDefault="00E0219E">
            <w:pPr>
              <w:spacing w:line="259" w:lineRule="auto"/>
              <w:jc w:val="center"/>
              <w:rPr>
                <w:rFonts w:eastAsia="Arial" w:cs="Arial"/>
                <w:szCs w:val="24"/>
              </w:rPr>
            </w:pPr>
            <w:r>
              <w:rPr>
                <w:rFonts w:eastAsia="Arial" w:cs="Arial"/>
                <w:szCs w:val="24"/>
              </w:rPr>
              <w:t>2</w:t>
            </w:r>
          </w:p>
        </w:tc>
        <w:tc>
          <w:tcPr>
            <w:tcW w:w="2095" w:type="dxa"/>
            <w:tcBorders>
              <w:top w:val="nil"/>
              <w:left w:val="nil"/>
              <w:bottom w:val="nil"/>
              <w:right w:val="nil"/>
            </w:tcBorders>
          </w:tcPr>
          <w:p w14:paraId="02AB6759" w14:textId="77777777" w:rsidR="007C6854" w:rsidRDefault="00E0219E">
            <w:pPr>
              <w:spacing w:line="259" w:lineRule="auto"/>
              <w:jc w:val="center"/>
              <w:rPr>
                <w:rFonts w:eastAsia="Arial" w:cs="Arial"/>
                <w:szCs w:val="24"/>
              </w:rPr>
            </w:pPr>
            <w:r>
              <w:rPr>
                <w:rFonts w:eastAsia="Arial" w:cs="Arial"/>
                <w:szCs w:val="24"/>
              </w:rPr>
              <w:t>1.32</w:t>
            </w:r>
          </w:p>
        </w:tc>
      </w:tr>
      <w:tr w:rsidR="007C6854" w14:paraId="1B9E8299" w14:textId="77777777" w:rsidTr="00C00846">
        <w:tc>
          <w:tcPr>
            <w:tcW w:w="4605" w:type="dxa"/>
            <w:tcBorders>
              <w:top w:val="nil"/>
              <w:left w:val="nil"/>
              <w:bottom w:val="nil"/>
              <w:right w:val="nil"/>
            </w:tcBorders>
          </w:tcPr>
          <w:p w14:paraId="5019DDE7" w14:textId="77777777" w:rsidR="007C6854" w:rsidRDefault="00E0219E">
            <w:pPr>
              <w:spacing w:line="259" w:lineRule="auto"/>
              <w:ind w:left="720"/>
              <w:rPr>
                <w:rFonts w:eastAsia="Arial" w:cs="Arial"/>
                <w:szCs w:val="24"/>
              </w:rPr>
            </w:pPr>
            <w:r>
              <w:rPr>
                <w:rFonts w:eastAsia="Arial" w:cs="Arial"/>
                <w:szCs w:val="24"/>
              </w:rPr>
              <w:t>Widowed</w:t>
            </w:r>
          </w:p>
        </w:tc>
        <w:tc>
          <w:tcPr>
            <w:tcW w:w="2670" w:type="dxa"/>
            <w:tcBorders>
              <w:top w:val="nil"/>
              <w:left w:val="nil"/>
              <w:bottom w:val="nil"/>
              <w:right w:val="nil"/>
            </w:tcBorders>
          </w:tcPr>
          <w:p w14:paraId="0B62D4E8" w14:textId="77777777" w:rsidR="007C6854" w:rsidRDefault="00E0219E">
            <w:pPr>
              <w:spacing w:line="259" w:lineRule="auto"/>
              <w:jc w:val="center"/>
              <w:rPr>
                <w:rFonts w:eastAsia="Arial" w:cs="Arial"/>
                <w:szCs w:val="24"/>
              </w:rPr>
            </w:pPr>
            <w:r>
              <w:rPr>
                <w:rFonts w:eastAsia="Arial" w:cs="Arial"/>
                <w:szCs w:val="24"/>
              </w:rPr>
              <w:t>15</w:t>
            </w:r>
          </w:p>
        </w:tc>
        <w:tc>
          <w:tcPr>
            <w:tcW w:w="2095" w:type="dxa"/>
            <w:tcBorders>
              <w:top w:val="nil"/>
              <w:left w:val="nil"/>
              <w:bottom w:val="nil"/>
              <w:right w:val="nil"/>
            </w:tcBorders>
          </w:tcPr>
          <w:p w14:paraId="698E8558" w14:textId="77777777" w:rsidR="007C6854" w:rsidRDefault="00E0219E">
            <w:pPr>
              <w:spacing w:line="259" w:lineRule="auto"/>
              <w:jc w:val="center"/>
              <w:rPr>
                <w:rFonts w:eastAsia="Arial" w:cs="Arial"/>
                <w:szCs w:val="24"/>
              </w:rPr>
            </w:pPr>
            <w:r>
              <w:rPr>
                <w:rFonts w:eastAsia="Arial" w:cs="Arial"/>
                <w:szCs w:val="24"/>
              </w:rPr>
              <w:t>9.93</w:t>
            </w:r>
          </w:p>
        </w:tc>
      </w:tr>
      <w:tr w:rsidR="007C6854" w14:paraId="4C2473B5" w14:textId="77777777" w:rsidTr="00C00846">
        <w:tc>
          <w:tcPr>
            <w:tcW w:w="4605" w:type="dxa"/>
            <w:tcBorders>
              <w:top w:val="nil"/>
              <w:left w:val="nil"/>
              <w:bottom w:val="nil"/>
              <w:right w:val="nil"/>
            </w:tcBorders>
          </w:tcPr>
          <w:p w14:paraId="2B04E433" w14:textId="77777777" w:rsidR="007C6854" w:rsidRDefault="00E0219E">
            <w:pPr>
              <w:spacing w:line="259" w:lineRule="auto"/>
              <w:ind w:left="720"/>
              <w:rPr>
                <w:rFonts w:eastAsia="Arial" w:cs="Arial"/>
                <w:szCs w:val="24"/>
              </w:rPr>
            </w:pPr>
            <w:r>
              <w:rPr>
                <w:rFonts w:eastAsia="Arial" w:cs="Arial"/>
                <w:szCs w:val="24"/>
              </w:rPr>
              <w:t>Cohabitating (Live-in)</w:t>
            </w:r>
          </w:p>
        </w:tc>
        <w:tc>
          <w:tcPr>
            <w:tcW w:w="2670" w:type="dxa"/>
            <w:tcBorders>
              <w:top w:val="nil"/>
              <w:left w:val="nil"/>
              <w:bottom w:val="nil"/>
              <w:right w:val="nil"/>
            </w:tcBorders>
          </w:tcPr>
          <w:p w14:paraId="75B35057" w14:textId="77777777" w:rsidR="007C6854" w:rsidRDefault="00E0219E">
            <w:pPr>
              <w:spacing w:line="259" w:lineRule="auto"/>
              <w:jc w:val="center"/>
              <w:rPr>
                <w:rFonts w:eastAsia="Arial" w:cs="Arial"/>
                <w:szCs w:val="24"/>
              </w:rPr>
            </w:pPr>
            <w:r>
              <w:rPr>
                <w:rFonts w:eastAsia="Arial" w:cs="Arial"/>
                <w:szCs w:val="24"/>
              </w:rPr>
              <w:t>21</w:t>
            </w:r>
          </w:p>
        </w:tc>
        <w:tc>
          <w:tcPr>
            <w:tcW w:w="2095" w:type="dxa"/>
            <w:tcBorders>
              <w:top w:val="nil"/>
              <w:left w:val="nil"/>
              <w:bottom w:val="nil"/>
              <w:right w:val="nil"/>
            </w:tcBorders>
          </w:tcPr>
          <w:p w14:paraId="7B1E154F" w14:textId="77777777" w:rsidR="007C6854" w:rsidRDefault="00E0219E">
            <w:pPr>
              <w:spacing w:line="259" w:lineRule="auto"/>
              <w:jc w:val="center"/>
              <w:rPr>
                <w:rFonts w:eastAsia="Arial" w:cs="Arial"/>
                <w:szCs w:val="24"/>
              </w:rPr>
            </w:pPr>
            <w:r>
              <w:rPr>
                <w:rFonts w:eastAsia="Arial" w:cs="Arial"/>
                <w:szCs w:val="24"/>
              </w:rPr>
              <w:t>13.91</w:t>
            </w:r>
          </w:p>
        </w:tc>
      </w:tr>
      <w:tr w:rsidR="007C6854" w14:paraId="1ED556D4" w14:textId="77777777" w:rsidTr="00C00846">
        <w:tc>
          <w:tcPr>
            <w:tcW w:w="4605" w:type="dxa"/>
            <w:tcBorders>
              <w:top w:val="nil"/>
              <w:left w:val="nil"/>
              <w:bottom w:val="nil"/>
              <w:right w:val="nil"/>
            </w:tcBorders>
          </w:tcPr>
          <w:p w14:paraId="2D77B1E9" w14:textId="77777777" w:rsidR="007C6854" w:rsidRDefault="00E0219E">
            <w:pPr>
              <w:spacing w:line="259" w:lineRule="auto"/>
              <w:ind w:left="720"/>
              <w:rPr>
                <w:rFonts w:eastAsia="Arial" w:cs="Arial"/>
                <w:szCs w:val="24"/>
              </w:rPr>
            </w:pPr>
            <w:r>
              <w:rPr>
                <w:rFonts w:eastAsia="Arial" w:cs="Arial"/>
                <w:szCs w:val="24"/>
              </w:rPr>
              <w:t>Refused to answer</w:t>
            </w:r>
          </w:p>
        </w:tc>
        <w:tc>
          <w:tcPr>
            <w:tcW w:w="2670" w:type="dxa"/>
            <w:tcBorders>
              <w:top w:val="nil"/>
              <w:left w:val="nil"/>
              <w:bottom w:val="nil"/>
              <w:right w:val="nil"/>
            </w:tcBorders>
          </w:tcPr>
          <w:p w14:paraId="63F0F23D" w14:textId="77777777" w:rsidR="007C6854" w:rsidRDefault="00E0219E">
            <w:pPr>
              <w:spacing w:line="259" w:lineRule="auto"/>
              <w:jc w:val="center"/>
              <w:rPr>
                <w:rFonts w:eastAsia="Arial" w:cs="Arial"/>
                <w:szCs w:val="24"/>
              </w:rPr>
            </w:pPr>
            <w:r>
              <w:rPr>
                <w:rFonts w:eastAsia="Arial" w:cs="Arial"/>
                <w:szCs w:val="24"/>
              </w:rPr>
              <w:t>1</w:t>
            </w:r>
          </w:p>
        </w:tc>
        <w:tc>
          <w:tcPr>
            <w:tcW w:w="2095" w:type="dxa"/>
            <w:tcBorders>
              <w:top w:val="nil"/>
              <w:left w:val="nil"/>
              <w:bottom w:val="nil"/>
              <w:right w:val="nil"/>
            </w:tcBorders>
          </w:tcPr>
          <w:p w14:paraId="2D89E9A6" w14:textId="77777777" w:rsidR="007C6854" w:rsidRDefault="00E0219E">
            <w:pPr>
              <w:spacing w:line="259" w:lineRule="auto"/>
              <w:jc w:val="center"/>
              <w:rPr>
                <w:rFonts w:eastAsia="Arial" w:cs="Arial"/>
                <w:szCs w:val="24"/>
              </w:rPr>
            </w:pPr>
            <w:r>
              <w:rPr>
                <w:rFonts w:eastAsia="Arial" w:cs="Arial"/>
                <w:szCs w:val="24"/>
              </w:rPr>
              <w:t>0.66</w:t>
            </w:r>
          </w:p>
        </w:tc>
      </w:tr>
      <w:tr w:rsidR="007C6854" w14:paraId="35373CC3" w14:textId="77777777" w:rsidTr="00C00846">
        <w:tc>
          <w:tcPr>
            <w:tcW w:w="4605" w:type="dxa"/>
            <w:tcBorders>
              <w:top w:val="nil"/>
              <w:left w:val="nil"/>
              <w:bottom w:val="nil"/>
              <w:right w:val="nil"/>
            </w:tcBorders>
          </w:tcPr>
          <w:p w14:paraId="7970CE77" w14:textId="77777777" w:rsidR="007C6854" w:rsidRDefault="00E0219E">
            <w:pPr>
              <w:spacing w:line="259" w:lineRule="auto"/>
              <w:rPr>
                <w:rFonts w:eastAsia="Arial" w:cs="Arial"/>
                <w:szCs w:val="24"/>
              </w:rPr>
            </w:pPr>
            <w:r>
              <w:rPr>
                <w:rFonts w:eastAsia="Arial" w:cs="Arial"/>
                <w:szCs w:val="24"/>
              </w:rPr>
              <w:t>Work Status over the past 12 months</w:t>
            </w:r>
          </w:p>
        </w:tc>
        <w:tc>
          <w:tcPr>
            <w:tcW w:w="2670" w:type="dxa"/>
            <w:tcBorders>
              <w:top w:val="nil"/>
              <w:left w:val="nil"/>
              <w:bottom w:val="nil"/>
              <w:right w:val="nil"/>
            </w:tcBorders>
          </w:tcPr>
          <w:p w14:paraId="77ADA80F" w14:textId="77777777" w:rsidR="007C6854" w:rsidRDefault="007C6854">
            <w:pPr>
              <w:spacing w:line="259" w:lineRule="auto"/>
              <w:jc w:val="center"/>
              <w:rPr>
                <w:rFonts w:eastAsia="Arial" w:cs="Arial"/>
                <w:szCs w:val="24"/>
              </w:rPr>
            </w:pPr>
          </w:p>
        </w:tc>
        <w:tc>
          <w:tcPr>
            <w:tcW w:w="2095" w:type="dxa"/>
            <w:tcBorders>
              <w:top w:val="nil"/>
              <w:left w:val="nil"/>
              <w:bottom w:val="nil"/>
              <w:right w:val="nil"/>
            </w:tcBorders>
          </w:tcPr>
          <w:p w14:paraId="5C1538F7" w14:textId="77777777" w:rsidR="007C6854" w:rsidRDefault="007C6854">
            <w:pPr>
              <w:spacing w:line="259" w:lineRule="auto"/>
              <w:jc w:val="center"/>
              <w:rPr>
                <w:rFonts w:eastAsia="Arial" w:cs="Arial"/>
                <w:szCs w:val="24"/>
              </w:rPr>
            </w:pPr>
          </w:p>
        </w:tc>
      </w:tr>
      <w:tr w:rsidR="007C6854" w14:paraId="70858C50" w14:textId="77777777" w:rsidTr="00C00846">
        <w:tc>
          <w:tcPr>
            <w:tcW w:w="4605" w:type="dxa"/>
            <w:tcBorders>
              <w:top w:val="nil"/>
              <w:left w:val="nil"/>
              <w:bottom w:val="nil"/>
              <w:right w:val="nil"/>
            </w:tcBorders>
          </w:tcPr>
          <w:p w14:paraId="2322E74C" w14:textId="77777777" w:rsidR="007C6854" w:rsidRDefault="00E0219E">
            <w:pPr>
              <w:spacing w:line="259" w:lineRule="auto"/>
              <w:ind w:left="720"/>
              <w:rPr>
                <w:rFonts w:eastAsia="Arial" w:cs="Arial"/>
                <w:szCs w:val="24"/>
              </w:rPr>
            </w:pPr>
            <w:r>
              <w:rPr>
                <w:rFonts w:eastAsia="Arial" w:cs="Arial"/>
                <w:szCs w:val="24"/>
              </w:rPr>
              <w:t>Government employee</w:t>
            </w:r>
          </w:p>
        </w:tc>
        <w:tc>
          <w:tcPr>
            <w:tcW w:w="2670" w:type="dxa"/>
            <w:tcBorders>
              <w:top w:val="nil"/>
              <w:left w:val="nil"/>
              <w:bottom w:val="nil"/>
              <w:right w:val="nil"/>
            </w:tcBorders>
          </w:tcPr>
          <w:p w14:paraId="0D101C04" w14:textId="77777777" w:rsidR="007C6854" w:rsidRDefault="00E0219E">
            <w:pPr>
              <w:spacing w:line="259" w:lineRule="auto"/>
              <w:jc w:val="center"/>
              <w:rPr>
                <w:rFonts w:eastAsia="Arial" w:cs="Arial"/>
                <w:szCs w:val="24"/>
              </w:rPr>
            </w:pPr>
            <w:r>
              <w:rPr>
                <w:rFonts w:eastAsia="Arial" w:cs="Arial"/>
                <w:szCs w:val="24"/>
              </w:rPr>
              <w:t>6</w:t>
            </w:r>
          </w:p>
        </w:tc>
        <w:tc>
          <w:tcPr>
            <w:tcW w:w="2095" w:type="dxa"/>
            <w:tcBorders>
              <w:top w:val="nil"/>
              <w:left w:val="nil"/>
              <w:bottom w:val="nil"/>
              <w:right w:val="nil"/>
            </w:tcBorders>
          </w:tcPr>
          <w:p w14:paraId="3E0F6AEB" w14:textId="77777777" w:rsidR="007C6854" w:rsidRDefault="00E0219E">
            <w:pPr>
              <w:spacing w:line="259" w:lineRule="auto"/>
              <w:jc w:val="center"/>
              <w:rPr>
                <w:rFonts w:eastAsia="Arial" w:cs="Arial"/>
                <w:szCs w:val="24"/>
              </w:rPr>
            </w:pPr>
            <w:r>
              <w:rPr>
                <w:rFonts w:eastAsia="Arial" w:cs="Arial"/>
                <w:szCs w:val="24"/>
              </w:rPr>
              <w:t>3.97</w:t>
            </w:r>
          </w:p>
        </w:tc>
      </w:tr>
      <w:tr w:rsidR="007C6854" w14:paraId="481BA59E" w14:textId="77777777" w:rsidTr="00C00846">
        <w:tc>
          <w:tcPr>
            <w:tcW w:w="4605" w:type="dxa"/>
            <w:tcBorders>
              <w:top w:val="nil"/>
              <w:left w:val="nil"/>
              <w:bottom w:val="nil"/>
              <w:right w:val="nil"/>
            </w:tcBorders>
          </w:tcPr>
          <w:p w14:paraId="4E64DC30" w14:textId="77777777" w:rsidR="007C6854" w:rsidRDefault="00E0219E">
            <w:pPr>
              <w:spacing w:line="259" w:lineRule="auto"/>
              <w:ind w:left="720"/>
              <w:rPr>
                <w:rFonts w:eastAsia="Arial" w:cs="Arial"/>
                <w:szCs w:val="24"/>
              </w:rPr>
            </w:pPr>
            <w:r>
              <w:rPr>
                <w:rFonts w:eastAsia="Arial" w:cs="Arial"/>
                <w:szCs w:val="24"/>
              </w:rPr>
              <w:t>Private employee</w:t>
            </w:r>
          </w:p>
        </w:tc>
        <w:tc>
          <w:tcPr>
            <w:tcW w:w="2670" w:type="dxa"/>
            <w:tcBorders>
              <w:top w:val="nil"/>
              <w:left w:val="nil"/>
              <w:bottom w:val="nil"/>
              <w:right w:val="nil"/>
            </w:tcBorders>
          </w:tcPr>
          <w:p w14:paraId="0E5FF27C" w14:textId="77777777" w:rsidR="007C6854" w:rsidRDefault="00E0219E">
            <w:pPr>
              <w:spacing w:line="259" w:lineRule="auto"/>
              <w:jc w:val="center"/>
              <w:rPr>
                <w:rFonts w:eastAsia="Arial" w:cs="Arial"/>
                <w:szCs w:val="24"/>
              </w:rPr>
            </w:pPr>
            <w:r>
              <w:rPr>
                <w:rFonts w:eastAsia="Arial" w:cs="Arial"/>
                <w:szCs w:val="24"/>
              </w:rPr>
              <w:t>5</w:t>
            </w:r>
          </w:p>
        </w:tc>
        <w:tc>
          <w:tcPr>
            <w:tcW w:w="2095" w:type="dxa"/>
            <w:tcBorders>
              <w:top w:val="nil"/>
              <w:left w:val="nil"/>
              <w:bottom w:val="nil"/>
              <w:right w:val="nil"/>
            </w:tcBorders>
          </w:tcPr>
          <w:p w14:paraId="11E638BF" w14:textId="77777777" w:rsidR="007C6854" w:rsidRDefault="00E0219E">
            <w:pPr>
              <w:spacing w:line="259" w:lineRule="auto"/>
              <w:jc w:val="center"/>
              <w:rPr>
                <w:rFonts w:eastAsia="Arial" w:cs="Arial"/>
                <w:szCs w:val="24"/>
              </w:rPr>
            </w:pPr>
            <w:r>
              <w:rPr>
                <w:rFonts w:eastAsia="Arial" w:cs="Arial"/>
                <w:szCs w:val="24"/>
              </w:rPr>
              <w:t>3.31</w:t>
            </w:r>
          </w:p>
        </w:tc>
      </w:tr>
      <w:tr w:rsidR="007C6854" w14:paraId="52CED44B" w14:textId="77777777" w:rsidTr="00C00846">
        <w:tc>
          <w:tcPr>
            <w:tcW w:w="4605" w:type="dxa"/>
            <w:tcBorders>
              <w:top w:val="nil"/>
              <w:left w:val="nil"/>
              <w:bottom w:val="nil"/>
              <w:right w:val="nil"/>
            </w:tcBorders>
          </w:tcPr>
          <w:p w14:paraId="67AD7B02" w14:textId="77777777" w:rsidR="007C6854" w:rsidRDefault="00E0219E">
            <w:pPr>
              <w:spacing w:line="259" w:lineRule="auto"/>
              <w:ind w:left="720"/>
              <w:rPr>
                <w:rFonts w:eastAsia="Arial" w:cs="Arial"/>
                <w:szCs w:val="24"/>
              </w:rPr>
            </w:pPr>
            <w:r>
              <w:rPr>
                <w:rFonts w:eastAsia="Arial" w:cs="Arial"/>
                <w:szCs w:val="24"/>
              </w:rPr>
              <w:t>Self-employed</w:t>
            </w:r>
          </w:p>
        </w:tc>
        <w:tc>
          <w:tcPr>
            <w:tcW w:w="2670" w:type="dxa"/>
            <w:tcBorders>
              <w:top w:val="nil"/>
              <w:left w:val="nil"/>
              <w:bottom w:val="nil"/>
              <w:right w:val="nil"/>
            </w:tcBorders>
          </w:tcPr>
          <w:p w14:paraId="0554E90D" w14:textId="77777777" w:rsidR="007C6854" w:rsidRDefault="00E0219E">
            <w:pPr>
              <w:spacing w:line="259" w:lineRule="auto"/>
              <w:jc w:val="center"/>
              <w:rPr>
                <w:rFonts w:eastAsia="Arial" w:cs="Arial"/>
                <w:szCs w:val="24"/>
              </w:rPr>
            </w:pPr>
            <w:r>
              <w:rPr>
                <w:rFonts w:eastAsia="Arial" w:cs="Arial"/>
                <w:szCs w:val="24"/>
              </w:rPr>
              <w:t>73</w:t>
            </w:r>
          </w:p>
        </w:tc>
        <w:tc>
          <w:tcPr>
            <w:tcW w:w="2095" w:type="dxa"/>
            <w:tcBorders>
              <w:top w:val="nil"/>
              <w:left w:val="nil"/>
              <w:bottom w:val="nil"/>
              <w:right w:val="nil"/>
            </w:tcBorders>
          </w:tcPr>
          <w:p w14:paraId="257D4BBA" w14:textId="77777777" w:rsidR="007C6854" w:rsidRDefault="00E0219E">
            <w:pPr>
              <w:spacing w:line="259" w:lineRule="auto"/>
              <w:jc w:val="center"/>
              <w:rPr>
                <w:rFonts w:eastAsia="Arial" w:cs="Arial"/>
                <w:szCs w:val="24"/>
              </w:rPr>
            </w:pPr>
            <w:r>
              <w:rPr>
                <w:rFonts w:eastAsia="Arial" w:cs="Arial"/>
                <w:szCs w:val="24"/>
              </w:rPr>
              <w:t>48.34</w:t>
            </w:r>
          </w:p>
        </w:tc>
      </w:tr>
      <w:tr w:rsidR="007C6854" w14:paraId="2009DB91" w14:textId="77777777" w:rsidTr="00C00846">
        <w:tc>
          <w:tcPr>
            <w:tcW w:w="4605" w:type="dxa"/>
            <w:tcBorders>
              <w:top w:val="nil"/>
              <w:left w:val="nil"/>
              <w:bottom w:val="nil"/>
              <w:right w:val="nil"/>
            </w:tcBorders>
          </w:tcPr>
          <w:p w14:paraId="63B32426" w14:textId="77777777" w:rsidR="007C6854" w:rsidRDefault="00E0219E">
            <w:pPr>
              <w:spacing w:line="259" w:lineRule="auto"/>
              <w:ind w:left="720"/>
              <w:rPr>
                <w:rFonts w:eastAsia="Arial" w:cs="Arial"/>
                <w:szCs w:val="24"/>
              </w:rPr>
            </w:pPr>
            <w:r>
              <w:rPr>
                <w:rFonts w:eastAsia="Arial" w:cs="Arial"/>
                <w:szCs w:val="24"/>
              </w:rPr>
              <w:t>Student</w:t>
            </w:r>
          </w:p>
        </w:tc>
        <w:tc>
          <w:tcPr>
            <w:tcW w:w="2670" w:type="dxa"/>
            <w:tcBorders>
              <w:top w:val="nil"/>
              <w:left w:val="nil"/>
              <w:bottom w:val="nil"/>
              <w:right w:val="nil"/>
            </w:tcBorders>
          </w:tcPr>
          <w:p w14:paraId="6A7EBD03" w14:textId="77777777" w:rsidR="007C6854" w:rsidRDefault="00E0219E">
            <w:pPr>
              <w:spacing w:line="259" w:lineRule="auto"/>
              <w:jc w:val="center"/>
              <w:rPr>
                <w:rFonts w:eastAsia="Arial" w:cs="Arial"/>
                <w:szCs w:val="24"/>
              </w:rPr>
            </w:pPr>
            <w:r>
              <w:rPr>
                <w:rFonts w:eastAsia="Arial" w:cs="Arial"/>
                <w:szCs w:val="24"/>
              </w:rPr>
              <w:t>1</w:t>
            </w:r>
          </w:p>
        </w:tc>
        <w:tc>
          <w:tcPr>
            <w:tcW w:w="2095" w:type="dxa"/>
            <w:tcBorders>
              <w:top w:val="nil"/>
              <w:left w:val="nil"/>
              <w:bottom w:val="nil"/>
              <w:right w:val="nil"/>
            </w:tcBorders>
          </w:tcPr>
          <w:p w14:paraId="1B261BEC" w14:textId="77777777" w:rsidR="007C6854" w:rsidRDefault="00E0219E">
            <w:pPr>
              <w:spacing w:line="259" w:lineRule="auto"/>
              <w:jc w:val="center"/>
              <w:rPr>
                <w:rFonts w:eastAsia="Arial" w:cs="Arial"/>
                <w:szCs w:val="24"/>
              </w:rPr>
            </w:pPr>
            <w:r>
              <w:rPr>
                <w:rFonts w:eastAsia="Arial" w:cs="Arial"/>
                <w:szCs w:val="24"/>
              </w:rPr>
              <w:t>0.66</w:t>
            </w:r>
          </w:p>
        </w:tc>
      </w:tr>
      <w:tr w:rsidR="007C6854" w14:paraId="5865EBE8" w14:textId="77777777" w:rsidTr="00C00846">
        <w:tc>
          <w:tcPr>
            <w:tcW w:w="4605" w:type="dxa"/>
            <w:tcBorders>
              <w:top w:val="nil"/>
              <w:left w:val="nil"/>
              <w:bottom w:val="nil"/>
              <w:right w:val="nil"/>
            </w:tcBorders>
          </w:tcPr>
          <w:p w14:paraId="3539114F" w14:textId="77777777" w:rsidR="007C6854" w:rsidRDefault="00E0219E">
            <w:pPr>
              <w:spacing w:line="259" w:lineRule="auto"/>
              <w:ind w:left="720"/>
              <w:rPr>
                <w:rFonts w:eastAsia="Arial" w:cs="Arial"/>
                <w:szCs w:val="24"/>
              </w:rPr>
            </w:pPr>
            <w:r>
              <w:rPr>
                <w:rFonts w:eastAsia="Arial" w:cs="Arial"/>
                <w:szCs w:val="24"/>
              </w:rPr>
              <w:lastRenderedPageBreak/>
              <w:t>Homemaker</w:t>
            </w:r>
          </w:p>
        </w:tc>
        <w:tc>
          <w:tcPr>
            <w:tcW w:w="2670" w:type="dxa"/>
            <w:tcBorders>
              <w:top w:val="nil"/>
              <w:left w:val="nil"/>
              <w:bottom w:val="nil"/>
              <w:right w:val="nil"/>
            </w:tcBorders>
          </w:tcPr>
          <w:p w14:paraId="6959D00D" w14:textId="77777777" w:rsidR="007C6854" w:rsidRDefault="00E0219E">
            <w:pPr>
              <w:spacing w:line="259" w:lineRule="auto"/>
              <w:jc w:val="center"/>
              <w:rPr>
                <w:rFonts w:eastAsia="Arial" w:cs="Arial"/>
                <w:szCs w:val="24"/>
              </w:rPr>
            </w:pPr>
            <w:r>
              <w:rPr>
                <w:rFonts w:eastAsia="Arial" w:cs="Arial"/>
                <w:szCs w:val="24"/>
              </w:rPr>
              <w:t>14</w:t>
            </w:r>
          </w:p>
        </w:tc>
        <w:tc>
          <w:tcPr>
            <w:tcW w:w="2095" w:type="dxa"/>
            <w:tcBorders>
              <w:top w:val="nil"/>
              <w:left w:val="nil"/>
              <w:bottom w:val="nil"/>
              <w:right w:val="nil"/>
            </w:tcBorders>
          </w:tcPr>
          <w:p w14:paraId="358F6016" w14:textId="77777777" w:rsidR="007C6854" w:rsidRDefault="00E0219E">
            <w:pPr>
              <w:spacing w:line="259" w:lineRule="auto"/>
              <w:jc w:val="center"/>
              <w:rPr>
                <w:rFonts w:eastAsia="Arial" w:cs="Arial"/>
                <w:szCs w:val="24"/>
              </w:rPr>
            </w:pPr>
            <w:r>
              <w:rPr>
                <w:rFonts w:eastAsia="Arial" w:cs="Arial"/>
                <w:szCs w:val="24"/>
              </w:rPr>
              <w:t>9.27</w:t>
            </w:r>
          </w:p>
        </w:tc>
      </w:tr>
      <w:tr w:rsidR="007C6854" w14:paraId="7FB4AEEB" w14:textId="77777777" w:rsidTr="00C00846">
        <w:tc>
          <w:tcPr>
            <w:tcW w:w="4605" w:type="dxa"/>
            <w:tcBorders>
              <w:top w:val="nil"/>
              <w:left w:val="nil"/>
              <w:bottom w:val="nil"/>
              <w:right w:val="nil"/>
            </w:tcBorders>
          </w:tcPr>
          <w:p w14:paraId="5917FACC" w14:textId="77777777" w:rsidR="007C6854" w:rsidRDefault="00E0219E">
            <w:pPr>
              <w:spacing w:line="259" w:lineRule="auto"/>
              <w:ind w:left="720"/>
              <w:rPr>
                <w:rFonts w:eastAsia="Arial" w:cs="Arial"/>
                <w:szCs w:val="24"/>
              </w:rPr>
            </w:pPr>
            <w:r>
              <w:rPr>
                <w:rFonts w:eastAsia="Arial" w:cs="Arial"/>
                <w:szCs w:val="24"/>
              </w:rPr>
              <w:t>Businessman</w:t>
            </w:r>
          </w:p>
        </w:tc>
        <w:tc>
          <w:tcPr>
            <w:tcW w:w="2670" w:type="dxa"/>
            <w:tcBorders>
              <w:top w:val="nil"/>
              <w:left w:val="nil"/>
              <w:bottom w:val="nil"/>
              <w:right w:val="nil"/>
            </w:tcBorders>
          </w:tcPr>
          <w:p w14:paraId="07FD43F2" w14:textId="77777777" w:rsidR="007C6854" w:rsidRDefault="00E0219E">
            <w:pPr>
              <w:spacing w:line="259" w:lineRule="auto"/>
              <w:jc w:val="center"/>
              <w:rPr>
                <w:rFonts w:eastAsia="Arial" w:cs="Arial"/>
                <w:szCs w:val="24"/>
              </w:rPr>
            </w:pPr>
            <w:r>
              <w:rPr>
                <w:rFonts w:eastAsia="Arial" w:cs="Arial"/>
                <w:szCs w:val="24"/>
              </w:rPr>
              <w:t>11</w:t>
            </w:r>
          </w:p>
        </w:tc>
        <w:tc>
          <w:tcPr>
            <w:tcW w:w="2095" w:type="dxa"/>
            <w:tcBorders>
              <w:top w:val="nil"/>
              <w:left w:val="nil"/>
              <w:bottom w:val="nil"/>
              <w:right w:val="nil"/>
            </w:tcBorders>
          </w:tcPr>
          <w:p w14:paraId="1A245A9B" w14:textId="77777777" w:rsidR="007C6854" w:rsidRDefault="00E0219E">
            <w:pPr>
              <w:spacing w:line="259" w:lineRule="auto"/>
              <w:jc w:val="center"/>
              <w:rPr>
                <w:rFonts w:eastAsia="Arial" w:cs="Arial"/>
                <w:szCs w:val="24"/>
              </w:rPr>
            </w:pPr>
            <w:r>
              <w:rPr>
                <w:rFonts w:eastAsia="Arial" w:cs="Arial"/>
                <w:szCs w:val="24"/>
              </w:rPr>
              <w:t>7.28</w:t>
            </w:r>
          </w:p>
        </w:tc>
      </w:tr>
      <w:tr w:rsidR="007C6854" w14:paraId="7F9E9154" w14:textId="77777777" w:rsidTr="00C00846">
        <w:tc>
          <w:tcPr>
            <w:tcW w:w="4605" w:type="dxa"/>
            <w:tcBorders>
              <w:top w:val="nil"/>
              <w:left w:val="nil"/>
              <w:bottom w:val="nil"/>
              <w:right w:val="nil"/>
            </w:tcBorders>
          </w:tcPr>
          <w:p w14:paraId="51A75991" w14:textId="77777777" w:rsidR="007C6854" w:rsidRDefault="00E0219E">
            <w:pPr>
              <w:spacing w:line="259" w:lineRule="auto"/>
              <w:ind w:left="720"/>
              <w:rPr>
                <w:rFonts w:eastAsia="Arial" w:cs="Arial"/>
                <w:szCs w:val="24"/>
              </w:rPr>
            </w:pPr>
            <w:r>
              <w:rPr>
                <w:rFonts w:eastAsia="Arial" w:cs="Arial"/>
                <w:szCs w:val="24"/>
              </w:rPr>
              <w:t>Retired</w:t>
            </w:r>
          </w:p>
        </w:tc>
        <w:tc>
          <w:tcPr>
            <w:tcW w:w="2670" w:type="dxa"/>
            <w:tcBorders>
              <w:top w:val="nil"/>
              <w:left w:val="nil"/>
              <w:bottom w:val="nil"/>
              <w:right w:val="nil"/>
            </w:tcBorders>
          </w:tcPr>
          <w:p w14:paraId="1C23F49B" w14:textId="77777777" w:rsidR="007C6854" w:rsidRDefault="00E0219E">
            <w:pPr>
              <w:spacing w:line="259" w:lineRule="auto"/>
              <w:jc w:val="center"/>
              <w:rPr>
                <w:rFonts w:eastAsia="Arial" w:cs="Arial"/>
                <w:szCs w:val="24"/>
              </w:rPr>
            </w:pPr>
            <w:r>
              <w:rPr>
                <w:rFonts w:eastAsia="Arial" w:cs="Arial"/>
                <w:szCs w:val="24"/>
              </w:rPr>
              <w:t>21</w:t>
            </w:r>
          </w:p>
        </w:tc>
        <w:tc>
          <w:tcPr>
            <w:tcW w:w="2095" w:type="dxa"/>
            <w:tcBorders>
              <w:top w:val="nil"/>
              <w:left w:val="nil"/>
              <w:bottom w:val="nil"/>
              <w:right w:val="nil"/>
            </w:tcBorders>
          </w:tcPr>
          <w:p w14:paraId="2A6BAB7D" w14:textId="77777777" w:rsidR="007C6854" w:rsidRDefault="00E0219E">
            <w:pPr>
              <w:spacing w:line="259" w:lineRule="auto"/>
              <w:jc w:val="center"/>
              <w:rPr>
                <w:rFonts w:eastAsia="Arial" w:cs="Arial"/>
                <w:szCs w:val="24"/>
              </w:rPr>
            </w:pPr>
            <w:r>
              <w:rPr>
                <w:rFonts w:eastAsia="Arial" w:cs="Arial"/>
                <w:szCs w:val="24"/>
              </w:rPr>
              <w:t>13.91</w:t>
            </w:r>
          </w:p>
        </w:tc>
      </w:tr>
      <w:tr w:rsidR="007C6854" w14:paraId="42A3387F" w14:textId="77777777" w:rsidTr="00C00846">
        <w:tc>
          <w:tcPr>
            <w:tcW w:w="4605" w:type="dxa"/>
            <w:tcBorders>
              <w:top w:val="nil"/>
              <w:left w:val="nil"/>
              <w:bottom w:val="nil"/>
              <w:right w:val="nil"/>
            </w:tcBorders>
          </w:tcPr>
          <w:p w14:paraId="013A4931" w14:textId="77777777" w:rsidR="007C6854" w:rsidRDefault="00E0219E">
            <w:pPr>
              <w:spacing w:line="259" w:lineRule="auto"/>
              <w:ind w:left="720"/>
              <w:rPr>
                <w:rFonts w:eastAsia="Arial" w:cs="Arial"/>
                <w:szCs w:val="24"/>
              </w:rPr>
            </w:pPr>
            <w:r>
              <w:rPr>
                <w:rFonts w:eastAsia="Arial" w:cs="Arial"/>
                <w:szCs w:val="24"/>
              </w:rPr>
              <w:t>Unemployed (able to work)</w:t>
            </w:r>
          </w:p>
        </w:tc>
        <w:tc>
          <w:tcPr>
            <w:tcW w:w="2670" w:type="dxa"/>
            <w:tcBorders>
              <w:top w:val="nil"/>
              <w:left w:val="nil"/>
              <w:bottom w:val="nil"/>
              <w:right w:val="nil"/>
            </w:tcBorders>
          </w:tcPr>
          <w:p w14:paraId="34169213" w14:textId="77777777" w:rsidR="007C6854" w:rsidRDefault="00E0219E">
            <w:pPr>
              <w:spacing w:line="259" w:lineRule="auto"/>
              <w:jc w:val="center"/>
              <w:rPr>
                <w:rFonts w:eastAsia="Arial" w:cs="Arial"/>
                <w:szCs w:val="24"/>
              </w:rPr>
            </w:pPr>
            <w:r>
              <w:rPr>
                <w:rFonts w:eastAsia="Arial" w:cs="Arial"/>
                <w:szCs w:val="24"/>
              </w:rPr>
              <w:t>12</w:t>
            </w:r>
          </w:p>
        </w:tc>
        <w:tc>
          <w:tcPr>
            <w:tcW w:w="2095" w:type="dxa"/>
            <w:tcBorders>
              <w:top w:val="nil"/>
              <w:left w:val="nil"/>
              <w:bottom w:val="nil"/>
              <w:right w:val="nil"/>
            </w:tcBorders>
          </w:tcPr>
          <w:p w14:paraId="60EEC25C" w14:textId="77777777" w:rsidR="007C6854" w:rsidRDefault="00E0219E">
            <w:pPr>
              <w:spacing w:line="259" w:lineRule="auto"/>
              <w:jc w:val="center"/>
              <w:rPr>
                <w:rFonts w:eastAsia="Arial" w:cs="Arial"/>
                <w:szCs w:val="24"/>
              </w:rPr>
            </w:pPr>
            <w:r>
              <w:rPr>
                <w:rFonts w:eastAsia="Arial" w:cs="Arial"/>
                <w:szCs w:val="24"/>
              </w:rPr>
              <w:t>7.95</w:t>
            </w:r>
          </w:p>
        </w:tc>
      </w:tr>
      <w:tr w:rsidR="007C6854" w14:paraId="652D1E20" w14:textId="77777777" w:rsidTr="00C00846">
        <w:tc>
          <w:tcPr>
            <w:tcW w:w="4605" w:type="dxa"/>
            <w:tcBorders>
              <w:top w:val="nil"/>
              <w:left w:val="nil"/>
              <w:bottom w:val="nil"/>
              <w:right w:val="nil"/>
            </w:tcBorders>
          </w:tcPr>
          <w:p w14:paraId="0ABB460B" w14:textId="77777777" w:rsidR="007C6854" w:rsidRDefault="00E0219E">
            <w:pPr>
              <w:spacing w:line="259" w:lineRule="auto"/>
              <w:ind w:left="720"/>
              <w:rPr>
                <w:rFonts w:eastAsia="Arial" w:cs="Arial"/>
                <w:szCs w:val="24"/>
              </w:rPr>
            </w:pPr>
            <w:r>
              <w:rPr>
                <w:rFonts w:eastAsia="Arial" w:cs="Arial"/>
                <w:szCs w:val="24"/>
              </w:rPr>
              <w:t>Unemployed (unable to work)</w:t>
            </w:r>
          </w:p>
        </w:tc>
        <w:tc>
          <w:tcPr>
            <w:tcW w:w="2670" w:type="dxa"/>
            <w:tcBorders>
              <w:top w:val="nil"/>
              <w:left w:val="nil"/>
              <w:bottom w:val="nil"/>
              <w:right w:val="nil"/>
            </w:tcBorders>
          </w:tcPr>
          <w:p w14:paraId="4D7AC8AC" w14:textId="77777777" w:rsidR="007C6854" w:rsidRDefault="00E0219E">
            <w:pPr>
              <w:spacing w:line="259" w:lineRule="auto"/>
              <w:jc w:val="center"/>
              <w:rPr>
                <w:rFonts w:eastAsia="Arial" w:cs="Arial"/>
                <w:szCs w:val="24"/>
              </w:rPr>
            </w:pPr>
            <w:r>
              <w:rPr>
                <w:rFonts w:eastAsia="Arial" w:cs="Arial"/>
                <w:szCs w:val="24"/>
              </w:rPr>
              <w:t>6</w:t>
            </w:r>
          </w:p>
        </w:tc>
        <w:tc>
          <w:tcPr>
            <w:tcW w:w="2095" w:type="dxa"/>
            <w:tcBorders>
              <w:top w:val="nil"/>
              <w:left w:val="nil"/>
              <w:bottom w:val="nil"/>
              <w:right w:val="nil"/>
            </w:tcBorders>
          </w:tcPr>
          <w:p w14:paraId="7A713C8E" w14:textId="77777777" w:rsidR="007C6854" w:rsidRDefault="00E0219E">
            <w:pPr>
              <w:spacing w:line="259" w:lineRule="auto"/>
              <w:jc w:val="center"/>
              <w:rPr>
                <w:rFonts w:eastAsia="Arial" w:cs="Arial"/>
                <w:szCs w:val="24"/>
              </w:rPr>
            </w:pPr>
            <w:r>
              <w:rPr>
                <w:rFonts w:eastAsia="Arial" w:cs="Arial"/>
                <w:szCs w:val="24"/>
              </w:rPr>
              <w:t>3.97</w:t>
            </w:r>
          </w:p>
        </w:tc>
      </w:tr>
      <w:tr w:rsidR="007C6854" w14:paraId="415825BC" w14:textId="77777777" w:rsidTr="00C00846">
        <w:tc>
          <w:tcPr>
            <w:tcW w:w="4605" w:type="dxa"/>
            <w:tcBorders>
              <w:top w:val="nil"/>
              <w:left w:val="nil"/>
              <w:bottom w:val="nil"/>
              <w:right w:val="nil"/>
            </w:tcBorders>
          </w:tcPr>
          <w:p w14:paraId="0EE9AC49" w14:textId="77777777" w:rsidR="007C6854" w:rsidRDefault="00E0219E">
            <w:pPr>
              <w:spacing w:line="259" w:lineRule="auto"/>
              <w:ind w:left="720"/>
              <w:rPr>
                <w:rFonts w:eastAsia="Arial" w:cs="Arial"/>
                <w:szCs w:val="24"/>
              </w:rPr>
            </w:pPr>
            <w:r>
              <w:rPr>
                <w:rFonts w:eastAsia="Arial" w:cs="Arial"/>
                <w:szCs w:val="24"/>
              </w:rPr>
              <w:t>Refused to answer</w:t>
            </w:r>
          </w:p>
        </w:tc>
        <w:tc>
          <w:tcPr>
            <w:tcW w:w="2670" w:type="dxa"/>
            <w:tcBorders>
              <w:top w:val="nil"/>
              <w:left w:val="nil"/>
              <w:bottom w:val="nil"/>
              <w:right w:val="nil"/>
            </w:tcBorders>
          </w:tcPr>
          <w:p w14:paraId="35832D42" w14:textId="77777777" w:rsidR="007C6854" w:rsidRDefault="00E0219E">
            <w:pPr>
              <w:spacing w:line="259" w:lineRule="auto"/>
              <w:jc w:val="center"/>
              <w:rPr>
                <w:rFonts w:eastAsia="Arial" w:cs="Arial"/>
                <w:szCs w:val="24"/>
              </w:rPr>
            </w:pPr>
            <w:r>
              <w:rPr>
                <w:rFonts w:eastAsia="Arial" w:cs="Arial"/>
                <w:szCs w:val="24"/>
              </w:rPr>
              <w:t>2</w:t>
            </w:r>
          </w:p>
        </w:tc>
        <w:tc>
          <w:tcPr>
            <w:tcW w:w="2095" w:type="dxa"/>
            <w:tcBorders>
              <w:top w:val="nil"/>
              <w:left w:val="nil"/>
              <w:bottom w:val="nil"/>
              <w:right w:val="nil"/>
            </w:tcBorders>
          </w:tcPr>
          <w:p w14:paraId="046C146C" w14:textId="77777777" w:rsidR="007C6854" w:rsidRDefault="00E0219E">
            <w:pPr>
              <w:spacing w:line="259" w:lineRule="auto"/>
              <w:jc w:val="center"/>
              <w:rPr>
                <w:rFonts w:eastAsia="Arial" w:cs="Arial"/>
                <w:szCs w:val="24"/>
              </w:rPr>
            </w:pPr>
            <w:r>
              <w:rPr>
                <w:rFonts w:eastAsia="Arial" w:cs="Arial"/>
                <w:szCs w:val="24"/>
              </w:rPr>
              <w:t>1.32</w:t>
            </w:r>
          </w:p>
        </w:tc>
      </w:tr>
      <w:tr w:rsidR="007C6854" w14:paraId="5C74337C" w14:textId="77777777" w:rsidTr="00C00846">
        <w:tc>
          <w:tcPr>
            <w:tcW w:w="4605" w:type="dxa"/>
            <w:tcBorders>
              <w:top w:val="nil"/>
              <w:left w:val="nil"/>
              <w:bottom w:val="nil"/>
              <w:right w:val="nil"/>
            </w:tcBorders>
          </w:tcPr>
          <w:p w14:paraId="6DAC8778" w14:textId="77777777" w:rsidR="007C6854" w:rsidRDefault="00E0219E">
            <w:pPr>
              <w:spacing w:line="259" w:lineRule="auto"/>
              <w:rPr>
                <w:rFonts w:eastAsia="Arial" w:cs="Arial"/>
                <w:szCs w:val="24"/>
              </w:rPr>
            </w:pPr>
            <w:r>
              <w:rPr>
                <w:rFonts w:eastAsia="Arial" w:cs="Arial"/>
                <w:szCs w:val="24"/>
              </w:rPr>
              <w:t>Religious Affiliation</w:t>
            </w:r>
          </w:p>
        </w:tc>
        <w:tc>
          <w:tcPr>
            <w:tcW w:w="2670" w:type="dxa"/>
            <w:tcBorders>
              <w:top w:val="nil"/>
              <w:left w:val="nil"/>
              <w:bottom w:val="nil"/>
              <w:right w:val="nil"/>
            </w:tcBorders>
          </w:tcPr>
          <w:p w14:paraId="0ED5EF32" w14:textId="77777777" w:rsidR="007C6854" w:rsidRDefault="007C6854">
            <w:pPr>
              <w:spacing w:line="259" w:lineRule="auto"/>
              <w:jc w:val="center"/>
              <w:rPr>
                <w:rFonts w:eastAsia="Arial" w:cs="Arial"/>
                <w:szCs w:val="24"/>
              </w:rPr>
            </w:pPr>
          </w:p>
        </w:tc>
        <w:tc>
          <w:tcPr>
            <w:tcW w:w="2095" w:type="dxa"/>
            <w:tcBorders>
              <w:top w:val="nil"/>
              <w:left w:val="nil"/>
              <w:bottom w:val="nil"/>
              <w:right w:val="nil"/>
            </w:tcBorders>
          </w:tcPr>
          <w:p w14:paraId="40461A85" w14:textId="77777777" w:rsidR="007C6854" w:rsidRDefault="007C6854">
            <w:pPr>
              <w:spacing w:line="259" w:lineRule="auto"/>
              <w:jc w:val="center"/>
              <w:rPr>
                <w:rFonts w:eastAsia="Arial" w:cs="Arial"/>
                <w:szCs w:val="24"/>
              </w:rPr>
            </w:pPr>
          </w:p>
        </w:tc>
      </w:tr>
      <w:tr w:rsidR="007C6854" w14:paraId="29B30184" w14:textId="77777777" w:rsidTr="00C00846">
        <w:tc>
          <w:tcPr>
            <w:tcW w:w="4605" w:type="dxa"/>
            <w:tcBorders>
              <w:top w:val="nil"/>
              <w:left w:val="nil"/>
              <w:bottom w:val="nil"/>
              <w:right w:val="nil"/>
            </w:tcBorders>
          </w:tcPr>
          <w:p w14:paraId="70E80DB6" w14:textId="77777777" w:rsidR="007C6854" w:rsidRDefault="00E0219E">
            <w:pPr>
              <w:spacing w:line="259" w:lineRule="auto"/>
              <w:ind w:left="720"/>
              <w:rPr>
                <w:rFonts w:eastAsia="Arial" w:cs="Arial"/>
                <w:szCs w:val="24"/>
              </w:rPr>
            </w:pPr>
            <w:r>
              <w:rPr>
                <w:rFonts w:eastAsia="Arial" w:cs="Arial"/>
                <w:szCs w:val="24"/>
              </w:rPr>
              <w:t>Catholic</w:t>
            </w:r>
          </w:p>
        </w:tc>
        <w:tc>
          <w:tcPr>
            <w:tcW w:w="2670" w:type="dxa"/>
            <w:tcBorders>
              <w:top w:val="nil"/>
              <w:left w:val="nil"/>
              <w:bottom w:val="nil"/>
              <w:right w:val="nil"/>
            </w:tcBorders>
          </w:tcPr>
          <w:p w14:paraId="1162EE04" w14:textId="77777777" w:rsidR="007C6854" w:rsidRDefault="00E0219E">
            <w:pPr>
              <w:spacing w:line="259" w:lineRule="auto"/>
              <w:jc w:val="center"/>
              <w:rPr>
                <w:rFonts w:eastAsia="Arial" w:cs="Arial"/>
                <w:szCs w:val="24"/>
              </w:rPr>
            </w:pPr>
            <w:r>
              <w:rPr>
                <w:rFonts w:eastAsia="Arial" w:cs="Arial"/>
                <w:szCs w:val="24"/>
              </w:rPr>
              <w:t>144</w:t>
            </w:r>
          </w:p>
        </w:tc>
        <w:tc>
          <w:tcPr>
            <w:tcW w:w="2095" w:type="dxa"/>
            <w:tcBorders>
              <w:top w:val="nil"/>
              <w:left w:val="nil"/>
              <w:bottom w:val="nil"/>
              <w:right w:val="nil"/>
            </w:tcBorders>
          </w:tcPr>
          <w:p w14:paraId="1B51BC56" w14:textId="77777777" w:rsidR="007C6854" w:rsidRDefault="00E0219E">
            <w:pPr>
              <w:spacing w:line="259" w:lineRule="auto"/>
              <w:jc w:val="center"/>
              <w:rPr>
                <w:rFonts w:eastAsia="Arial" w:cs="Arial"/>
                <w:szCs w:val="24"/>
              </w:rPr>
            </w:pPr>
            <w:r>
              <w:rPr>
                <w:rFonts w:eastAsia="Arial" w:cs="Arial"/>
                <w:szCs w:val="24"/>
              </w:rPr>
              <w:t>95.36</w:t>
            </w:r>
          </w:p>
        </w:tc>
      </w:tr>
      <w:tr w:rsidR="007C6854" w14:paraId="3BD133A6" w14:textId="77777777" w:rsidTr="00C00846">
        <w:tc>
          <w:tcPr>
            <w:tcW w:w="4605" w:type="dxa"/>
            <w:tcBorders>
              <w:top w:val="nil"/>
              <w:left w:val="nil"/>
              <w:bottom w:val="nil"/>
              <w:right w:val="nil"/>
            </w:tcBorders>
          </w:tcPr>
          <w:p w14:paraId="534DE95D" w14:textId="77777777" w:rsidR="007C6854" w:rsidRDefault="00E0219E">
            <w:pPr>
              <w:spacing w:line="259" w:lineRule="auto"/>
              <w:ind w:left="720"/>
              <w:rPr>
                <w:rFonts w:eastAsia="Arial" w:cs="Arial"/>
                <w:szCs w:val="24"/>
              </w:rPr>
            </w:pPr>
            <w:r>
              <w:rPr>
                <w:rFonts w:eastAsia="Arial" w:cs="Arial"/>
                <w:szCs w:val="24"/>
              </w:rPr>
              <w:t>Born Again Christian</w:t>
            </w:r>
          </w:p>
        </w:tc>
        <w:tc>
          <w:tcPr>
            <w:tcW w:w="2670" w:type="dxa"/>
            <w:tcBorders>
              <w:top w:val="nil"/>
              <w:left w:val="nil"/>
              <w:bottom w:val="nil"/>
              <w:right w:val="nil"/>
            </w:tcBorders>
          </w:tcPr>
          <w:p w14:paraId="6EFE6867" w14:textId="77777777" w:rsidR="007C6854" w:rsidRDefault="00E0219E">
            <w:pPr>
              <w:spacing w:line="259" w:lineRule="auto"/>
              <w:jc w:val="center"/>
              <w:rPr>
                <w:rFonts w:eastAsia="Arial" w:cs="Arial"/>
                <w:szCs w:val="24"/>
              </w:rPr>
            </w:pPr>
            <w:r>
              <w:rPr>
                <w:rFonts w:eastAsia="Arial" w:cs="Arial"/>
                <w:szCs w:val="24"/>
              </w:rPr>
              <w:t>3</w:t>
            </w:r>
          </w:p>
        </w:tc>
        <w:tc>
          <w:tcPr>
            <w:tcW w:w="2095" w:type="dxa"/>
            <w:tcBorders>
              <w:top w:val="nil"/>
              <w:left w:val="nil"/>
              <w:bottom w:val="nil"/>
              <w:right w:val="nil"/>
            </w:tcBorders>
          </w:tcPr>
          <w:p w14:paraId="30F82C88" w14:textId="77777777" w:rsidR="007C6854" w:rsidRDefault="00E0219E">
            <w:pPr>
              <w:spacing w:line="259" w:lineRule="auto"/>
              <w:jc w:val="center"/>
              <w:rPr>
                <w:rFonts w:eastAsia="Arial" w:cs="Arial"/>
                <w:szCs w:val="24"/>
              </w:rPr>
            </w:pPr>
            <w:r>
              <w:rPr>
                <w:rFonts w:eastAsia="Arial" w:cs="Arial"/>
                <w:szCs w:val="24"/>
              </w:rPr>
              <w:t>1.99</w:t>
            </w:r>
          </w:p>
        </w:tc>
      </w:tr>
      <w:tr w:rsidR="007C6854" w14:paraId="5494606B" w14:textId="77777777" w:rsidTr="00C00846">
        <w:tc>
          <w:tcPr>
            <w:tcW w:w="4605" w:type="dxa"/>
            <w:tcBorders>
              <w:top w:val="nil"/>
              <w:left w:val="nil"/>
              <w:bottom w:val="nil"/>
              <w:right w:val="nil"/>
            </w:tcBorders>
          </w:tcPr>
          <w:p w14:paraId="63B743C4" w14:textId="77777777" w:rsidR="007C6854" w:rsidRDefault="00E0219E">
            <w:pPr>
              <w:spacing w:line="259" w:lineRule="auto"/>
              <w:ind w:left="720"/>
              <w:rPr>
                <w:rFonts w:eastAsia="Arial" w:cs="Arial"/>
                <w:szCs w:val="24"/>
              </w:rPr>
            </w:pPr>
            <w:r>
              <w:rPr>
                <w:rFonts w:eastAsia="Arial" w:cs="Arial"/>
                <w:szCs w:val="24"/>
              </w:rPr>
              <w:t>Baptist</w:t>
            </w:r>
          </w:p>
        </w:tc>
        <w:tc>
          <w:tcPr>
            <w:tcW w:w="2670" w:type="dxa"/>
            <w:tcBorders>
              <w:top w:val="nil"/>
              <w:left w:val="nil"/>
              <w:bottom w:val="nil"/>
              <w:right w:val="nil"/>
            </w:tcBorders>
          </w:tcPr>
          <w:p w14:paraId="08AF9597" w14:textId="77777777" w:rsidR="007C6854" w:rsidRDefault="00E0219E">
            <w:pPr>
              <w:spacing w:line="259" w:lineRule="auto"/>
              <w:jc w:val="center"/>
              <w:rPr>
                <w:rFonts w:eastAsia="Arial" w:cs="Arial"/>
                <w:szCs w:val="24"/>
              </w:rPr>
            </w:pPr>
            <w:r>
              <w:rPr>
                <w:rFonts w:eastAsia="Arial" w:cs="Arial"/>
                <w:szCs w:val="24"/>
              </w:rPr>
              <w:t>1</w:t>
            </w:r>
          </w:p>
        </w:tc>
        <w:tc>
          <w:tcPr>
            <w:tcW w:w="2095" w:type="dxa"/>
            <w:tcBorders>
              <w:top w:val="nil"/>
              <w:left w:val="nil"/>
              <w:bottom w:val="nil"/>
              <w:right w:val="nil"/>
            </w:tcBorders>
          </w:tcPr>
          <w:p w14:paraId="530A7E19" w14:textId="77777777" w:rsidR="007C6854" w:rsidRDefault="00E0219E">
            <w:pPr>
              <w:spacing w:line="259" w:lineRule="auto"/>
              <w:jc w:val="center"/>
              <w:rPr>
                <w:rFonts w:eastAsia="Arial" w:cs="Arial"/>
                <w:szCs w:val="24"/>
              </w:rPr>
            </w:pPr>
            <w:r>
              <w:rPr>
                <w:rFonts w:eastAsia="Arial" w:cs="Arial"/>
                <w:szCs w:val="24"/>
              </w:rPr>
              <w:t>0.66</w:t>
            </w:r>
          </w:p>
        </w:tc>
      </w:tr>
      <w:tr w:rsidR="007C6854" w14:paraId="57B794C0" w14:textId="77777777" w:rsidTr="00C00846">
        <w:tc>
          <w:tcPr>
            <w:tcW w:w="4605" w:type="dxa"/>
            <w:tcBorders>
              <w:top w:val="nil"/>
              <w:left w:val="nil"/>
              <w:bottom w:val="nil"/>
              <w:right w:val="nil"/>
            </w:tcBorders>
          </w:tcPr>
          <w:p w14:paraId="5B43D2D1" w14:textId="77777777" w:rsidR="007C6854" w:rsidRDefault="00E0219E">
            <w:pPr>
              <w:spacing w:line="259" w:lineRule="auto"/>
              <w:ind w:left="720"/>
              <w:rPr>
                <w:rFonts w:eastAsia="Arial" w:cs="Arial"/>
                <w:szCs w:val="24"/>
              </w:rPr>
            </w:pPr>
            <w:r>
              <w:rPr>
                <w:rFonts w:eastAsia="Arial" w:cs="Arial"/>
                <w:szCs w:val="24"/>
              </w:rPr>
              <w:t>Jehovah’s Witness</w:t>
            </w:r>
          </w:p>
        </w:tc>
        <w:tc>
          <w:tcPr>
            <w:tcW w:w="2670" w:type="dxa"/>
            <w:tcBorders>
              <w:top w:val="nil"/>
              <w:left w:val="nil"/>
              <w:bottom w:val="nil"/>
              <w:right w:val="nil"/>
            </w:tcBorders>
          </w:tcPr>
          <w:p w14:paraId="53FB95FC" w14:textId="77777777" w:rsidR="007C6854" w:rsidRDefault="00E0219E">
            <w:pPr>
              <w:spacing w:line="259" w:lineRule="auto"/>
              <w:jc w:val="center"/>
              <w:rPr>
                <w:rFonts w:eastAsia="Arial" w:cs="Arial"/>
                <w:szCs w:val="24"/>
              </w:rPr>
            </w:pPr>
            <w:r>
              <w:rPr>
                <w:rFonts w:eastAsia="Arial" w:cs="Arial"/>
                <w:szCs w:val="24"/>
              </w:rPr>
              <w:t>3</w:t>
            </w:r>
          </w:p>
        </w:tc>
        <w:tc>
          <w:tcPr>
            <w:tcW w:w="2095" w:type="dxa"/>
            <w:tcBorders>
              <w:top w:val="nil"/>
              <w:left w:val="nil"/>
              <w:bottom w:val="nil"/>
              <w:right w:val="nil"/>
            </w:tcBorders>
          </w:tcPr>
          <w:p w14:paraId="75B5BA43" w14:textId="77777777" w:rsidR="007C6854" w:rsidRDefault="00E0219E">
            <w:pPr>
              <w:spacing w:line="259" w:lineRule="auto"/>
              <w:jc w:val="center"/>
              <w:rPr>
                <w:rFonts w:eastAsia="Arial" w:cs="Arial"/>
                <w:szCs w:val="24"/>
              </w:rPr>
            </w:pPr>
            <w:r>
              <w:rPr>
                <w:rFonts w:eastAsia="Arial" w:cs="Arial"/>
                <w:szCs w:val="24"/>
              </w:rPr>
              <w:t>1.99</w:t>
            </w:r>
          </w:p>
        </w:tc>
      </w:tr>
      <w:tr w:rsidR="007C6854" w14:paraId="4E0BDB14" w14:textId="77777777" w:rsidTr="00C00846">
        <w:tc>
          <w:tcPr>
            <w:tcW w:w="4605" w:type="dxa"/>
            <w:tcBorders>
              <w:top w:val="nil"/>
              <w:left w:val="nil"/>
              <w:bottom w:val="nil"/>
              <w:right w:val="nil"/>
            </w:tcBorders>
          </w:tcPr>
          <w:p w14:paraId="38D25FB2" w14:textId="77777777" w:rsidR="007C6854" w:rsidRDefault="00E0219E">
            <w:pPr>
              <w:spacing w:line="259" w:lineRule="auto"/>
              <w:rPr>
                <w:rFonts w:eastAsia="Arial" w:cs="Arial"/>
                <w:szCs w:val="24"/>
              </w:rPr>
            </w:pPr>
            <w:r>
              <w:rPr>
                <w:rFonts w:eastAsia="Arial" w:cs="Arial"/>
                <w:szCs w:val="24"/>
              </w:rPr>
              <w:t>Educational Level</w:t>
            </w:r>
          </w:p>
        </w:tc>
        <w:tc>
          <w:tcPr>
            <w:tcW w:w="2670" w:type="dxa"/>
            <w:tcBorders>
              <w:top w:val="nil"/>
              <w:left w:val="nil"/>
              <w:bottom w:val="nil"/>
              <w:right w:val="nil"/>
            </w:tcBorders>
          </w:tcPr>
          <w:p w14:paraId="79ADF040" w14:textId="77777777" w:rsidR="007C6854" w:rsidRDefault="007C6854">
            <w:pPr>
              <w:spacing w:line="259" w:lineRule="auto"/>
              <w:jc w:val="center"/>
              <w:rPr>
                <w:rFonts w:eastAsia="Arial" w:cs="Arial"/>
                <w:szCs w:val="24"/>
              </w:rPr>
            </w:pPr>
          </w:p>
        </w:tc>
        <w:tc>
          <w:tcPr>
            <w:tcW w:w="2095" w:type="dxa"/>
            <w:tcBorders>
              <w:top w:val="nil"/>
              <w:left w:val="nil"/>
              <w:bottom w:val="nil"/>
              <w:right w:val="nil"/>
            </w:tcBorders>
          </w:tcPr>
          <w:p w14:paraId="20E6B71F" w14:textId="77777777" w:rsidR="007C6854" w:rsidRDefault="007C6854">
            <w:pPr>
              <w:spacing w:line="259" w:lineRule="auto"/>
              <w:jc w:val="center"/>
              <w:rPr>
                <w:rFonts w:eastAsia="Arial" w:cs="Arial"/>
                <w:szCs w:val="24"/>
              </w:rPr>
            </w:pPr>
          </w:p>
        </w:tc>
      </w:tr>
      <w:tr w:rsidR="007C6854" w14:paraId="31DFA929" w14:textId="77777777" w:rsidTr="00C00846">
        <w:tc>
          <w:tcPr>
            <w:tcW w:w="4605" w:type="dxa"/>
            <w:tcBorders>
              <w:top w:val="nil"/>
              <w:left w:val="nil"/>
              <w:bottom w:val="nil"/>
              <w:right w:val="nil"/>
            </w:tcBorders>
          </w:tcPr>
          <w:p w14:paraId="37E07EA9" w14:textId="77777777" w:rsidR="007C6854" w:rsidRDefault="00E0219E">
            <w:pPr>
              <w:spacing w:line="259" w:lineRule="auto"/>
              <w:ind w:left="720"/>
              <w:rPr>
                <w:rFonts w:eastAsia="Arial" w:cs="Arial"/>
                <w:szCs w:val="24"/>
              </w:rPr>
            </w:pPr>
            <w:r>
              <w:rPr>
                <w:rFonts w:eastAsia="Arial" w:cs="Arial"/>
                <w:color w:val="323232"/>
                <w:szCs w:val="24"/>
              </w:rPr>
              <w:t>No formal schooling</w:t>
            </w:r>
          </w:p>
        </w:tc>
        <w:tc>
          <w:tcPr>
            <w:tcW w:w="2670" w:type="dxa"/>
            <w:tcBorders>
              <w:top w:val="nil"/>
              <w:left w:val="nil"/>
              <w:bottom w:val="nil"/>
              <w:right w:val="nil"/>
            </w:tcBorders>
          </w:tcPr>
          <w:p w14:paraId="3A67DE8E" w14:textId="77777777" w:rsidR="007C6854" w:rsidRDefault="00E0219E">
            <w:pPr>
              <w:spacing w:line="259" w:lineRule="auto"/>
              <w:jc w:val="center"/>
              <w:rPr>
                <w:rFonts w:eastAsia="Arial" w:cs="Arial"/>
                <w:szCs w:val="24"/>
              </w:rPr>
            </w:pPr>
            <w:r>
              <w:rPr>
                <w:rFonts w:eastAsia="Arial" w:cs="Arial"/>
                <w:szCs w:val="24"/>
              </w:rPr>
              <w:t>2</w:t>
            </w:r>
          </w:p>
        </w:tc>
        <w:tc>
          <w:tcPr>
            <w:tcW w:w="2095" w:type="dxa"/>
            <w:tcBorders>
              <w:top w:val="nil"/>
              <w:left w:val="nil"/>
              <w:bottom w:val="nil"/>
              <w:right w:val="nil"/>
            </w:tcBorders>
          </w:tcPr>
          <w:p w14:paraId="3DD1BA2A" w14:textId="77777777" w:rsidR="007C6854" w:rsidRDefault="00E0219E">
            <w:pPr>
              <w:spacing w:line="259" w:lineRule="auto"/>
              <w:jc w:val="center"/>
              <w:rPr>
                <w:rFonts w:eastAsia="Arial" w:cs="Arial"/>
                <w:szCs w:val="24"/>
              </w:rPr>
            </w:pPr>
            <w:r>
              <w:rPr>
                <w:rFonts w:eastAsia="Arial" w:cs="Arial"/>
                <w:szCs w:val="24"/>
              </w:rPr>
              <w:t>1.32</w:t>
            </w:r>
          </w:p>
        </w:tc>
      </w:tr>
      <w:tr w:rsidR="007C6854" w14:paraId="516A3E58" w14:textId="77777777" w:rsidTr="00C00846">
        <w:tc>
          <w:tcPr>
            <w:tcW w:w="4605" w:type="dxa"/>
            <w:tcBorders>
              <w:top w:val="nil"/>
              <w:left w:val="nil"/>
              <w:bottom w:val="nil"/>
              <w:right w:val="nil"/>
            </w:tcBorders>
          </w:tcPr>
          <w:p w14:paraId="6C6963CE" w14:textId="77777777" w:rsidR="007C6854" w:rsidRDefault="00E0219E">
            <w:pPr>
              <w:spacing w:line="259" w:lineRule="auto"/>
              <w:ind w:left="720"/>
              <w:rPr>
                <w:rFonts w:eastAsia="Arial" w:cs="Arial"/>
                <w:szCs w:val="24"/>
              </w:rPr>
            </w:pPr>
            <w:r>
              <w:rPr>
                <w:rFonts w:eastAsia="Arial" w:cs="Arial"/>
                <w:szCs w:val="24"/>
              </w:rPr>
              <w:t>Primary School Level</w:t>
            </w:r>
          </w:p>
        </w:tc>
        <w:tc>
          <w:tcPr>
            <w:tcW w:w="2670" w:type="dxa"/>
            <w:tcBorders>
              <w:top w:val="nil"/>
              <w:left w:val="nil"/>
              <w:bottom w:val="nil"/>
              <w:right w:val="nil"/>
            </w:tcBorders>
          </w:tcPr>
          <w:p w14:paraId="2226D4D7" w14:textId="77777777" w:rsidR="007C6854" w:rsidRDefault="00E0219E">
            <w:pPr>
              <w:spacing w:line="259" w:lineRule="auto"/>
              <w:jc w:val="center"/>
              <w:rPr>
                <w:rFonts w:eastAsia="Arial" w:cs="Arial"/>
                <w:szCs w:val="24"/>
              </w:rPr>
            </w:pPr>
            <w:r>
              <w:rPr>
                <w:rFonts w:eastAsia="Arial" w:cs="Arial"/>
                <w:szCs w:val="24"/>
              </w:rPr>
              <w:t xml:space="preserve">  33</w:t>
            </w:r>
          </w:p>
        </w:tc>
        <w:tc>
          <w:tcPr>
            <w:tcW w:w="2095" w:type="dxa"/>
            <w:tcBorders>
              <w:top w:val="nil"/>
              <w:left w:val="nil"/>
              <w:bottom w:val="nil"/>
              <w:right w:val="nil"/>
            </w:tcBorders>
          </w:tcPr>
          <w:p w14:paraId="46C01173" w14:textId="77777777" w:rsidR="007C6854" w:rsidRDefault="00E0219E">
            <w:pPr>
              <w:spacing w:line="259" w:lineRule="auto"/>
              <w:jc w:val="center"/>
              <w:rPr>
                <w:rFonts w:eastAsia="Arial" w:cs="Arial"/>
                <w:szCs w:val="24"/>
              </w:rPr>
            </w:pPr>
            <w:r>
              <w:rPr>
                <w:rFonts w:eastAsia="Arial" w:cs="Arial"/>
                <w:szCs w:val="24"/>
              </w:rPr>
              <w:t>21.85</w:t>
            </w:r>
          </w:p>
        </w:tc>
      </w:tr>
      <w:tr w:rsidR="007C6854" w14:paraId="51D24FBB" w14:textId="77777777" w:rsidTr="00C00846">
        <w:tc>
          <w:tcPr>
            <w:tcW w:w="4605" w:type="dxa"/>
            <w:tcBorders>
              <w:top w:val="nil"/>
              <w:left w:val="nil"/>
              <w:bottom w:val="nil"/>
              <w:right w:val="nil"/>
            </w:tcBorders>
          </w:tcPr>
          <w:p w14:paraId="73E6A070" w14:textId="77777777" w:rsidR="007C6854" w:rsidRDefault="00E0219E">
            <w:pPr>
              <w:spacing w:line="259" w:lineRule="auto"/>
              <w:ind w:left="720"/>
              <w:rPr>
                <w:rFonts w:eastAsia="Arial" w:cs="Arial"/>
                <w:szCs w:val="24"/>
              </w:rPr>
            </w:pPr>
            <w:r>
              <w:rPr>
                <w:rFonts w:eastAsia="Arial" w:cs="Arial"/>
                <w:szCs w:val="24"/>
              </w:rPr>
              <w:t>Primary School Completed</w:t>
            </w:r>
          </w:p>
        </w:tc>
        <w:tc>
          <w:tcPr>
            <w:tcW w:w="2670" w:type="dxa"/>
            <w:tcBorders>
              <w:top w:val="nil"/>
              <w:left w:val="nil"/>
              <w:bottom w:val="nil"/>
              <w:right w:val="nil"/>
            </w:tcBorders>
          </w:tcPr>
          <w:p w14:paraId="71A5ED28" w14:textId="77777777" w:rsidR="007C6854" w:rsidRDefault="00E0219E">
            <w:pPr>
              <w:spacing w:line="259" w:lineRule="auto"/>
              <w:jc w:val="center"/>
              <w:rPr>
                <w:rFonts w:eastAsia="Arial" w:cs="Arial"/>
                <w:szCs w:val="24"/>
              </w:rPr>
            </w:pPr>
            <w:r>
              <w:rPr>
                <w:rFonts w:eastAsia="Arial" w:cs="Arial"/>
                <w:szCs w:val="24"/>
              </w:rPr>
              <w:t>46</w:t>
            </w:r>
          </w:p>
        </w:tc>
        <w:tc>
          <w:tcPr>
            <w:tcW w:w="2095" w:type="dxa"/>
            <w:tcBorders>
              <w:top w:val="nil"/>
              <w:left w:val="nil"/>
              <w:bottom w:val="nil"/>
              <w:right w:val="nil"/>
            </w:tcBorders>
          </w:tcPr>
          <w:p w14:paraId="05881D22" w14:textId="77777777" w:rsidR="007C6854" w:rsidRDefault="00E0219E">
            <w:pPr>
              <w:spacing w:line="259" w:lineRule="auto"/>
              <w:jc w:val="center"/>
              <w:rPr>
                <w:rFonts w:eastAsia="Arial" w:cs="Arial"/>
                <w:szCs w:val="24"/>
              </w:rPr>
            </w:pPr>
            <w:r>
              <w:rPr>
                <w:rFonts w:eastAsia="Arial" w:cs="Arial"/>
                <w:szCs w:val="24"/>
              </w:rPr>
              <w:t>30.46</w:t>
            </w:r>
          </w:p>
        </w:tc>
      </w:tr>
      <w:tr w:rsidR="007C6854" w14:paraId="2EF3A6B0" w14:textId="77777777" w:rsidTr="00C00846">
        <w:tc>
          <w:tcPr>
            <w:tcW w:w="4605" w:type="dxa"/>
            <w:tcBorders>
              <w:top w:val="nil"/>
              <w:left w:val="nil"/>
              <w:bottom w:val="nil"/>
              <w:right w:val="nil"/>
            </w:tcBorders>
          </w:tcPr>
          <w:p w14:paraId="0C49A37C" w14:textId="77777777" w:rsidR="007C6854" w:rsidRDefault="00E0219E">
            <w:pPr>
              <w:spacing w:line="259" w:lineRule="auto"/>
              <w:ind w:left="720"/>
              <w:rPr>
                <w:rFonts w:eastAsia="Arial" w:cs="Arial"/>
                <w:szCs w:val="24"/>
              </w:rPr>
            </w:pPr>
            <w:r>
              <w:rPr>
                <w:rFonts w:eastAsia="Arial" w:cs="Arial"/>
                <w:szCs w:val="24"/>
              </w:rPr>
              <w:t>Secondary School Level</w:t>
            </w:r>
          </w:p>
        </w:tc>
        <w:tc>
          <w:tcPr>
            <w:tcW w:w="2670" w:type="dxa"/>
            <w:tcBorders>
              <w:top w:val="nil"/>
              <w:left w:val="nil"/>
              <w:bottom w:val="nil"/>
              <w:right w:val="nil"/>
            </w:tcBorders>
          </w:tcPr>
          <w:p w14:paraId="00118AC4" w14:textId="77777777" w:rsidR="007C6854" w:rsidRDefault="00E0219E">
            <w:pPr>
              <w:spacing w:line="259" w:lineRule="auto"/>
              <w:jc w:val="center"/>
              <w:rPr>
                <w:rFonts w:eastAsia="Arial" w:cs="Arial"/>
                <w:szCs w:val="24"/>
              </w:rPr>
            </w:pPr>
            <w:r>
              <w:rPr>
                <w:rFonts w:eastAsia="Arial" w:cs="Arial"/>
                <w:szCs w:val="24"/>
              </w:rPr>
              <w:t>20</w:t>
            </w:r>
          </w:p>
        </w:tc>
        <w:tc>
          <w:tcPr>
            <w:tcW w:w="2095" w:type="dxa"/>
            <w:tcBorders>
              <w:top w:val="nil"/>
              <w:left w:val="nil"/>
              <w:bottom w:val="nil"/>
              <w:right w:val="nil"/>
            </w:tcBorders>
          </w:tcPr>
          <w:p w14:paraId="3C0535F4" w14:textId="77777777" w:rsidR="007C6854" w:rsidRDefault="00E0219E">
            <w:pPr>
              <w:spacing w:line="259" w:lineRule="auto"/>
              <w:jc w:val="center"/>
              <w:rPr>
                <w:rFonts w:eastAsia="Arial" w:cs="Arial"/>
                <w:szCs w:val="24"/>
              </w:rPr>
            </w:pPr>
            <w:r>
              <w:rPr>
                <w:rFonts w:eastAsia="Arial" w:cs="Arial"/>
                <w:szCs w:val="24"/>
              </w:rPr>
              <w:t>13.25</w:t>
            </w:r>
          </w:p>
        </w:tc>
      </w:tr>
      <w:tr w:rsidR="007C6854" w14:paraId="642CF867" w14:textId="77777777" w:rsidTr="00C00846">
        <w:tc>
          <w:tcPr>
            <w:tcW w:w="4605" w:type="dxa"/>
            <w:tcBorders>
              <w:top w:val="nil"/>
              <w:left w:val="nil"/>
              <w:bottom w:val="nil"/>
              <w:right w:val="nil"/>
            </w:tcBorders>
          </w:tcPr>
          <w:p w14:paraId="544E7545" w14:textId="77777777" w:rsidR="007C6854" w:rsidRDefault="00E0219E">
            <w:pPr>
              <w:spacing w:line="259" w:lineRule="auto"/>
              <w:ind w:left="720"/>
              <w:rPr>
                <w:rFonts w:eastAsia="Arial" w:cs="Arial"/>
                <w:szCs w:val="24"/>
              </w:rPr>
            </w:pPr>
            <w:r>
              <w:rPr>
                <w:rFonts w:eastAsia="Arial" w:cs="Arial"/>
                <w:szCs w:val="24"/>
              </w:rPr>
              <w:t>Secondary School Completed</w:t>
            </w:r>
          </w:p>
        </w:tc>
        <w:tc>
          <w:tcPr>
            <w:tcW w:w="2670" w:type="dxa"/>
            <w:tcBorders>
              <w:top w:val="nil"/>
              <w:left w:val="nil"/>
              <w:bottom w:val="nil"/>
              <w:right w:val="nil"/>
            </w:tcBorders>
          </w:tcPr>
          <w:p w14:paraId="60F5AEE8" w14:textId="77777777" w:rsidR="007C6854" w:rsidRDefault="00E0219E">
            <w:pPr>
              <w:spacing w:line="259" w:lineRule="auto"/>
              <w:jc w:val="center"/>
              <w:rPr>
                <w:rFonts w:eastAsia="Arial" w:cs="Arial"/>
                <w:szCs w:val="24"/>
              </w:rPr>
            </w:pPr>
            <w:r>
              <w:rPr>
                <w:rFonts w:eastAsia="Arial" w:cs="Arial"/>
                <w:szCs w:val="24"/>
              </w:rPr>
              <w:t>39</w:t>
            </w:r>
          </w:p>
        </w:tc>
        <w:tc>
          <w:tcPr>
            <w:tcW w:w="2095" w:type="dxa"/>
            <w:tcBorders>
              <w:top w:val="nil"/>
              <w:left w:val="nil"/>
              <w:bottom w:val="nil"/>
              <w:right w:val="nil"/>
            </w:tcBorders>
          </w:tcPr>
          <w:p w14:paraId="4C43E820" w14:textId="77777777" w:rsidR="007C6854" w:rsidRDefault="00E0219E">
            <w:pPr>
              <w:spacing w:line="259" w:lineRule="auto"/>
              <w:jc w:val="center"/>
              <w:rPr>
                <w:rFonts w:eastAsia="Arial" w:cs="Arial"/>
                <w:szCs w:val="24"/>
              </w:rPr>
            </w:pPr>
            <w:r>
              <w:rPr>
                <w:rFonts w:eastAsia="Arial" w:cs="Arial"/>
                <w:szCs w:val="24"/>
              </w:rPr>
              <w:t>25.83</w:t>
            </w:r>
          </w:p>
        </w:tc>
      </w:tr>
      <w:tr w:rsidR="007C6854" w14:paraId="56A7E1B9" w14:textId="77777777" w:rsidTr="00C00846">
        <w:tc>
          <w:tcPr>
            <w:tcW w:w="4605" w:type="dxa"/>
            <w:tcBorders>
              <w:top w:val="nil"/>
              <w:left w:val="nil"/>
              <w:bottom w:val="nil"/>
              <w:right w:val="nil"/>
            </w:tcBorders>
          </w:tcPr>
          <w:p w14:paraId="2C426D06" w14:textId="77777777" w:rsidR="007C6854" w:rsidRDefault="00E0219E">
            <w:pPr>
              <w:spacing w:line="259" w:lineRule="auto"/>
              <w:ind w:left="720"/>
              <w:rPr>
                <w:rFonts w:eastAsia="Arial" w:cs="Arial"/>
                <w:szCs w:val="24"/>
              </w:rPr>
            </w:pPr>
            <w:r>
              <w:rPr>
                <w:rFonts w:eastAsia="Arial" w:cs="Arial"/>
                <w:szCs w:val="24"/>
              </w:rPr>
              <w:t>College/University Level</w:t>
            </w:r>
          </w:p>
        </w:tc>
        <w:tc>
          <w:tcPr>
            <w:tcW w:w="2670" w:type="dxa"/>
            <w:tcBorders>
              <w:top w:val="nil"/>
              <w:left w:val="nil"/>
              <w:bottom w:val="nil"/>
              <w:right w:val="nil"/>
            </w:tcBorders>
          </w:tcPr>
          <w:p w14:paraId="0B5D3E59" w14:textId="77777777" w:rsidR="007C6854" w:rsidRDefault="00E0219E">
            <w:pPr>
              <w:spacing w:line="259" w:lineRule="auto"/>
              <w:jc w:val="center"/>
              <w:rPr>
                <w:rFonts w:eastAsia="Arial" w:cs="Arial"/>
                <w:szCs w:val="24"/>
              </w:rPr>
            </w:pPr>
            <w:r>
              <w:rPr>
                <w:rFonts w:eastAsia="Arial" w:cs="Arial"/>
                <w:szCs w:val="24"/>
              </w:rPr>
              <w:t>10</w:t>
            </w:r>
          </w:p>
        </w:tc>
        <w:tc>
          <w:tcPr>
            <w:tcW w:w="2095" w:type="dxa"/>
            <w:tcBorders>
              <w:top w:val="nil"/>
              <w:left w:val="nil"/>
              <w:bottom w:val="nil"/>
              <w:right w:val="nil"/>
            </w:tcBorders>
          </w:tcPr>
          <w:p w14:paraId="132D9488" w14:textId="77777777" w:rsidR="007C6854" w:rsidRDefault="00E0219E">
            <w:pPr>
              <w:spacing w:line="259" w:lineRule="auto"/>
              <w:jc w:val="center"/>
              <w:rPr>
                <w:rFonts w:eastAsia="Arial" w:cs="Arial"/>
                <w:szCs w:val="24"/>
              </w:rPr>
            </w:pPr>
            <w:r>
              <w:rPr>
                <w:rFonts w:eastAsia="Arial" w:cs="Arial"/>
                <w:szCs w:val="24"/>
              </w:rPr>
              <w:t>6.62</w:t>
            </w:r>
          </w:p>
        </w:tc>
      </w:tr>
      <w:tr w:rsidR="007C6854" w14:paraId="33029E36" w14:textId="77777777" w:rsidTr="00C00846">
        <w:tc>
          <w:tcPr>
            <w:tcW w:w="4605" w:type="dxa"/>
            <w:tcBorders>
              <w:top w:val="nil"/>
              <w:left w:val="nil"/>
              <w:bottom w:val="nil"/>
              <w:right w:val="nil"/>
            </w:tcBorders>
          </w:tcPr>
          <w:p w14:paraId="018B5884" w14:textId="77777777" w:rsidR="007C6854" w:rsidRDefault="00E0219E">
            <w:pPr>
              <w:spacing w:line="259" w:lineRule="auto"/>
              <w:ind w:left="720"/>
              <w:rPr>
                <w:rFonts w:eastAsia="Arial" w:cs="Arial"/>
                <w:szCs w:val="24"/>
              </w:rPr>
            </w:pPr>
            <w:r>
              <w:rPr>
                <w:rFonts w:eastAsia="Arial" w:cs="Arial"/>
                <w:szCs w:val="24"/>
              </w:rPr>
              <w:t>College/University Completed</w:t>
            </w:r>
          </w:p>
        </w:tc>
        <w:tc>
          <w:tcPr>
            <w:tcW w:w="2670" w:type="dxa"/>
            <w:tcBorders>
              <w:top w:val="nil"/>
              <w:left w:val="nil"/>
              <w:bottom w:val="nil"/>
              <w:right w:val="nil"/>
            </w:tcBorders>
          </w:tcPr>
          <w:p w14:paraId="59CF7F6B" w14:textId="77777777" w:rsidR="007C6854" w:rsidRDefault="00E0219E">
            <w:pPr>
              <w:spacing w:line="259" w:lineRule="auto"/>
              <w:jc w:val="center"/>
              <w:rPr>
                <w:rFonts w:eastAsia="Arial" w:cs="Arial"/>
                <w:szCs w:val="24"/>
              </w:rPr>
            </w:pPr>
            <w:r>
              <w:rPr>
                <w:rFonts w:eastAsia="Arial" w:cs="Arial"/>
                <w:szCs w:val="24"/>
              </w:rPr>
              <w:t>1</w:t>
            </w:r>
          </w:p>
        </w:tc>
        <w:tc>
          <w:tcPr>
            <w:tcW w:w="2095" w:type="dxa"/>
            <w:tcBorders>
              <w:top w:val="nil"/>
              <w:left w:val="nil"/>
              <w:bottom w:val="nil"/>
              <w:right w:val="nil"/>
            </w:tcBorders>
          </w:tcPr>
          <w:p w14:paraId="0857FFF2" w14:textId="77777777" w:rsidR="007C6854" w:rsidRDefault="00E0219E">
            <w:pPr>
              <w:spacing w:line="259" w:lineRule="auto"/>
              <w:jc w:val="center"/>
              <w:rPr>
                <w:rFonts w:eastAsia="Arial" w:cs="Arial"/>
                <w:szCs w:val="24"/>
              </w:rPr>
            </w:pPr>
            <w:r>
              <w:rPr>
                <w:rFonts w:eastAsia="Arial" w:cs="Arial"/>
                <w:szCs w:val="24"/>
              </w:rPr>
              <w:t>0.66</w:t>
            </w:r>
          </w:p>
        </w:tc>
      </w:tr>
      <w:tr w:rsidR="007C6854" w14:paraId="021D7E3C" w14:textId="77777777" w:rsidTr="00C00846">
        <w:tc>
          <w:tcPr>
            <w:tcW w:w="4605" w:type="dxa"/>
            <w:tcBorders>
              <w:top w:val="nil"/>
              <w:left w:val="nil"/>
              <w:bottom w:val="nil"/>
              <w:right w:val="nil"/>
            </w:tcBorders>
          </w:tcPr>
          <w:p w14:paraId="067C5968" w14:textId="77777777" w:rsidR="007C6854" w:rsidRDefault="00E0219E">
            <w:pPr>
              <w:spacing w:line="259" w:lineRule="auto"/>
              <w:rPr>
                <w:rFonts w:eastAsia="Arial" w:cs="Arial"/>
                <w:i/>
                <w:szCs w:val="24"/>
              </w:rPr>
            </w:pPr>
            <w:r>
              <w:rPr>
                <w:rFonts w:eastAsia="Arial" w:cs="Arial"/>
                <w:szCs w:val="24"/>
              </w:rPr>
              <w:t>Ethnic / Cultural Sub-group</w:t>
            </w:r>
          </w:p>
        </w:tc>
        <w:tc>
          <w:tcPr>
            <w:tcW w:w="2670" w:type="dxa"/>
            <w:tcBorders>
              <w:top w:val="nil"/>
              <w:left w:val="nil"/>
              <w:bottom w:val="nil"/>
              <w:right w:val="nil"/>
            </w:tcBorders>
          </w:tcPr>
          <w:p w14:paraId="6B7EB1D0" w14:textId="77777777" w:rsidR="007C6854" w:rsidRDefault="007C6854">
            <w:pPr>
              <w:spacing w:line="259" w:lineRule="auto"/>
              <w:jc w:val="center"/>
              <w:rPr>
                <w:rFonts w:eastAsia="Arial" w:cs="Arial"/>
                <w:szCs w:val="24"/>
              </w:rPr>
            </w:pPr>
          </w:p>
        </w:tc>
        <w:tc>
          <w:tcPr>
            <w:tcW w:w="2095" w:type="dxa"/>
            <w:tcBorders>
              <w:top w:val="nil"/>
              <w:left w:val="nil"/>
              <w:bottom w:val="nil"/>
              <w:right w:val="nil"/>
            </w:tcBorders>
          </w:tcPr>
          <w:p w14:paraId="767859E4" w14:textId="77777777" w:rsidR="007C6854" w:rsidRDefault="007C6854">
            <w:pPr>
              <w:spacing w:line="259" w:lineRule="auto"/>
              <w:jc w:val="center"/>
              <w:rPr>
                <w:rFonts w:eastAsia="Arial" w:cs="Arial"/>
                <w:szCs w:val="24"/>
              </w:rPr>
            </w:pPr>
          </w:p>
        </w:tc>
      </w:tr>
      <w:tr w:rsidR="007C6854" w14:paraId="6597A4DF" w14:textId="77777777" w:rsidTr="00C00846">
        <w:tc>
          <w:tcPr>
            <w:tcW w:w="4605" w:type="dxa"/>
            <w:tcBorders>
              <w:top w:val="nil"/>
              <w:left w:val="nil"/>
              <w:bottom w:val="nil"/>
              <w:right w:val="nil"/>
            </w:tcBorders>
          </w:tcPr>
          <w:p w14:paraId="408087C2" w14:textId="77777777" w:rsidR="007C6854" w:rsidRDefault="00E0219E">
            <w:pPr>
              <w:spacing w:line="259" w:lineRule="auto"/>
              <w:ind w:left="720"/>
              <w:rPr>
                <w:rFonts w:eastAsia="Arial" w:cs="Arial"/>
                <w:szCs w:val="24"/>
              </w:rPr>
            </w:pPr>
            <w:r>
              <w:rPr>
                <w:rFonts w:eastAsia="Arial" w:cs="Arial"/>
                <w:szCs w:val="24"/>
              </w:rPr>
              <w:t>Tagalog</w:t>
            </w:r>
          </w:p>
        </w:tc>
        <w:tc>
          <w:tcPr>
            <w:tcW w:w="2670" w:type="dxa"/>
            <w:tcBorders>
              <w:top w:val="nil"/>
              <w:left w:val="nil"/>
              <w:bottom w:val="nil"/>
              <w:right w:val="nil"/>
            </w:tcBorders>
          </w:tcPr>
          <w:p w14:paraId="1DE4EDA8" w14:textId="77777777" w:rsidR="007C6854" w:rsidRDefault="00E0219E">
            <w:pPr>
              <w:spacing w:line="259" w:lineRule="auto"/>
              <w:jc w:val="center"/>
              <w:rPr>
                <w:rFonts w:eastAsia="Arial" w:cs="Arial"/>
                <w:szCs w:val="24"/>
              </w:rPr>
            </w:pPr>
            <w:r>
              <w:rPr>
                <w:rFonts w:eastAsia="Arial" w:cs="Arial"/>
                <w:szCs w:val="24"/>
              </w:rPr>
              <w:t>35</w:t>
            </w:r>
          </w:p>
        </w:tc>
        <w:tc>
          <w:tcPr>
            <w:tcW w:w="2095" w:type="dxa"/>
            <w:tcBorders>
              <w:top w:val="nil"/>
              <w:left w:val="nil"/>
              <w:bottom w:val="nil"/>
              <w:right w:val="nil"/>
            </w:tcBorders>
          </w:tcPr>
          <w:p w14:paraId="727DF7C8" w14:textId="77777777" w:rsidR="007C6854" w:rsidRDefault="00E0219E">
            <w:pPr>
              <w:spacing w:line="259" w:lineRule="auto"/>
              <w:jc w:val="center"/>
              <w:rPr>
                <w:rFonts w:eastAsia="Arial" w:cs="Arial"/>
                <w:szCs w:val="24"/>
              </w:rPr>
            </w:pPr>
            <w:r>
              <w:rPr>
                <w:rFonts w:eastAsia="Arial" w:cs="Arial"/>
                <w:szCs w:val="24"/>
              </w:rPr>
              <w:t>23.18</w:t>
            </w:r>
          </w:p>
        </w:tc>
      </w:tr>
      <w:tr w:rsidR="007C6854" w14:paraId="79AFB7C8" w14:textId="77777777" w:rsidTr="00C00846">
        <w:tc>
          <w:tcPr>
            <w:tcW w:w="4605" w:type="dxa"/>
            <w:tcBorders>
              <w:top w:val="nil"/>
              <w:left w:val="nil"/>
              <w:bottom w:val="nil"/>
              <w:right w:val="nil"/>
            </w:tcBorders>
          </w:tcPr>
          <w:p w14:paraId="059CEA8A" w14:textId="77777777" w:rsidR="007C6854" w:rsidRDefault="00E0219E">
            <w:pPr>
              <w:spacing w:line="259" w:lineRule="auto"/>
              <w:ind w:left="720"/>
              <w:rPr>
                <w:rFonts w:eastAsia="Arial" w:cs="Arial"/>
                <w:szCs w:val="24"/>
              </w:rPr>
            </w:pPr>
            <w:r>
              <w:rPr>
                <w:rFonts w:eastAsia="Arial" w:cs="Arial"/>
                <w:szCs w:val="24"/>
              </w:rPr>
              <w:t>Waray</w:t>
            </w:r>
          </w:p>
        </w:tc>
        <w:tc>
          <w:tcPr>
            <w:tcW w:w="2670" w:type="dxa"/>
            <w:tcBorders>
              <w:top w:val="nil"/>
              <w:left w:val="nil"/>
              <w:bottom w:val="nil"/>
              <w:right w:val="nil"/>
            </w:tcBorders>
          </w:tcPr>
          <w:p w14:paraId="6FDE5658" w14:textId="77777777" w:rsidR="007C6854" w:rsidRDefault="00E0219E">
            <w:pPr>
              <w:spacing w:line="259" w:lineRule="auto"/>
              <w:jc w:val="center"/>
              <w:rPr>
                <w:rFonts w:eastAsia="Arial" w:cs="Arial"/>
                <w:szCs w:val="24"/>
              </w:rPr>
            </w:pPr>
            <w:r>
              <w:rPr>
                <w:rFonts w:eastAsia="Arial" w:cs="Arial"/>
                <w:szCs w:val="24"/>
              </w:rPr>
              <w:t>49</w:t>
            </w:r>
          </w:p>
        </w:tc>
        <w:tc>
          <w:tcPr>
            <w:tcW w:w="2095" w:type="dxa"/>
            <w:tcBorders>
              <w:top w:val="nil"/>
              <w:left w:val="nil"/>
              <w:bottom w:val="nil"/>
              <w:right w:val="nil"/>
            </w:tcBorders>
          </w:tcPr>
          <w:p w14:paraId="3FA3603C" w14:textId="77777777" w:rsidR="007C6854" w:rsidRDefault="00E0219E">
            <w:pPr>
              <w:spacing w:line="259" w:lineRule="auto"/>
              <w:jc w:val="center"/>
              <w:rPr>
                <w:rFonts w:eastAsia="Arial" w:cs="Arial"/>
                <w:szCs w:val="24"/>
              </w:rPr>
            </w:pPr>
            <w:r>
              <w:rPr>
                <w:rFonts w:eastAsia="Arial" w:cs="Arial"/>
                <w:szCs w:val="24"/>
              </w:rPr>
              <w:t>32.45</w:t>
            </w:r>
          </w:p>
        </w:tc>
      </w:tr>
      <w:tr w:rsidR="007C6854" w14:paraId="46CD7E83" w14:textId="77777777" w:rsidTr="00C00846">
        <w:tc>
          <w:tcPr>
            <w:tcW w:w="4605" w:type="dxa"/>
            <w:tcBorders>
              <w:top w:val="nil"/>
              <w:left w:val="nil"/>
              <w:bottom w:val="nil"/>
              <w:right w:val="nil"/>
            </w:tcBorders>
          </w:tcPr>
          <w:p w14:paraId="652A79A0" w14:textId="77777777" w:rsidR="007C6854" w:rsidRDefault="00E0219E">
            <w:pPr>
              <w:spacing w:line="259" w:lineRule="auto"/>
              <w:ind w:left="720"/>
              <w:rPr>
                <w:rFonts w:eastAsia="Arial" w:cs="Arial"/>
                <w:szCs w:val="24"/>
              </w:rPr>
            </w:pPr>
            <w:r>
              <w:rPr>
                <w:rFonts w:eastAsia="Arial" w:cs="Arial"/>
                <w:szCs w:val="24"/>
              </w:rPr>
              <w:t>Cebuano</w:t>
            </w:r>
          </w:p>
        </w:tc>
        <w:tc>
          <w:tcPr>
            <w:tcW w:w="2670" w:type="dxa"/>
            <w:tcBorders>
              <w:top w:val="nil"/>
              <w:left w:val="nil"/>
              <w:bottom w:val="nil"/>
              <w:right w:val="nil"/>
            </w:tcBorders>
          </w:tcPr>
          <w:p w14:paraId="2988E6A3" w14:textId="77777777" w:rsidR="007C6854" w:rsidRDefault="00E0219E">
            <w:pPr>
              <w:spacing w:line="259" w:lineRule="auto"/>
              <w:jc w:val="center"/>
              <w:rPr>
                <w:rFonts w:eastAsia="Arial" w:cs="Arial"/>
                <w:szCs w:val="24"/>
              </w:rPr>
            </w:pPr>
            <w:r>
              <w:rPr>
                <w:rFonts w:eastAsia="Arial" w:cs="Arial"/>
                <w:szCs w:val="24"/>
              </w:rPr>
              <w:t>17</w:t>
            </w:r>
          </w:p>
        </w:tc>
        <w:tc>
          <w:tcPr>
            <w:tcW w:w="2095" w:type="dxa"/>
            <w:tcBorders>
              <w:top w:val="nil"/>
              <w:left w:val="nil"/>
              <w:bottom w:val="nil"/>
              <w:right w:val="nil"/>
            </w:tcBorders>
          </w:tcPr>
          <w:p w14:paraId="0404CA31" w14:textId="77777777" w:rsidR="007C6854" w:rsidRDefault="00E0219E">
            <w:pPr>
              <w:spacing w:line="259" w:lineRule="auto"/>
              <w:jc w:val="center"/>
              <w:rPr>
                <w:rFonts w:eastAsia="Arial" w:cs="Arial"/>
                <w:szCs w:val="24"/>
              </w:rPr>
            </w:pPr>
            <w:r>
              <w:rPr>
                <w:rFonts w:eastAsia="Arial" w:cs="Arial"/>
                <w:szCs w:val="24"/>
              </w:rPr>
              <w:t>11.26</w:t>
            </w:r>
          </w:p>
        </w:tc>
      </w:tr>
      <w:tr w:rsidR="007C6854" w14:paraId="7DE39587" w14:textId="77777777" w:rsidTr="00C00846">
        <w:tc>
          <w:tcPr>
            <w:tcW w:w="4605" w:type="dxa"/>
            <w:tcBorders>
              <w:top w:val="nil"/>
              <w:left w:val="nil"/>
              <w:bottom w:val="nil"/>
              <w:right w:val="nil"/>
            </w:tcBorders>
          </w:tcPr>
          <w:p w14:paraId="547B30B8" w14:textId="77777777" w:rsidR="007C6854" w:rsidRDefault="00E0219E">
            <w:pPr>
              <w:spacing w:line="259" w:lineRule="auto"/>
              <w:ind w:left="720"/>
              <w:rPr>
                <w:rFonts w:eastAsia="Arial" w:cs="Arial"/>
                <w:szCs w:val="24"/>
              </w:rPr>
            </w:pPr>
            <w:r>
              <w:rPr>
                <w:rFonts w:eastAsia="Arial" w:cs="Arial"/>
                <w:szCs w:val="24"/>
              </w:rPr>
              <w:t>Ilocano</w:t>
            </w:r>
          </w:p>
        </w:tc>
        <w:tc>
          <w:tcPr>
            <w:tcW w:w="2670" w:type="dxa"/>
            <w:tcBorders>
              <w:top w:val="nil"/>
              <w:left w:val="nil"/>
              <w:bottom w:val="nil"/>
              <w:right w:val="nil"/>
            </w:tcBorders>
          </w:tcPr>
          <w:p w14:paraId="1508E77A" w14:textId="77777777" w:rsidR="007C6854" w:rsidRDefault="00E0219E">
            <w:pPr>
              <w:spacing w:line="259" w:lineRule="auto"/>
              <w:jc w:val="center"/>
              <w:rPr>
                <w:rFonts w:eastAsia="Arial" w:cs="Arial"/>
                <w:szCs w:val="24"/>
              </w:rPr>
            </w:pPr>
            <w:r>
              <w:rPr>
                <w:rFonts w:eastAsia="Arial" w:cs="Arial"/>
                <w:szCs w:val="24"/>
              </w:rPr>
              <w:t>8</w:t>
            </w:r>
          </w:p>
        </w:tc>
        <w:tc>
          <w:tcPr>
            <w:tcW w:w="2095" w:type="dxa"/>
            <w:tcBorders>
              <w:top w:val="nil"/>
              <w:left w:val="nil"/>
              <w:bottom w:val="nil"/>
              <w:right w:val="nil"/>
            </w:tcBorders>
          </w:tcPr>
          <w:p w14:paraId="11A4E4A0" w14:textId="77777777" w:rsidR="007C6854" w:rsidRDefault="00E0219E">
            <w:pPr>
              <w:spacing w:line="259" w:lineRule="auto"/>
              <w:jc w:val="center"/>
              <w:rPr>
                <w:rFonts w:eastAsia="Arial" w:cs="Arial"/>
                <w:szCs w:val="24"/>
              </w:rPr>
            </w:pPr>
            <w:r>
              <w:rPr>
                <w:rFonts w:eastAsia="Arial" w:cs="Arial"/>
                <w:szCs w:val="24"/>
              </w:rPr>
              <w:t>5.30</w:t>
            </w:r>
          </w:p>
        </w:tc>
      </w:tr>
      <w:tr w:rsidR="007C6854" w14:paraId="4395DBBA" w14:textId="77777777" w:rsidTr="00A8068A">
        <w:tc>
          <w:tcPr>
            <w:tcW w:w="4605" w:type="dxa"/>
            <w:tcBorders>
              <w:top w:val="nil"/>
              <w:left w:val="nil"/>
              <w:bottom w:val="nil"/>
              <w:right w:val="nil"/>
            </w:tcBorders>
          </w:tcPr>
          <w:p w14:paraId="1EEC6038" w14:textId="77777777" w:rsidR="007C6854" w:rsidRDefault="00E0219E">
            <w:pPr>
              <w:spacing w:line="259" w:lineRule="auto"/>
              <w:ind w:left="720"/>
              <w:rPr>
                <w:rFonts w:eastAsia="Arial" w:cs="Arial"/>
                <w:szCs w:val="24"/>
              </w:rPr>
            </w:pPr>
            <w:r>
              <w:rPr>
                <w:rFonts w:eastAsia="Arial" w:cs="Arial"/>
                <w:szCs w:val="24"/>
              </w:rPr>
              <w:t>Ilonggo</w:t>
            </w:r>
          </w:p>
        </w:tc>
        <w:tc>
          <w:tcPr>
            <w:tcW w:w="2670" w:type="dxa"/>
            <w:tcBorders>
              <w:top w:val="nil"/>
              <w:left w:val="nil"/>
              <w:bottom w:val="nil"/>
              <w:right w:val="nil"/>
            </w:tcBorders>
          </w:tcPr>
          <w:p w14:paraId="6D3407B4" w14:textId="77777777" w:rsidR="007C6854" w:rsidRDefault="00E0219E">
            <w:pPr>
              <w:spacing w:line="259" w:lineRule="auto"/>
              <w:jc w:val="center"/>
              <w:rPr>
                <w:rFonts w:eastAsia="Arial" w:cs="Arial"/>
                <w:szCs w:val="24"/>
              </w:rPr>
            </w:pPr>
            <w:r>
              <w:rPr>
                <w:rFonts w:eastAsia="Arial" w:cs="Arial"/>
                <w:szCs w:val="24"/>
              </w:rPr>
              <w:t xml:space="preserve"> 10</w:t>
            </w:r>
          </w:p>
        </w:tc>
        <w:tc>
          <w:tcPr>
            <w:tcW w:w="2095" w:type="dxa"/>
            <w:tcBorders>
              <w:top w:val="nil"/>
              <w:left w:val="nil"/>
              <w:bottom w:val="nil"/>
              <w:right w:val="nil"/>
            </w:tcBorders>
          </w:tcPr>
          <w:p w14:paraId="0018698C" w14:textId="77777777" w:rsidR="007C6854" w:rsidRDefault="00E0219E">
            <w:pPr>
              <w:spacing w:line="259" w:lineRule="auto"/>
              <w:jc w:val="center"/>
              <w:rPr>
                <w:rFonts w:eastAsia="Arial" w:cs="Arial"/>
                <w:szCs w:val="24"/>
              </w:rPr>
            </w:pPr>
            <w:r>
              <w:rPr>
                <w:rFonts w:eastAsia="Arial" w:cs="Arial"/>
                <w:szCs w:val="24"/>
              </w:rPr>
              <w:t>6.62</w:t>
            </w:r>
          </w:p>
        </w:tc>
      </w:tr>
      <w:tr w:rsidR="007C6854" w14:paraId="07DAF357" w14:textId="77777777" w:rsidTr="00C00846">
        <w:tc>
          <w:tcPr>
            <w:tcW w:w="4605" w:type="dxa"/>
            <w:tcBorders>
              <w:top w:val="nil"/>
              <w:left w:val="nil"/>
              <w:bottom w:val="nil"/>
              <w:right w:val="nil"/>
            </w:tcBorders>
          </w:tcPr>
          <w:p w14:paraId="671B4D6E" w14:textId="77777777" w:rsidR="007C6854" w:rsidRDefault="00E0219E">
            <w:pPr>
              <w:spacing w:line="259" w:lineRule="auto"/>
              <w:ind w:left="720"/>
              <w:rPr>
                <w:rFonts w:eastAsia="Arial" w:cs="Arial"/>
                <w:szCs w:val="24"/>
              </w:rPr>
            </w:pPr>
            <w:r>
              <w:rPr>
                <w:rFonts w:eastAsia="Arial" w:cs="Arial"/>
                <w:szCs w:val="24"/>
              </w:rPr>
              <w:t>Bicolano</w:t>
            </w:r>
          </w:p>
        </w:tc>
        <w:tc>
          <w:tcPr>
            <w:tcW w:w="2670" w:type="dxa"/>
            <w:tcBorders>
              <w:top w:val="nil"/>
              <w:left w:val="nil"/>
              <w:bottom w:val="nil"/>
              <w:right w:val="nil"/>
            </w:tcBorders>
          </w:tcPr>
          <w:p w14:paraId="1D765ACA" w14:textId="77777777" w:rsidR="007C6854" w:rsidRDefault="00E0219E">
            <w:pPr>
              <w:spacing w:line="259" w:lineRule="auto"/>
              <w:jc w:val="center"/>
              <w:rPr>
                <w:rFonts w:eastAsia="Arial" w:cs="Arial"/>
                <w:szCs w:val="24"/>
              </w:rPr>
            </w:pPr>
            <w:r>
              <w:rPr>
                <w:rFonts w:eastAsia="Arial" w:cs="Arial"/>
                <w:szCs w:val="24"/>
              </w:rPr>
              <w:t xml:space="preserve">  12</w:t>
            </w:r>
          </w:p>
        </w:tc>
        <w:tc>
          <w:tcPr>
            <w:tcW w:w="2095" w:type="dxa"/>
            <w:tcBorders>
              <w:top w:val="nil"/>
              <w:left w:val="nil"/>
              <w:bottom w:val="nil"/>
              <w:right w:val="nil"/>
            </w:tcBorders>
          </w:tcPr>
          <w:p w14:paraId="6085CB73" w14:textId="77777777" w:rsidR="007C6854" w:rsidRDefault="00E0219E">
            <w:pPr>
              <w:spacing w:line="259" w:lineRule="auto"/>
              <w:jc w:val="center"/>
              <w:rPr>
                <w:rFonts w:eastAsia="Arial" w:cs="Arial"/>
                <w:szCs w:val="24"/>
              </w:rPr>
            </w:pPr>
            <w:r>
              <w:rPr>
                <w:rFonts w:eastAsia="Arial" w:cs="Arial"/>
                <w:szCs w:val="24"/>
              </w:rPr>
              <w:t>7.95</w:t>
            </w:r>
          </w:p>
        </w:tc>
      </w:tr>
      <w:tr w:rsidR="007C6854" w14:paraId="65E342D9" w14:textId="77777777" w:rsidTr="00A8068A">
        <w:tc>
          <w:tcPr>
            <w:tcW w:w="4605" w:type="dxa"/>
            <w:tcBorders>
              <w:top w:val="nil"/>
              <w:left w:val="nil"/>
              <w:bottom w:val="nil"/>
              <w:right w:val="nil"/>
            </w:tcBorders>
          </w:tcPr>
          <w:p w14:paraId="75B60E0B" w14:textId="77777777" w:rsidR="007C6854" w:rsidRDefault="00E0219E">
            <w:pPr>
              <w:spacing w:line="259" w:lineRule="auto"/>
              <w:ind w:left="720"/>
              <w:rPr>
                <w:rFonts w:eastAsia="Arial" w:cs="Arial"/>
                <w:szCs w:val="24"/>
              </w:rPr>
            </w:pPr>
            <w:r>
              <w:rPr>
                <w:rFonts w:eastAsia="Arial" w:cs="Arial"/>
                <w:szCs w:val="24"/>
              </w:rPr>
              <w:t>Bisaya</w:t>
            </w:r>
          </w:p>
        </w:tc>
        <w:tc>
          <w:tcPr>
            <w:tcW w:w="2670" w:type="dxa"/>
            <w:tcBorders>
              <w:top w:val="nil"/>
              <w:left w:val="nil"/>
              <w:bottom w:val="nil"/>
              <w:right w:val="nil"/>
            </w:tcBorders>
          </w:tcPr>
          <w:p w14:paraId="6445BA19" w14:textId="77777777" w:rsidR="007C6854" w:rsidRDefault="00E0219E">
            <w:pPr>
              <w:spacing w:line="259" w:lineRule="auto"/>
              <w:jc w:val="center"/>
              <w:rPr>
                <w:rFonts w:eastAsia="Arial" w:cs="Arial"/>
                <w:szCs w:val="24"/>
              </w:rPr>
            </w:pPr>
            <w:r>
              <w:rPr>
                <w:rFonts w:eastAsia="Arial" w:cs="Arial"/>
                <w:szCs w:val="24"/>
              </w:rPr>
              <w:t>20</w:t>
            </w:r>
          </w:p>
        </w:tc>
        <w:tc>
          <w:tcPr>
            <w:tcW w:w="2095" w:type="dxa"/>
            <w:tcBorders>
              <w:top w:val="nil"/>
              <w:left w:val="nil"/>
              <w:bottom w:val="nil"/>
              <w:right w:val="nil"/>
            </w:tcBorders>
          </w:tcPr>
          <w:p w14:paraId="620145E5" w14:textId="77777777" w:rsidR="007C6854" w:rsidRDefault="00E0219E">
            <w:pPr>
              <w:spacing w:line="259" w:lineRule="auto"/>
              <w:jc w:val="center"/>
              <w:rPr>
                <w:rFonts w:eastAsia="Arial" w:cs="Arial"/>
                <w:szCs w:val="24"/>
              </w:rPr>
            </w:pPr>
            <w:r>
              <w:rPr>
                <w:rFonts w:eastAsia="Arial" w:cs="Arial"/>
                <w:szCs w:val="24"/>
              </w:rPr>
              <w:t>13.25</w:t>
            </w:r>
          </w:p>
        </w:tc>
      </w:tr>
      <w:tr w:rsidR="007C6854" w14:paraId="5C2C17CE" w14:textId="77777777" w:rsidTr="00A8068A">
        <w:tc>
          <w:tcPr>
            <w:tcW w:w="4605" w:type="dxa"/>
            <w:tcBorders>
              <w:top w:val="nil"/>
              <w:left w:val="nil"/>
              <w:bottom w:val="nil"/>
              <w:right w:val="nil"/>
            </w:tcBorders>
          </w:tcPr>
          <w:p w14:paraId="5A8864CF" w14:textId="77777777" w:rsidR="007C6854" w:rsidRDefault="00E0219E">
            <w:pPr>
              <w:spacing w:line="259" w:lineRule="auto"/>
              <w:rPr>
                <w:rFonts w:eastAsia="Arial" w:cs="Arial"/>
                <w:i/>
                <w:szCs w:val="24"/>
              </w:rPr>
            </w:pPr>
            <w:r>
              <w:rPr>
                <w:rFonts w:eastAsia="Arial" w:cs="Arial"/>
                <w:szCs w:val="24"/>
              </w:rPr>
              <w:lastRenderedPageBreak/>
              <w:t>Health Insurance Coverage</w:t>
            </w:r>
          </w:p>
        </w:tc>
        <w:tc>
          <w:tcPr>
            <w:tcW w:w="2670" w:type="dxa"/>
            <w:tcBorders>
              <w:top w:val="nil"/>
              <w:left w:val="nil"/>
              <w:bottom w:val="nil"/>
              <w:right w:val="nil"/>
            </w:tcBorders>
          </w:tcPr>
          <w:p w14:paraId="3D903B35" w14:textId="77777777" w:rsidR="007C6854" w:rsidRDefault="007C6854">
            <w:pPr>
              <w:spacing w:line="259" w:lineRule="auto"/>
              <w:jc w:val="center"/>
              <w:rPr>
                <w:rFonts w:eastAsia="Arial" w:cs="Arial"/>
                <w:szCs w:val="24"/>
              </w:rPr>
            </w:pPr>
          </w:p>
        </w:tc>
        <w:tc>
          <w:tcPr>
            <w:tcW w:w="2095" w:type="dxa"/>
            <w:tcBorders>
              <w:top w:val="nil"/>
              <w:left w:val="nil"/>
              <w:bottom w:val="nil"/>
              <w:right w:val="nil"/>
            </w:tcBorders>
          </w:tcPr>
          <w:p w14:paraId="613C2A35" w14:textId="77777777" w:rsidR="007C6854" w:rsidRDefault="007C6854">
            <w:pPr>
              <w:spacing w:line="259" w:lineRule="auto"/>
              <w:jc w:val="center"/>
              <w:rPr>
                <w:rFonts w:eastAsia="Arial" w:cs="Arial"/>
                <w:szCs w:val="24"/>
              </w:rPr>
            </w:pPr>
          </w:p>
        </w:tc>
      </w:tr>
      <w:tr w:rsidR="007C6854" w14:paraId="3C67F50F" w14:textId="77777777" w:rsidTr="00A8068A">
        <w:tc>
          <w:tcPr>
            <w:tcW w:w="4605" w:type="dxa"/>
            <w:tcBorders>
              <w:top w:val="nil"/>
              <w:left w:val="nil"/>
              <w:bottom w:val="nil"/>
              <w:right w:val="nil"/>
            </w:tcBorders>
          </w:tcPr>
          <w:p w14:paraId="229A30E6" w14:textId="77777777" w:rsidR="007C6854" w:rsidRDefault="00E0219E">
            <w:pPr>
              <w:spacing w:line="259" w:lineRule="auto"/>
              <w:ind w:left="720"/>
              <w:rPr>
                <w:rFonts w:eastAsia="Arial" w:cs="Arial"/>
                <w:szCs w:val="24"/>
              </w:rPr>
            </w:pPr>
            <w:r>
              <w:rPr>
                <w:rFonts w:eastAsia="Arial" w:cs="Arial"/>
                <w:szCs w:val="24"/>
              </w:rPr>
              <w:t>PhilHealth</w:t>
            </w:r>
          </w:p>
        </w:tc>
        <w:tc>
          <w:tcPr>
            <w:tcW w:w="2670" w:type="dxa"/>
            <w:tcBorders>
              <w:top w:val="nil"/>
              <w:left w:val="nil"/>
              <w:bottom w:val="nil"/>
              <w:right w:val="nil"/>
            </w:tcBorders>
          </w:tcPr>
          <w:p w14:paraId="1052B316" w14:textId="77777777" w:rsidR="007C6854" w:rsidRDefault="00E0219E">
            <w:pPr>
              <w:spacing w:line="259" w:lineRule="auto"/>
              <w:jc w:val="center"/>
              <w:rPr>
                <w:rFonts w:eastAsia="Arial" w:cs="Arial"/>
                <w:szCs w:val="24"/>
              </w:rPr>
            </w:pPr>
            <w:r>
              <w:rPr>
                <w:rFonts w:eastAsia="Arial" w:cs="Arial"/>
                <w:szCs w:val="24"/>
              </w:rPr>
              <w:t>104</w:t>
            </w:r>
          </w:p>
        </w:tc>
        <w:tc>
          <w:tcPr>
            <w:tcW w:w="2095" w:type="dxa"/>
            <w:tcBorders>
              <w:top w:val="nil"/>
              <w:left w:val="nil"/>
              <w:bottom w:val="nil"/>
              <w:right w:val="nil"/>
            </w:tcBorders>
          </w:tcPr>
          <w:p w14:paraId="4FAD0A10" w14:textId="77777777" w:rsidR="007C6854" w:rsidRDefault="00E0219E">
            <w:pPr>
              <w:spacing w:line="259" w:lineRule="auto"/>
              <w:jc w:val="center"/>
              <w:rPr>
                <w:rFonts w:eastAsia="Arial" w:cs="Arial"/>
                <w:szCs w:val="24"/>
              </w:rPr>
            </w:pPr>
            <w:r>
              <w:rPr>
                <w:rFonts w:eastAsia="Arial" w:cs="Arial"/>
                <w:szCs w:val="24"/>
              </w:rPr>
              <w:t>68.87</w:t>
            </w:r>
          </w:p>
        </w:tc>
      </w:tr>
      <w:tr w:rsidR="007C6854" w14:paraId="22079D9C" w14:textId="77777777" w:rsidTr="00A8068A">
        <w:tc>
          <w:tcPr>
            <w:tcW w:w="4605" w:type="dxa"/>
            <w:tcBorders>
              <w:top w:val="nil"/>
              <w:left w:val="nil"/>
              <w:bottom w:val="nil"/>
              <w:right w:val="nil"/>
            </w:tcBorders>
          </w:tcPr>
          <w:p w14:paraId="7B3113D7" w14:textId="77777777" w:rsidR="007C6854" w:rsidRDefault="00E0219E">
            <w:pPr>
              <w:spacing w:line="259" w:lineRule="auto"/>
              <w:ind w:left="720"/>
              <w:rPr>
                <w:rFonts w:eastAsia="Arial" w:cs="Arial"/>
                <w:szCs w:val="24"/>
              </w:rPr>
            </w:pPr>
            <w:r>
              <w:rPr>
                <w:rFonts w:eastAsia="Arial" w:cs="Arial"/>
                <w:szCs w:val="24"/>
              </w:rPr>
              <w:t>Both PhilHealth and Health Maintenance Organization (HMO)</w:t>
            </w:r>
          </w:p>
        </w:tc>
        <w:tc>
          <w:tcPr>
            <w:tcW w:w="2670" w:type="dxa"/>
            <w:tcBorders>
              <w:top w:val="nil"/>
              <w:left w:val="nil"/>
              <w:bottom w:val="nil"/>
              <w:right w:val="nil"/>
            </w:tcBorders>
          </w:tcPr>
          <w:p w14:paraId="24D325AE" w14:textId="77777777" w:rsidR="007C6854" w:rsidRDefault="00E0219E">
            <w:pPr>
              <w:spacing w:line="259" w:lineRule="auto"/>
              <w:jc w:val="center"/>
              <w:rPr>
                <w:rFonts w:eastAsia="Arial" w:cs="Arial"/>
                <w:szCs w:val="24"/>
              </w:rPr>
            </w:pPr>
            <w:r>
              <w:rPr>
                <w:rFonts w:eastAsia="Arial" w:cs="Arial"/>
                <w:szCs w:val="24"/>
              </w:rPr>
              <w:t>26</w:t>
            </w:r>
          </w:p>
        </w:tc>
        <w:tc>
          <w:tcPr>
            <w:tcW w:w="2095" w:type="dxa"/>
            <w:tcBorders>
              <w:top w:val="nil"/>
              <w:left w:val="nil"/>
              <w:bottom w:val="nil"/>
              <w:right w:val="nil"/>
            </w:tcBorders>
          </w:tcPr>
          <w:p w14:paraId="53594061" w14:textId="77777777" w:rsidR="007C6854" w:rsidRDefault="00E0219E">
            <w:pPr>
              <w:spacing w:line="259" w:lineRule="auto"/>
              <w:jc w:val="center"/>
              <w:rPr>
                <w:rFonts w:eastAsia="Arial" w:cs="Arial"/>
                <w:szCs w:val="24"/>
              </w:rPr>
            </w:pPr>
            <w:r>
              <w:rPr>
                <w:rFonts w:eastAsia="Arial" w:cs="Arial"/>
                <w:szCs w:val="24"/>
              </w:rPr>
              <w:t>17.22</w:t>
            </w:r>
          </w:p>
        </w:tc>
      </w:tr>
      <w:tr w:rsidR="007C6854" w14:paraId="63D01416" w14:textId="77777777" w:rsidTr="00A8068A">
        <w:tc>
          <w:tcPr>
            <w:tcW w:w="4605" w:type="dxa"/>
            <w:tcBorders>
              <w:top w:val="nil"/>
              <w:left w:val="nil"/>
              <w:bottom w:val="nil"/>
              <w:right w:val="nil"/>
            </w:tcBorders>
          </w:tcPr>
          <w:p w14:paraId="19363162" w14:textId="77777777" w:rsidR="007C6854" w:rsidRDefault="00E0219E">
            <w:pPr>
              <w:spacing w:line="259" w:lineRule="auto"/>
              <w:ind w:left="720"/>
              <w:rPr>
                <w:rFonts w:eastAsia="Arial" w:cs="Arial"/>
                <w:szCs w:val="24"/>
              </w:rPr>
            </w:pPr>
            <w:r>
              <w:rPr>
                <w:rFonts w:eastAsia="Arial" w:cs="Arial"/>
                <w:szCs w:val="24"/>
              </w:rPr>
              <w:t>None</w:t>
            </w:r>
          </w:p>
        </w:tc>
        <w:tc>
          <w:tcPr>
            <w:tcW w:w="2670" w:type="dxa"/>
            <w:tcBorders>
              <w:top w:val="nil"/>
              <w:left w:val="nil"/>
              <w:bottom w:val="nil"/>
              <w:right w:val="nil"/>
            </w:tcBorders>
          </w:tcPr>
          <w:p w14:paraId="4F11298F" w14:textId="77777777" w:rsidR="007C6854" w:rsidRDefault="00E0219E">
            <w:pPr>
              <w:spacing w:line="259" w:lineRule="auto"/>
              <w:jc w:val="center"/>
              <w:rPr>
                <w:rFonts w:eastAsia="Arial" w:cs="Arial"/>
                <w:szCs w:val="24"/>
              </w:rPr>
            </w:pPr>
            <w:r>
              <w:rPr>
                <w:rFonts w:eastAsia="Arial" w:cs="Arial"/>
                <w:szCs w:val="24"/>
              </w:rPr>
              <w:t>20</w:t>
            </w:r>
          </w:p>
        </w:tc>
        <w:tc>
          <w:tcPr>
            <w:tcW w:w="2095" w:type="dxa"/>
            <w:tcBorders>
              <w:top w:val="nil"/>
              <w:left w:val="nil"/>
              <w:bottom w:val="nil"/>
              <w:right w:val="nil"/>
            </w:tcBorders>
          </w:tcPr>
          <w:p w14:paraId="60742C30" w14:textId="77777777" w:rsidR="007C6854" w:rsidRDefault="00E0219E">
            <w:pPr>
              <w:spacing w:line="259" w:lineRule="auto"/>
              <w:jc w:val="center"/>
              <w:rPr>
                <w:rFonts w:eastAsia="Arial" w:cs="Arial"/>
                <w:szCs w:val="24"/>
              </w:rPr>
            </w:pPr>
            <w:r>
              <w:rPr>
                <w:rFonts w:eastAsia="Arial" w:cs="Arial"/>
                <w:szCs w:val="24"/>
              </w:rPr>
              <w:t>13.25</w:t>
            </w:r>
          </w:p>
        </w:tc>
      </w:tr>
      <w:tr w:rsidR="007C6854" w14:paraId="71E7ACC2" w14:textId="77777777" w:rsidTr="00A8068A">
        <w:tc>
          <w:tcPr>
            <w:tcW w:w="4605" w:type="dxa"/>
            <w:tcBorders>
              <w:top w:val="nil"/>
              <w:left w:val="nil"/>
              <w:bottom w:val="nil"/>
              <w:right w:val="nil"/>
            </w:tcBorders>
          </w:tcPr>
          <w:p w14:paraId="409F8A5A" w14:textId="77777777" w:rsidR="007C6854" w:rsidRDefault="00E0219E">
            <w:pPr>
              <w:spacing w:line="259" w:lineRule="auto"/>
              <w:ind w:left="720"/>
              <w:rPr>
                <w:rFonts w:eastAsia="Arial" w:cs="Arial"/>
                <w:szCs w:val="24"/>
              </w:rPr>
            </w:pPr>
            <w:r>
              <w:rPr>
                <w:rFonts w:eastAsia="Arial" w:cs="Arial"/>
                <w:szCs w:val="24"/>
              </w:rPr>
              <w:t>Refused</w:t>
            </w:r>
          </w:p>
        </w:tc>
        <w:tc>
          <w:tcPr>
            <w:tcW w:w="2670" w:type="dxa"/>
            <w:tcBorders>
              <w:top w:val="nil"/>
              <w:left w:val="nil"/>
              <w:bottom w:val="nil"/>
              <w:right w:val="nil"/>
            </w:tcBorders>
          </w:tcPr>
          <w:p w14:paraId="438B69EC" w14:textId="77777777" w:rsidR="007C6854" w:rsidRDefault="00E0219E">
            <w:pPr>
              <w:spacing w:line="259" w:lineRule="auto"/>
              <w:jc w:val="center"/>
              <w:rPr>
                <w:rFonts w:eastAsia="Arial" w:cs="Arial"/>
                <w:szCs w:val="24"/>
              </w:rPr>
            </w:pPr>
            <w:r>
              <w:rPr>
                <w:rFonts w:eastAsia="Arial" w:cs="Arial"/>
                <w:szCs w:val="24"/>
              </w:rPr>
              <w:t>1</w:t>
            </w:r>
          </w:p>
        </w:tc>
        <w:tc>
          <w:tcPr>
            <w:tcW w:w="2095" w:type="dxa"/>
            <w:tcBorders>
              <w:top w:val="nil"/>
              <w:left w:val="nil"/>
              <w:bottom w:val="nil"/>
              <w:right w:val="nil"/>
            </w:tcBorders>
          </w:tcPr>
          <w:p w14:paraId="566B6AA9" w14:textId="77777777" w:rsidR="007C6854" w:rsidRDefault="00E0219E">
            <w:pPr>
              <w:spacing w:line="259" w:lineRule="auto"/>
              <w:jc w:val="center"/>
              <w:rPr>
                <w:rFonts w:eastAsia="Arial" w:cs="Arial"/>
                <w:szCs w:val="24"/>
              </w:rPr>
            </w:pPr>
            <w:r>
              <w:rPr>
                <w:rFonts w:eastAsia="Arial" w:cs="Arial"/>
                <w:szCs w:val="24"/>
              </w:rPr>
              <w:t>0.66</w:t>
            </w:r>
          </w:p>
        </w:tc>
      </w:tr>
      <w:tr w:rsidR="007C6854" w14:paraId="0F062966" w14:textId="77777777" w:rsidTr="00A8068A">
        <w:tc>
          <w:tcPr>
            <w:tcW w:w="4605" w:type="dxa"/>
            <w:tcBorders>
              <w:top w:val="nil"/>
              <w:left w:val="nil"/>
              <w:bottom w:val="nil"/>
              <w:right w:val="nil"/>
            </w:tcBorders>
            <w:vAlign w:val="center"/>
          </w:tcPr>
          <w:p w14:paraId="5FDB86BC" w14:textId="77777777" w:rsidR="007C6854" w:rsidRDefault="00E0219E">
            <w:pPr>
              <w:tabs>
                <w:tab w:val="left" w:pos="1488"/>
              </w:tabs>
              <w:rPr>
                <w:rFonts w:eastAsia="Arial" w:cs="Arial"/>
                <w:szCs w:val="24"/>
              </w:rPr>
            </w:pPr>
            <w:r>
              <w:rPr>
                <w:rFonts w:eastAsia="Arial" w:cs="Arial"/>
                <w:szCs w:val="24"/>
              </w:rPr>
              <w:t>Wealth Status</w:t>
            </w:r>
          </w:p>
        </w:tc>
        <w:tc>
          <w:tcPr>
            <w:tcW w:w="2670" w:type="dxa"/>
            <w:tcBorders>
              <w:top w:val="nil"/>
              <w:left w:val="nil"/>
              <w:bottom w:val="nil"/>
              <w:right w:val="nil"/>
            </w:tcBorders>
          </w:tcPr>
          <w:p w14:paraId="03CCC8AC" w14:textId="77777777" w:rsidR="007C6854" w:rsidRDefault="007C6854">
            <w:pPr>
              <w:jc w:val="center"/>
              <w:rPr>
                <w:rFonts w:eastAsia="Arial" w:cs="Arial"/>
                <w:szCs w:val="24"/>
              </w:rPr>
            </w:pPr>
          </w:p>
        </w:tc>
        <w:tc>
          <w:tcPr>
            <w:tcW w:w="2095" w:type="dxa"/>
            <w:tcBorders>
              <w:top w:val="nil"/>
              <w:left w:val="nil"/>
              <w:bottom w:val="nil"/>
              <w:right w:val="nil"/>
            </w:tcBorders>
          </w:tcPr>
          <w:p w14:paraId="623B10F3" w14:textId="77777777" w:rsidR="007C6854" w:rsidRDefault="007C6854">
            <w:pPr>
              <w:jc w:val="center"/>
              <w:rPr>
                <w:rFonts w:eastAsia="Arial" w:cs="Arial"/>
                <w:szCs w:val="24"/>
              </w:rPr>
            </w:pPr>
          </w:p>
        </w:tc>
      </w:tr>
      <w:tr w:rsidR="007C6854" w14:paraId="139499DC" w14:textId="77777777" w:rsidTr="00A8068A">
        <w:tc>
          <w:tcPr>
            <w:tcW w:w="4605" w:type="dxa"/>
            <w:tcBorders>
              <w:top w:val="nil"/>
              <w:left w:val="nil"/>
              <w:bottom w:val="nil"/>
              <w:right w:val="nil"/>
            </w:tcBorders>
            <w:vAlign w:val="center"/>
          </w:tcPr>
          <w:p w14:paraId="7A6EEFD7" w14:textId="77777777" w:rsidR="007C6854" w:rsidRDefault="00E0219E">
            <w:pPr>
              <w:spacing w:line="259" w:lineRule="auto"/>
              <w:ind w:left="720"/>
              <w:rPr>
                <w:rFonts w:eastAsia="Arial" w:cs="Arial"/>
                <w:szCs w:val="24"/>
              </w:rPr>
            </w:pPr>
            <w:r>
              <w:rPr>
                <w:rFonts w:eastAsia="Arial" w:cs="Arial"/>
                <w:szCs w:val="24"/>
              </w:rPr>
              <w:t>Poor (less than P9,520)</w:t>
            </w:r>
          </w:p>
        </w:tc>
        <w:tc>
          <w:tcPr>
            <w:tcW w:w="2670" w:type="dxa"/>
            <w:tcBorders>
              <w:top w:val="nil"/>
              <w:left w:val="nil"/>
              <w:bottom w:val="nil"/>
              <w:right w:val="nil"/>
            </w:tcBorders>
            <w:vAlign w:val="center"/>
          </w:tcPr>
          <w:p w14:paraId="0CF3F761" w14:textId="77777777" w:rsidR="007C6854" w:rsidRDefault="00E0219E">
            <w:pPr>
              <w:spacing w:line="259" w:lineRule="auto"/>
              <w:jc w:val="center"/>
              <w:rPr>
                <w:rFonts w:eastAsia="Arial" w:cs="Arial"/>
                <w:szCs w:val="24"/>
              </w:rPr>
            </w:pPr>
            <w:r>
              <w:rPr>
                <w:rFonts w:eastAsia="Arial" w:cs="Arial"/>
                <w:szCs w:val="24"/>
              </w:rPr>
              <w:t>102</w:t>
            </w:r>
          </w:p>
        </w:tc>
        <w:tc>
          <w:tcPr>
            <w:tcW w:w="2095" w:type="dxa"/>
            <w:tcBorders>
              <w:top w:val="nil"/>
              <w:left w:val="nil"/>
              <w:bottom w:val="nil"/>
              <w:right w:val="nil"/>
            </w:tcBorders>
            <w:vAlign w:val="center"/>
          </w:tcPr>
          <w:p w14:paraId="066609DA" w14:textId="77777777" w:rsidR="007C6854" w:rsidRDefault="00E0219E">
            <w:pPr>
              <w:spacing w:line="259" w:lineRule="auto"/>
              <w:jc w:val="center"/>
              <w:rPr>
                <w:rFonts w:eastAsia="Arial" w:cs="Arial"/>
                <w:szCs w:val="24"/>
              </w:rPr>
            </w:pPr>
            <w:r>
              <w:rPr>
                <w:rFonts w:eastAsia="Arial" w:cs="Arial"/>
                <w:szCs w:val="24"/>
              </w:rPr>
              <w:t>67.55</w:t>
            </w:r>
          </w:p>
        </w:tc>
      </w:tr>
      <w:tr w:rsidR="007C6854" w14:paraId="71B9ECDA" w14:textId="77777777" w:rsidTr="00A8068A">
        <w:tc>
          <w:tcPr>
            <w:tcW w:w="4605" w:type="dxa"/>
            <w:tcBorders>
              <w:top w:val="nil"/>
              <w:left w:val="nil"/>
              <w:bottom w:val="nil"/>
              <w:right w:val="nil"/>
            </w:tcBorders>
            <w:vAlign w:val="center"/>
          </w:tcPr>
          <w:p w14:paraId="46DF4019" w14:textId="77777777" w:rsidR="007C6854" w:rsidRDefault="00E0219E">
            <w:pPr>
              <w:spacing w:line="259" w:lineRule="auto"/>
              <w:ind w:left="720"/>
              <w:rPr>
                <w:rFonts w:eastAsia="Arial" w:cs="Arial"/>
                <w:szCs w:val="24"/>
              </w:rPr>
            </w:pPr>
            <w:r>
              <w:rPr>
                <w:rFonts w:eastAsia="Arial" w:cs="Arial"/>
                <w:szCs w:val="24"/>
              </w:rPr>
              <w:t>Low-Income (Between P 9,520 to P 19,040)</w:t>
            </w:r>
          </w:p>
        </w:tc>
        <w:tc>
          <w:tcPr>
            <w:tcW w:w="2670" w:type="dxa"/>
            <w:tcBorders>
              <w:top w:val="nil"/>
              <w:left w:val="nil"/>
              <w:bottom w:val="nil"/>
              <w:right w:val="nil"/>
            </w:tcBorders>
            <w:vAlign w:val="center"/>
          </w:tcPr>
          <w:p w14:paraId="7DAADB3E" w14:textId="77777777" w:rsidR="007C6854" w:rsidRDefault="00E0219E">
            <w:pPr>
              <w:spacing w:line="259" w:lineRule="auto"/>
              <w:jc w:val="center"/>
              <w:rPr>
                <w:rFonts w:eastAsia="Arial" w:cs="Arial"/>
                <w:szCs w:val="24"/>
              </w:rPr>
            </w:pPr>
            <w:r>
              <w:rPr>
                <w:rFonts w:eastAsia="Arial" w:cs="Arial"/>
                <w:szCs w:val="24"/>
              </w:rPr>
              <w:t>39</w:t>
            </w:r>
          </w:p>
        </w:tc>
        <w:tc>
          <w:tcPr>
            <w:tcW w:w="2095" w:type="dxa"/>
            <w:tcBorders>
              <w:top w:val="nil"/>
              <w:left w:val="nil"/>
              <w:bottom w:val="nil"/>
              <w:right w:val="nil"/>
            </w:tcBorders>
            <w:vAlign w:val="center"/>
          </w:tcPr>
          <w:p w14:paraId="1EA9C366" w14:textId="77777777" w:rsidR="007C6854" w:rsidRDefault="00E0219E">
            <w:pPr>
              <w:spacing w:line="259" w:lineRule="auto"/>
              <w:jc w:val="center"/>
              <w:rPr>
                <w:rFonts w:eastAsia="Arial" w:cs="Arial"/>
                <w:szCs w:val="24"/>
              </w:rPr>
            </w:pPr>
            <w:r>
              <w:rPr>
                <w:rFonts w:eastAsia="Arial" w:cs="Arial"/>
                <w:szCs w:val="24"/>
              </w:rPr>
              <w:t>25.83</w:t>
            </w:r>
          </w:p>
        </w:tc>
      </w:tr>
      <w:tr w:rsidR="007C6854" w14:paraId="72821372" w14:textId="77777777" w:rsidTr="00A8068A">
        <w:tc>
          <w:tcPr>
            <w:tcW w:w="4605" w:type="dxa"/>
            <w:tcBorders>
              <w:top w:val="nil"/>
              <w:left w:val="nil"/>
              <w:bottom w:val="nil"/>
              <w:right w:val="nil"/>
            </w:tcBorders>
            <w:vAlign w:val="center"/>
          </w:tcPr>
          <w:p w14:paraId="04C06E5F" w14:textId="77777777" w:rsidR="007C6854" w:rsidRDefault="00E0219E">
            <w:pPr>
              <w:spacing w:line="259" w:lineRule="auto"/>
              <w:ind w:left="720"/>
              <w:rPr>
                <w:rFonts w:eastAsia="Arial" w:cs="Arial"/>
                <w:szCs w:val="24"/>
              </w:rPr>
            </w:pPr>
            <w:r>
              <w:rPr>
                <w:rFonts w:eastAsia="Arial" w:cs="Arial"/>
                <w:szCs w:val="24"/>
              </w:rPr>
              <w:t>Lower-Middle Income (Between P 19,040 to P 38,080)</w:t>
            </w:r>
          </w:p>
        </w:tc>
        <w:tc>
          <w:tcPr>
            <w:tcW w:w="2670" w:type="dxa"/>
            <w:tcBorders>
              <w:top w:val="nil"/>
              <w:left w:val="nil"/>
              <w:bottom w:val="nil"/>
              <w:right w:val="nil"/>
            </w:tcBorders>
            <w:vAlign w:val="center"/>
          </w:tcPr>
          <w:p w14:paraId="6556D9B3" w14:textId="77777777" w:rsidR="007C6854" w:rsidRDefault="00E0219E">
            <w:pPr>
              <w:spacing w:line="259" w:lineRule="auto"/>
              <w:jc w:val="center"/>
              <w:rPr>
                <w:rFonts w:eastAsia="Arial" w:cs="Arial"/>
                <w:szCs w:val="24"/>
              </w:rPr>
            </w:pPr>
            <w:r>
              <w:rPr>
                <w:rFonts w:eastAsia="Arial" w:cs="Arial"/>
                <w:szCs w:val="24"/>
              </w:rPr>
              <w:t>8</w:t>
            </w:r>
          </w:p>
        </w:tc>
        <w:tc>
          <w:tcPr>
            <w:tcW w:w="2095" w:type="dxa"/>
            <w:tcBorders>
              <w:top w:val="nil"/>
              <w:left w:val="nil"/>
              <w:bottom w:val="nil"/>
              <w:right w:val="nil"/>
            </w:tcBorders>
            <w:vAlign w:val="center"/>
          </w:tcPr>
          <w:p w14:paraId="4FEA81CA" w14:textId="77777777" w:rsidR="007C6854" w:rsidRDefault="00E0219E">
            <w:pPr>
              <w:spacing w:line="259" w:lineRule="auto"/>
              <w:jc w:val="center"/>
              <w:rPr>
                <w:rFonts w:eastAsia="Arial" w:cs="Arial"/>
                <w:szCs w:val="24"/>
              </w:rPr>
            </w:pPr>
            <w:r>
              <w:rPr>
                <w:rFonts w:eastAsia="Arial" w:cs="Arial"/>
                <w:szCs w:val="24"/>
              </w:rPr>
              <w:t>5.30</w:t>
            </w:r>
          </w:p>
        </w:tc>
      </w:tr>
      <w:tr w:rsidR="007C6854" w14:paraId="6B530B9D" w14:textId="77777777" w:rsidTr="00A8068A">
        <w:tc>
          <w:tcPr>
            <w:tcW w:w="4605" w:type="dxa"/>
            <w:tcBorders>
              <w:top w:val="nil"/>
              <w:left w:val="nil"/>
              <w:bottom w:val="single" w:sz="4" w:space="0" w:color="auto"/>
              <w:right w:val="nil"/>
            </w:tcBorders>
            <w:vAlign w:val="center"/>
          </w:tcPr>
          <w:p w14:paraId="0331004B" w14:textId="77777777" w:rsidR="007C6854" w:rsidRDefault="00E0219E">
            <w:pPr>
              <w:spacing w:line="259" w:lineRule="auto"/>
              <w:ind w:left="720"/>
              <w:rPr>
                <w:rFonts w:eastAsia="Arial" w:cs="Arial"/>
                <w:szCs w:val="24"/>
              </w:rPr>
            </w:pPr>
            <w:r>
              <w:rPr>
                <w:rFonts w:eastAsia="Arial" w:cs="Arial"/>
                <w:szCs w:val="24"/>
              </w:rPr>
              <w:t>Missing</w:t>
            </w:r>
          </w:p>
        </w:tc>
        <w:tc>
          <w:tcPr>
            <w:tcW w:w="2670" w:type="dxa"/>
            <w:tcBorders>
              <w:top w:val="nil"/>
              <w:left w:val="nil"/>
              <w:bottom w:val="single" w:sz="4" w:space="0" w:color="auto"/>
              <w:right w:val="nil"/>
            </w:tcBorders>
            <w:vAlign w:val="center"/>
          </w:tcPr>
          <w:p w14:paraId="09E4E4BD" w14:textId="77777777" w:rsidR="007C6854" w:rsidRDefault="00E0219E">
            <w:pPr>
              <w:spacing w:line="259" w:lineRule="auto"/>
              <w:jc w:val="center"/>
              <w:rPr>
                <w:rFonts w:eastAsia="Arial" w:cs="Arial"/>
                <w:szCs w:val="24"/>
              </w:rPr>
            </w:pPr>
            <w:r>
              <w:rPr>
                <w:rFonts w:eastAsia="Arial" w:cs="Arial"/>
                <w:szCs w:val="24"/>
              </w:rPr>
              <w:t>2</w:t>
            </w:r>
          </w:p>
        </w:tc>
        <w:tc>
          <w:tcPr>
            <w:tcW w:w="2095" w:type="dxa"/>
            <w:tcBorders>
              <w:top w:val="nil"/>
              <w:left w:val="nil"/>
              <w:bottom w:val="single" w:sz="4" w:space="0" w:color="auto"/>
              <w:right w:val="nil"/>
            </w:tcBorders>
            <w:vAlign w:val="center"/>
          </w:tcPr>
          <w:p w14:paraId="2D27CF93" w14:textId="77777777" w:rsidR="007C6854" w:rsidRDefault="00E0219E">
            <w:pPr>
              <w:spacing w:line="259" w:lineRule="auto"/>
              <w:jc w:val="center"/>
              <w:rPr>
                <w:rFonts w:eastAsia="Arial" w:cs="Arial"/>
                <w:szCs w:val="24"/>
              </w:rPr>
            </w:pPr>
            <w:r>
              <w:rPr>
                <w:rFonts w:eastAsia="Arial" w:cs="Arial"/>
                <w:szCs w:val="24"/>
              </w:rPr>
              <w:t>1.32</w:t>
            </w:r>
          </w:p>
        </w:tc>
      </w:tr>
    </w:tbl>
    <w:p w14:paraId="2FCFBCB7" w14:textId="4F1D2653" w:rsidR="007C6854" w:rsidRPr="00F362B2" w:rsidRDefault="00E0219E" w:rsidP="00F362B2">
      <w:pPr>
        <w:pStyle w:val="Heading2"/>
        <w:spacing w:line="480" w:lineRule="auto"/>
        <w:rPr>
          <w:rFonts w:eastAsia="Arial" w:cs="Arial"/>
          <w:sz w:val="24"/>
          <w:szCs w:val="24"/>
        </w:rPr>
      </w:pPr>
      <w:bookmarkStart w:id="55" w:name="_heading=h.spmzao2zrali" w:colFirst="0" w:colLast="0"/>
      <w:bookmarkStart w:id="56" w:name="_heading=h.2lwamvv" w:colFirst="0" w:colLast="0"/>
      <w:bookmarkEnd w:id="55"/>
      <w:bookmarkEnd w:id="56"/>
      <w:r>
        <w:rPr>
          <w:rFonts w:eastAsia="Arial" w:cs="Arial"/>
          <w:sz w:val="24"/>
          <w:szCs w:val="24"/>
        </w:rPr>
        <w:t>Prevalence of Hypertension among urban poor settlers</w:t>
      </w:r>
    </w:p>
    <w:p w14:paraId="4F878BCD" w14:textId="77777777" w:rsidR="007C6854" w:rsidRDefault="00E0219E" w:rsidP="00113E43">
      <w:pPr>
        <w:spacing w:after="160" w:line="480" w:lineRule="auto"/>
        <w:ind w:firstLine="720"/>
        <w:jc w:val="both"/>
        <w:rPr>
          <w:rFonts w:eastAsia="Arial" w:cs="Arial"/>
          <w:szCs w:val="24"/>
        </w:rPr>
      </w:pPr>
      <w:r>
        <w:rPr>
          <w:rFonts w:eastAsia="Arial" w:cs="Arial"/>
          <w:szCs w:val="24"/>
        </w:rPr>
        <w:t>The researcher did not measure blood pressure but instead utilized proxy indicators from different survey tools used in estimating blood pressure prevalence in a population (CDC, n.d.; WHO, 2005).</w:t>
      </w:r>
      <w:r>
        <w:rPr>
          <w:rFonts w:eastAsia="Arial" w:cs="Arial"/>
          <w:b/>
          <w:szCs w:val="24"/>
        </w:rPr>
        <w:t xml:space="preserve"> </w:t>
      </w:r>
      <w:r>
        <w:rPr>
          <w:rFonts w:eastAsia="Arial" w:cs="Arial"/>
          <w:szCs w:val="24"/>
        </w:rPr>
        <w:t xml:space="preserve">Blood pressure is commonly measured because of the risk of COVID-19 virus infection. The researcher decides not to get a BP measurement but rather to ask for proxy measures that will somehow determine if the respondent has hypertension or not. Blood pressure was measured by asking the respondents about their history of BP, having been advised by a physician or other health professional that he/she had high blood pressure, or having taken antihypertensive medication. Using these parameters, hypertension among respondents was established in this research. </w:t>
      </w:r>
    </w:p>
    <w:p w14:paraId="1E0B10B7" w14:textId="77777777" w:rsidR="007C6854" w:rsidRDefault="00000000" w:rsidP="00113E43">
      <w:pPr>
        <w:spacing w:after="160" w:line="480" w:lineRule="auto"/>
        <w:ind w:firstLine="720"/>
        <w:jc w:val="both"/>
        <w:rPr>
          <w:rFonts w:eastAsia="Arial" w:cs="Arial"/>
          <w:szCs w:val="24"/>
        </w:rPr>
      </w:pPr>
      <w:sdt>
        <w:sdtPr>
          <w:tag w:val="goog_rdk_11"/>
          <w:id w:val="-1788804383"/>
        </w:sdtPr>
        <w:sdtContent>
          <w:r w:rsidR="00E0219E">
            <w:rPr>
              <w:rFonts w:ascii="Arial Unicode MS" w:eastAsia="Arial Unicode MS" w:hAnsi="Arial Unicode MS" w:cs="Arial Unicode MS"/>
              <w:szCs w:val="24"/>
            </w:rPr>
            <w:t xml:space="preserve">Most respondents reported having HPN or having a blood pressure of ≥140 and/or ≥90 mm Hg (Table 5). Table 5 and Table 6 showed the frequency and percentage of reported blood pressure measurements that were classified based on </w:t>
          </w:r>
          <w:r w:rsidR="00E0219E">
            <w:rPr>
              <w:rFonts w:ascii="Arial Unicode MS" w:eastAsia="Arial Unicode MS" w:hAnsi="Arial Unicode MS" w:cs="Arial Unicode MS"/>
              <w:szCs w:val="24"/>
            </w:rPr>
            <w:lastRenderedPageBreak/>
            <w:t xml:space="preserve">the International Society of Hypertension (ISH) blood pressure classification. The result showed that 66% of the respondents had grade 2 hypertension (Table 6). Hypertension is one of the leading causes of disease globally (WHO, n.d.; WHO, 2009; WHO, 2011; WHO, 2021; Mills, K.T. et al., 2016). The observation from this research was consistent with the literature review result, indicating that hypertension prevalence in the Philippines is consistently included in the top 10 causes of morbidity and mortality according to the 2019 Philippine Health Statistics. (DOH, 2019) Meanwhile, in Pateros, the sequelae effect of hypertension was high; for example, death due to cerebrovascular disease is at 45.9 per 100,000 population, and disease of the heart is at 148 per 100,000 population. (DOH, 2019, p. 161) The result of the research in the communities of </w:t>
          </w:r>
          <w:proofErr w:type="spellStart"/>
          <w:r w:rsidR="00E0219E">
            <w:rPr>
              <w:rFonts w:ascii="Arial Unicode MS" w:eastAsia="Arial Unicode MS" w:hAnsi="Arial Unicode MS" w:cs="Arial Unicode MS"/>
              <w:szCs w:val="24"/>
            </w:rPr>
            <w:t>Bukuhan</w:t>
          </w:r>
          <w:proofErr w:type="spellEnd"/>
          <w:r w:rsidR="00E0219E">
            <w:rPr>
              <w:rFonts w:ascii="Arial Unicode MS" w:eastAsia="Arial Unicode MS" w:hAnsi="Arial Unicode MS" w:cs="Arial Unicode MS"/>
              <w:szCs w:val="24"/>
            </w:rPr>
            <w:t xml:space="preserve">, Pateros, and the whole Municipality is vital. Given that most of the surveyed participants were older individuals, severe HPN is common among the elderly (Ghazi et al., 2022). However, hypertension may also be high among lower groups (WHO, 2011; Mills, K.T., et al., 2016; </w:t>
          </w:r>
          <w:proofErr w:type="spellStart"/>
          <w:r w:rsidR="00E0219E">
            <w:rPr>
              <w:rFonts w:ascii="Arial Unicode MS" w:eastAsia="Arial Unicode MS" w:hAnsi="Arial Unicode MS" w:cs="Arial Unicode MS"/>
              <w:szCs w:val="24"/>
            </w:rPr>
            <w:t>Khajedaluee</w:t>
          </w:r>
          <w:proofErr w:type="spellEnd"/>
          <w:r w:rsidR="00E0219E">
            <w:rPr>
              <w:rFonts w:ascii="Arial Unicode MS" w:eastAsia="Arial Unicode MS" w:hAnsi="Arial Unicode MS" w:cs="Arial Unicode MS"/>
              <w:szCs w:val="24"/>
            </w:rPr>
            <w:t xml:space="preserve">, M., et al., 2016; FNRI, 2018). Globally, premature deaths due to hypertension are high. (WHO, 2023) Regardless of age, hypertension could be delayed or controlled if it is detected early in life. More so, the assessment of the hypertension status of individuals should be monitored, especially in a community where high urbanization is observed, such as the Community of </w:t>
          </w:r>
          <w:proofErr w:type="spellStart"/>
          <w:r w:rsidR="00E0219E">
            <w:rPr>
              <w:rFonts w:ascii="Arial Unicode MS" w:eastAsia="Arial Unicode MS" w:hAnsi="Arial Unicode MS" w:cs="Arial Unicode MS"/>
              <w:szCs w:val="24"/>
            </w:rPr>
            <w:t>Bukuhan</w:t>
          </w:r>
          <w:proofErr w:type="spellEnd"/>
          <w:r w:rsidR="00E0219E">
            <w:rPr>
              <w:rFonts w:ascii="Arial Unicode MS" w:eastAsia="Arial Unicode MS" w:hAnsi="Arial Unicode MS" w:cs="Arial Unicode MS"/>
              <w:szCs w:val="24"/>
            </w:rPr>
            <w:t xml:space="preserve">. The interesting information gathered through this research was that in the past 12 months, the number of identified individuals with hypertension was high (n = 129, 85.4%), and about 143 (95%) respondents were told by a health professional. These two pieces of information were corroborated by the noted remarks of respondents during the interview. The interesting information was that some respondents were seeking consultation for the first time during the COVID-19 pandemic and had taken their BP, and most of them reported a notable increase in </w:t>
          </w:r>
          <w:r w:rsidR="00E0219E">
            <w:rPr>
              <w:rFonts w:ascii="Arial Unicode MS" w:eastAsia="Arial Unicode MS" w:hAnsi="Arial Unicode MS" w:cs="Arial Unicode MS"/>
              <w:szCs w:val="24"/>
            </w:rPr>
            <w:lastRenderedPageBreak/>
            <w:t xml:space="preserve">their blood pressure. Some of them knew that they had high BP when they had their COVID immunization, and most of the respondents who experienced it belong to the lower age group. The information could be coincidental or factual. The COVID-19 pandemic changes the lifestyle of most individuals; that could be a true reflection of the effects of lockdown or maybe a change in the healthy habits of individuals during the pandemic period (Gotanda et al., 2022; Knell et al., 2020). Further, the study of Feitosa et al. (2022) suggests that the high prevalence of hypertension during the COVID-19 pandemic is due to not being able to take medication against high blood pressure. In addition, comorbidities such as hypertension severed COVID-19 among hospitalized patients, and the pandemic itself increased hypertension prevalence (Stephanie Watson, 2022; Shibata et al., 2023; </w:t>
          </w:r>
          <w:proofErr w:type="spellStart"/>
          <w:r w:rsidR="00E0219E">
            <w:rPr>
              <w:rFonts w:ascii="Arial Unicode MS" w:eastAsia="Arial Unicode MS" w:hAnsi="Arial Unicode MS" w:cs="Arial Unicode MS"/>
              <w:szCs w:val="24"/>
            </w:rPr>
            <w:t>Kargiannidis</w:t>
          </w:r>
          <w:proofErr w:type="spellEnd"/>
          <w:r w:rsidR="00E0219E">
            <w:rPr>
              <w:rFonts w:ascii="Arial Unicode MS" w:eastAsia="Arial Unicode MS" w:hAnsi="Arial Unicode MS" w:cs="Arial Unicode MS"/>
              <w:szCs w:val="24"/>
            </w:rPr>
            <w:t xml:space="preserve"> et al., 2022).</w:t>
          </w:r>
        </w:sdtContent>
      </w:sdt>
    </w:p>
    <w:p w14:paraId="298CFCC5" w14:textId="77777777" w:rsidR="007C6854" w:rsidRDefault="00E0219E">
      <w:pPr>
        <w:spacing w:after="160" w:line="360" w:lineRule="auto"/>
        <w:rPr>
          <w:rFonts w:eastAsia="Arial" w:cs="Arial"/>
          <w:b/>
          <w:szCs w:val="24"/>
        </w:rPr>
      </w:pPr>
      <w:r>
        <w:rPr>
          <w:rFonts w:eastAsia="Arial" w:cs="Arial"/>
          <w:b/>
          <w:szCs w:val="24"/>
        </w:rPr>
        <w:t>Table 5</w:t>
      </w:r>
    </w:p>
    <w:p w14:paraId="20C9E590" w14:textId="77777777" w:rsidR="007C6854" w:rsidRDefault="00E0219E">
      <w:pPr>
        <w:spacing w:after="160" w:line="360" w:lineRule="auto"/>
        <w:jc w:val="both"/>
        <w:rPr>
          <w:rFonts w:eastAsia="Arial" w:cs="Arial"/>
          <w:i/>
          <w:szCs w:val="24"/>
        </w:rPr>
      </w:pPr>
      <w:r>
        <w:rPr>
          <w:rFonts w:eastAsia="Arial" w:cs="Arial"/>
          <w:i/>
          <w:szCs w:val="24"/>
        </w:rPr>
        <w:t>Distribution of Frequency and Percentage of Respondents with and without Hypertension based on the International Society of Hypertension (N = 151)</w:t>
      </w:r>
    </w:p>
    <w:tbl>
      <w:tblPr>
        <w:tblStyle w:val="afff5"/>
        <w:tblW w:w="9360" w:type="dxa"/>
        <w:tblLayout w:type="fixed"/>
        <w:tblLook w:val="0400" w:firstRow="0" w:lastRow="0" w:firstColumn="0" w:lastColumn="0" w:noHBand="0" w:noVBand="1"/>
      </w:tblPr>
      <w:tblGrid>
        <w:gridCol w:w="3524"/>
        <w:gridCol w:w="2918"/>
        <w:gridCol w:w="2918"/>
      </w:tblGrid>
      <w:tr w:rsidR="007C6854" w14:paraId="7EE597B1" w14:textId="77777777" w:rsidTr="001D2966">
        <w:tc>
          <w:tcPr>
            <w:tcW w:w="3524" w:type="dxa"/>
            <w:tcBorders>
              <w:top w:val="single" w:sz="4" w:space="0" w:color="auto"/>
              <w:bottom w:val="single" w:sz="4" w:space="0" w:color="auto"/>
            </w:tcBorders>
            <w:vAlign w:val="center"/>
          </w:tcPr>
          <w:p w14:paraId="7C78908A" w14:textId="77777777" w:rsidR="007C6854" w:rsidRDefault="00E0219E">
            <w:pPr>
              <w:spacing w:line="259" w:lineRule="auto"/>
              <w:rPr>
                <w:rFonts w:eastAsia="Arial" w:cs="Arial"/>
                <w:szCs w:val="24"/>
              </w:rPr>
            </w:pPr>
            <w:r>
              <w:rPr>
                <w:rFonts w:eastAsia="Arial" w:cs="Arial"/>
                <w:szCs w:val="24"/>
              </w:rPr>
              <w:t>Respondents with or without HPN</w:t>
            </w:r>
          </w:p>
        </w:tc>
        <w:tc>
          <w:tcPr>
            <w:tcW w:w="2918" w:type="dxa"/>
            <w:tcBorders>
              <w:top w:val="single" w:sz="4" w:space="0" w:color="auto"/>
              <w:bottom w:val="single" w:sz="4" w:space="0" w:color="auto"/>
            </w:tcBorders>
            <w:vAlign w:val="center"/>
          </w:tcPr>
          <w:p w14:paraId="384DE60F" w14:textId="77777777" w:rsidR="007C6854" w:rsidRDefault="00E0219E">
            <w:pPr>
              <w:spacing w:line="259" w:lineRule="auto"/>
              <w:jc w:val="center"/>
              <w:rPr>
                <w:rFonts w:eastAsia="Arial" w:cs="Arial"/>
                <w:szCs w:val="24"/>
              </w:rPr>
            </w:pPr>
            <w:r>
              <w:rPr>
                <w:rFonts w:eastAsia="Arial" w:cs="Arial"/>
                <w:szCs w:val="24"/>
              </w:rPr>
              <w:t>Frequency (N = 151)</w:t>
            </w:r>
          </w:p>
        </w:tc>
        <w:tc>
          <w:tcPr>
            <w:tcW w:w="2918" w:type="dxa"/>
            <w:tcBorders>
              <w:top w:val="single" w:sz="4" w:space="0" w:color="auto"/>
              <w:bottom w:val="single" w:sz="4" w:space="0" w:color="auto"/>
            </w:tcBorders>
            <w:vAlign w:val="center"/>
          </w:tcPr>
          <w:p w14:paraId="1F7FA4E5" w14:textId="77777777" w:rsidR="007C6854" w:rsidRDefault="00E0219E">
            <w:pPr>
              <w:spacing w:line="259" w:lineRule="auto"/>
              <w:jc w:val="center"/>
              <w:rPr>
                <w:rFonts w:eastAsia="Arial" w:cs="Arial"/>
                <w:szCs w:val="24"/>
              </w:rPr>
            </w:pPr>
            <w:r>
              <w:rPr>
                <w:rFonts w:eastAsia="Arial" w:cs="Arial"/>
                <w:szCs w:val="24"/>
              </w:rPr>
              <w:t>Percentage (%)</w:t>
            </w:r>
          </w:p>
        </w:tc>
      </w:tr>
      <w:tr w:rsidR="007C6854" w14:paraId="252E3966" w14:textId="77777777" w:rsidTr="001D2966">
        <w:tc>
          <w:tcPr>
            <w:tcW w:w="3524" w:type="dxa"/>
            <w:tcBorders>
              <w:top w:val="single" w:sz="4" w:space="0" w:color="auto"/>
            </w:tcBorders>
          </w:tcPr>
          <w:p w14:paraId="48F94B79" w14:textId="77777777" w:rsidR="007C6854" w:rsidRDefault="00E0219E">
            <w:pPr>
              <w:spacing w:line="259" w:lineRule="auto"/>
              <w:rPr>
                <w:rFonts w:eastAsia="Arial" w:cs="Arial"/>
                <w:szCs w:val="24"/>
              </w:rPr>
            </w:pPr>
            <w:r>
              <w:rPr>
                <w:rFonts w:eastAsia="Arial" w:cs="Arial"/>
                <w:szCs w:val="24"/>
              </w:rPr>
              <w:t>Without HPN</w:t>
            </w:r>
          </w:p>
        </w:tc>
        <w:tc>
          <w:tcPr>
            <w:tcW w:w="2918" w:type="dxa"/>
            <w:tcBorders>
              <w:top w:val="single" w:sz="4" w:space="0" w:color="auto"/>
            </w:tcBorders>
          </w:tcPr>
          <w:p w14:paraId="1ED149A2" w14:textId="77777777" w:rsidR="007C6854" w:rsidRDefault="00E0219E">
            <w:pPr>
              <w:spacing w:line="259" w:lineRule="auto"/>
              <w:jc w:val="center"/>
              <w:rPr>
                <w:rFonts w:eastAsia="Arial" w:cs="Arial"/>
                <w:szCs w:val="24"/>
              </w:rPr>
            </w:pPr>
            <w:r>
              <w:rPr>
                <w:rFonts w:eastAsia="Arial" w:cs="Arial"/>
                <w:szCs w:val="24"/>
              </w:rPr>
              <w:t>15</w:t>
            </w:r>
          </w:p>
        </w:tc>
        <w:tc>
          <w:tcPr>
            <w:tcW w:w="2918" w:type="dxa"/>
            <w:tcBorders>
              <w:top w:val="single" w:sz="4" w:space="0" w:color="auto"/>
            </w:tcBorders>
          </w:tcPr>
          <w:p w14:paraId="5E029C2C" w14:textId="77777777" w:rsidR="007C6854" w:rsidRDefault="00E0219E">
            <w:pPr>
              <w:spacing w:line="259" w:lineRule="auto"/>
              <w:jc w:val="center"/>
              <w:rPr>
                <w:rFonts w:eastAsia="Arial" w:cs="Arial"/>
                <w:szCs w:val="24"/>
              </w:rPr>
            </w:pPr>
            <w:r>
              <w:rPr>
                <w:rFonts w:eastAsia="Arial" w:cs="Arial"/>
                <w:szCs w:val="24"/>
              </w:rPr>
              <w:t>9.93</w:t>
            </w:r>
          </w:p>
        </w:tc>
      </w:tr>
      <w:tr w:rsidR="007C6854" w14:paraId="7C1304B1" w14:textId="77777777" w:rsidTr="001D2966">
        <w:tc>
          <w:tcPr>
            <w:tcW w:w="3524" w:type="dxa"/>
            <w:tcBorders>
              <w:bottom w:val="single" w:sz="4" w:space="0" w:color="auto"/>
            </w:tcBorders>
          </w:tcPr>
          <w:p w14:paraId="795CC9BB" w14:textId="77777777" w:rsidR="007C6854" w:rsidRDefault="00E0219E">
            <w:pPr>
              <w:spacing w:line="259" w:lineRule="auto"/>
              <w:rPr>
                <w:rFonts w:eastAsia="Arial" w:cs="Arial"/>
                <w:szCs w:val="24"/>
              </w:rPr>
            </w:pPr>
            <w:r>
              <w:rPr>
                <w:rFonts w:eastAsia="Arial" w:cs="Arial"/>
                <w:szCs w:val="24"/>
              </w:rPr>
              <w:t>With HPN</w:t>
            </w:r>
          </w:p>
        </w:tc>
        <w:tc>
          <w:tcPr>
            <w:tcW w:w="2918" w:type="dxa"/>
            <w:tcBorders>
              <w:bottom w:val="single" w:sz="4" w:space="0" w:color="auto"/>
            </w:tcBorders>
          </w:tcPr>
          <w:p w14:paraId="77B3F64E" w14:textId="77777777" w:rsidR="007C6854" w:rsidRDefault="00E0219E">
            <w:pPr>
              <w:spacing w:line="259" w:lineRule="auto"/>
              <w:jc w:val="center"/>
              <w:rPr>
                <w:rFonts w:eastAsia="Arial" w:cs="Arial"/>
                <w:szCs w:val="24"/>
              </w:rPr>
            </w:pPr>
            <w:r>
              <w:rPr>
                <w:rFonts w:eastAsia="Arial" w:cs="Arial"/>
                <w:szCs w:val="24"/>
              </w:rPr>
              <w:t>136</w:t>
            </w:r>
          </w:p>
        </w:tc>
        <w:tc>
          <w:tcPr>
            <w:tcW w:w="2918" w:type="dxa"/>
            <w:tcBorders>
              <w:bottom w:val="single" w:sz="4" w:space="0" w:color="auto"/>
            </w:tcBorders>
          </w:tcPr>
          <w:p w14:paraId="4DFCF36A" w14:textId="77777777" w:rsidR="007C6854" w:rsidRDefault="00E0219E">
            <w:pPr>
              <w:spacing w:line="259" w:lineRule="auto"/>
              <w:jc w:val="center"/>
              <w:rPr>
                <w:rFonts w:eastAsia="Arial" w:cs="Arial"/>
                <w:szCs w:val="24"/>
              </w:rPr>
            </w:pPr>
            <w:r>
              <w:rPr>
                <w:rFonts w:eastAsia="Arial" w:cs="Arial"/>
                <w:szCs w:val="24"/>
              </w:rPr>
              <w:t>90.07</w:t>
            </w:r>
          </w:p>
        </w:tc>
      </w:tr>
    </w:tbl>
    <w:p w14:paraId="479554C9" w14:textId="77777777" w:rsidR="007C6854" w:rsidRDefault="007C6854">
      <w:pPr>
        <w:spacing w:after="160" w:line="360" w:lineRule="auto"/>
        <w:rPr>
          <w:rFonts w:eastAsia="Arial" w:cs="Arial"/>
          <w:b/>
          <w:szCs w:val="24"/>
        </w:rPr>
      </w:pPr>
    </w:p>
    <w:p w14:paraId="289BCED0" w14:textId="77777777" w:rsidR="001D2966" w:rsidRDefault="001D2966">
      <w:pPr>
        <w:rPr>
          <w:rFonts w:eastAsia="Arial" w:cs="Arial"/>
          <w:b/>
          <w:szCs w:val="24"/>
        </w:rPr>
      </w:pPr>
      <w:r>
        <w:rPr>
          <w:rFonts w:eastAsia="Arial" w:cs="Arial"/>
          <w:b/>
          <w:szCs w:val="24"/>
        </w:rPr>
        <w:br w:type="page"/>
      </w:r>
    </w:p>
    <w:p w14:paraId="46E277FD" w14:textId="5C9A5AD7" w:rsidR="007C6854" w:rsidRDefault="00E0219E">
      <w:pPr>
        <w:spacing w:after="160" w:line="360" w:lineRule="auto"/>
        <w:rPr>
          <w:rFonts w:eastAsia="Arial" w:cs="Arial"/>
          <w:b/>
          <w:szCs w:val="24"/>
        </w:rPr>
      </w:pPr>
      <w:r>
        <w:rPr>
          <w:rFonts w:eastAsia="Arial" w:cs="Arial"/>
          <w:b/>
          <w:szCs w:val="24"/>
        </w:rPr>
        <w:lastRenderedPageBreak/>
        <w:t xml:space="preserve">Table 6: </w:t>
      </w:r>
    </w:p>
    <w:p w14:paraId="79220976" w14:textId="77777777" w:rsidR="007C6854" w:rsidRDefault="00E0219E">
      <w:pPr>
        <w:spacing w:after="160" w:line="360" w:lineRule="auto"/>
        <w:jc w:val="both"/>
        <w:rPr>
          <w:rFonts w:eastAsia="Arial" w:cs="Arial"/>
          <w:i/>
          <w:szCs w:val="24"/>
        </w:rPr>
      </w:pPr>
      <w:r>
        <w:rPr>
          <w:rFonts w:eastAsia="Arial" w:cs="Arial"/>
          <w:i/>
          <w:szCs w:val="24"/>
        </w:rPr>
        <w:t>Frequency and Percentage Distribution of Reported History of Blood Pressure taken in the past among Respondents by Blood Pressure Classification according to the International Society of Hypertension (N = 151)</w:t>
      </w:r>
    </w:p>
    <w:tbl>
      <w:tblPr>
        <w:tblStyle w:val="afff6"/>
        <w:tblW w:w="9067" w:type="dxa"/>
        <w:tblLayout w:type="fixed"/>
        <w:tblLook w:val="0400" w:firstRow="0" w:lastRow="0" w:firstColumn="0" w:lastColumn="0" w:noHBand="0" w:noVBand="1"/>
      </w:tblPr>
      <w:tblGrid>
        <w:gridCol w:w="4248"/>
        <w:gridCol w:w="2409"/>
        <w:gridCol w:w="2410"/>
      </w:tblGrid>
      <w:tr w:rsidR="007C6854" w14:paraId="0CB3411C" w14:textId="77777777" w:rsidTr="006D2678">
        <w:tc>
          <w:tcPr>
            <w:tcW w:w="4248" w:type="dxa"/>
            <w:tcBorders>
              <w:top w:val="single" w:sz="4" w:space="0" w:color="auto"/>
              <w:bottom w:val="single" w:sz="4" w:space="0" w:color="auto"/>
            </w:tcBorders>
          </w:tcPr>
          <w:p w14:paraId="29D1EAEE" w14:textId="77777777" w:rsidR="007C6854" w:rsidRDefault="00E0219E">
            <w:pPr>
              <w:spacing w:line="259" w:lineRule="auto"/>
              <w:jc w:val="center"/>
              <w:rPr>
                <w:rFonts w:eastAsia="Arial" w:cs="Arial"/>
                <w:szCs w:val="24"/>
              </w:rPr>
            </w:pPr>
            <w:r>
              <w:rPr>
                <w:rFonts w:eastAsia="Arial" w:cs="Arial"/>
                <w:szCs w:val="24"/>
              </w:rPr>
              <w:t>Blood Pressure Classification</w:t>
            </w:r>
          </w:p>
        </w:tc>
        <w:tc>
          <w:tcPr>
            <w:tcW w:w="2409" w:type="dxa"/>
            <w:tcBorders>
              <w:top w:val="single" w:sz="4" w:space="0" w:color="auto"/>
              <w:bottom w:val="single" w:sz="4" w:space="0" w:color="auto"/>
            </w:tcBorders>
          </w:tcPr>
          <w:p w14:paraId="752E7810" w14:textId="77777777" w:rsidR="007C6854" w:rsidRDefault="00E0219E">
            <w:pPr>
              <w:spacing w:line="259" w:lineRule="auto"/>
              <w:jc w:val="center"/>
              <w:rPr>
                <w:rFonts w:eastAsia="Arial" w:cs="Arial"/>
                <w:szCs w:val="24"/>
              </w:rPr>
            </w:pPr>
            <w:r>
              <w:rPr>
                <w:rFonts w:eastAsia="Arial" w:cs="Arial"/>
                <w:szCs w:val="24"/>
              </w:rPr>
              <w:t>Frequency</w:t>
            </w:r>
          </w:p>
        </w:tc>
        <w:tc>
          <w:tcPr>
            <w:tcW w:w="2410" w:type="dxa"/>
            <w:tcBorders>
              <w:top w:val="single" w:sz="4" w:space="0" w:color="auto"/>
              <w:bottom w:val="single" w:sz="4" w:space="0" w:color="auto"/>
            </w:tcBorders>
          </w:tcPr>
          <w:p w14:paraId="12C0E238" w14:textId="77777777" w:rsidR="007C6854" w:rsidRDefault="00E0219E">
            <w:pPr>
              <w:spacing w:line="259" w:lineRule="auto"/>
              <w:jc w:val="center"/>
              <w:rPr>
                <w:rFonts w:eastAsia="Arial" w:cs="Arial"/>
                <w:szCs w:val="24"/>
              </w:rPr>
            </w:pPr>
            <w:r>
              <w:rPr>
                <w:rFonts w:eastAsia="Arial" w:cs="Arial"/>
                <w:szCs w:val="24"/>
              </w:rPr>
              <w:t>Percentage</w:t>
            </w:r>
          </w:p>
        </w:tc>
      </w:tr>
      <w:tr w:rsidR="007C6854" w14:paraId="3317186B" w14:textId="77777777" w:rsidTr="006D2678">
        <w:tc>
          <w:tcPr>
            <w:tcW w:w="4248" w:type="dxa"/>
            <w:tcBorders>
              <w:top w:val="single" w:sz="4" w:space="0" w:color="auto"/>
            </w:tcBorders>
          </w:tcPr>
          <w:p w14:paraId="53D57C94" w14:textId="77777777" w:rsidR="007C6854" w:rsidRDefault="00E0219E">
            <w:pPr>
              <w:spacing w:line="259" w:lineRule="auto"/>
              <w:rPr>
                <w:rFonts w:eastAsia="Arial" w:cs="Arial"/>
                <w:szCs w:val="24"/>
              </w:rPr>
            </w:pPr>
            <w:r>
              <w:rPr>
                <w:rFonts w:eastAsia="Arial" w:cs="Arial"/>
                <w:szCs w:val="24"/>
              </w:rPr>
              <w:t>Normal BP</w:t>
            </w:r>
          </w:p>
        </w:tc>
        <w:tc>
          <w:tcPr>
            <w:tcW w:w="2409" w:type="dxa"/>
            <w:tcBorders>
              <w:top w:val="single" w:sz="4" w:space="0" w:color="auto"/>
            </w:tcBorders>
          </w:tcPr>
          <w:p w14:paraId="40191674" w14:textId="77777777" w:rsidR="007C6854" w:rsidRDefault="00E0219E">
            <w:pPr>
              <w:spacing w:line="259" w:lineRule="auto"/>
              <w:jc w:val="center"/>
              <w:rPr>
                <w:rFonts w:eastAsia="Arial" w:cs="Arial"/>
                <w:szCs w:val="24"/>
              </w:rPr>
            </w:pPr>
            <w:r>
              <w:rPr>
                <w:rFonts w:eastAsia="Arial" w:cs="Arial"/>
                <w:szCs w:val="24"/>
              </w:rPr>
              <w:t>9</w:t>
            </w:r>
          </w:p>
        </w:tc>
        <w:tc>
          <w:tcPr>
            <w:tcW w:w="2410" w:type="dxa"/>
            <w:tcBorders>
              <w:top w:val="single" w:sz="4" w:space="0" w:color="auto"/>
            </w:tcBorders>
          </w:tcPr>
          <w:p w14:paraId="1D7F2E12" w14:textId="77777777" w:rsidR="007C6854" w:rsidRDefault="00E0219E">
            <w:pPr>
              <w:spacing w:line="259" w:lineRule="auto"/>
              <w:jc w:val="center"/>
              <w:rPr>
                <w:rFonts w:eastAsia="Arial" w:cs="Arial"/>
                <w:szCs w:val="24"/>
              </w:rPr>
            </w:pPr>
            <w:r>
              <w:rPr>
                <w:rFonts w:eastAsia="Arial" w:cs="Arial"/>
                <w:szCs w:val="24"/>
              </w:rPr>
              <w:t>5.96</w:t>
            </w:r>
          </w:p>
        </w:tc>
      </w:tr>
      <w:tr w:rsidR="007C6854" w14:paraId="46CF6840" w14:textId="77777777" w:rsidTr="006D2678">
        <w:tc>
          <w:tcPr>
            <w:tcW w:w="4248" w:type="dxa"/>
          </w:tcPr>
          <w:p w14:paraId="18109D56" w14:textId="77777777" w:rsidR="007C6854" w:rsidRDefault="00E0219E">
            <w:pPr>
              <w:spacing w:line="259" w:lineRule="auto"/>
              <w:rPr>
                <w:rFonts w:eastAsia="Arial" w:cs="Arial"/>
                <w:szCs w:val="24"/>
              </w:rPr>
            </w:pPr>
            <w:r>
              <w:rPr>
                <w:rFonts w:eastAsia="Arial" w:cs="Arial"/>
                <w:szCs w:val="24"/>
              </w:rPr>
              <w:t>High-Normal BP</w:t>
            </w:r>
          </w:p>
        </w:tc>
        <w:tc>
          <w:tcPr>
            <w:tcW w:w="2409" w:type="dxa"/>
          </w:tcPr>
          <w:p w14:paraId="5070A543" w14:textId="77777777" w:rsidR="007C6854" w:rsidRDefault="00E0219E">
            <w:pPr>
              <w:spacing w:line="259" w:lineRule="auto"/>
              <w:jc w:val="center"/>
              <w:rPr>
                <w:rFonts w:eastAsia="Arial" w:cs="Arial"/>
                <w:szCs w:val="24"/>
              </w:rPr>
            </w:pPr>
            <w:r>
              <w:rPr>
                <w:rFonts w:eastAsia="Arial" w:cs="Arial"/>
                <w:szCs w:val="24"/>
              </w:rPr>
              <w:t>6</w:t>
            </w:r>
          </w:p>
        </w:tc>
        <w:tc>
          <w:tcPr>
            <w:tcW w:w="2410" w:type="dxa"/>
          </w:tcPr>
          <w:p w14:paraId="0C80DDF3" w14:textId="77777777" w:rsidR="007C6854" w:rsidRDefault="00E0219E">
            <w:pPr>
              <w:spacing w:line="259" w:lineRule="auto"/>
              <w:jc w:val="center"/>
              <w:rPr>
                <w:rFonts w:eastAsia="Arial" w:cs="Arial"/>
                <w:szCs w:val="24"/>
              </w:rPr>
            </w:pPr>
            <w:r>
              <w:rPr>
                <w:rFonts w:eastAsia="Arial" w:cs="Arial"/>
                <w:szCs w:val="24"/>
              </w:rPr>
              <w:t>3.97</w:t>
            </w:r>
          </w:p>
        </w:tc>
      </w:tr>
      <w:tr w:rsidR="007C6854" w14:paraId="372FACA5" w14:textId="77777777" w:rsidTr="006D2678">
        <w:tc>
          <w:tcPr>
            <w:tcW w:w="4248" w:type="dxa"/>
          </w:tcPr>
          <w:p w14:paraId="1DDF4933" w14:textId="77777777" w:rsidR="007C6854" w:rsidRDefault="00E0219E">
            <w:pPr>
              <w:spacing w:line="259" w:lineRule="auto"/>
              <w:rPr>
                <w:rFonts w:eastAsia="Arial" w:cs="Arial"/>
                <w:szCs w:val="24"/>
              </w:rPr>
            </w:pPr>
            <w:r>
              <w:rPr>
                <w:rFonts w:eastAsia="Arial" w:cs="Arial"/>
                <w:szCs w:val="24"/>
              </w:rPr>
              <w:t>Grade 1 HPN</w:t>
            </w:r>
          </w:p>
        </w:tc>
        <w:tc>
          <w:tcPr>
            <w:tcW w:w="2409" w:type="dxa"/>
          </w:tcPr>
          <w:p w14:paraId="1A07FD3A" w14:textId="77777777" w:rsidR="007C6854" w:rsidRDefault="00E0219E">
            <w:pPr>
              <w:spacing w:line="259" w:lineRule="auto"/>
              <w:jc w:val="center"/>
              <w:rPr>
                <w:rFonts w:eastAsia="Arial" w:cs="Arial"/>
                <w:szCs w:val="24"/>
              </w:rPr>
            </w:pPr>
            <w:r>
              <w:rPr>
                <w:rFonts w:eastAsia="Arial" w:cs="Arial"/>
                <w:szCs w:val="24"/>
              </w:rPr>
              <w:t>37</w:t>
            </w:r>
          </w:p>
        </w:tc>
        <w:tc>
          <w:tcPr>
            <w:tcW w:w="2410" w:type="dxa"/>
          </w:tcPr>
          <w:p w14:paraId="3F8A496D" w14:textId="77777777" w:rsidR="007C6854" w:rsidRDefault="00E0219E">
            <w:pPr>
              <w:spacing w:line="259" w:lineRule="auto"/>
              <w:jc w:val="center"/>
              <w:rPr>
                <w:rFonts w:eastAsia="Arial" w:cs="Arial"/>
                <w:szCs w:val="24"/>
              </w:rPr>
            </w:pPr>
            <w:r>
              <w:rPr>
                <w:rFonts w:eastAsia="Arial" w:cs="Arial"/>
                <w:szCs w:val="24"/>
              </w:rPr>
              <w:t>24.5</w:t>
            </w:r>
          </w:p>
        </w:tc>
      </w:tr>
      <w:tr w:rsidR="007C6854" w14:paraId="74882FC2" w14:textId="77777777" w:rsidTr="006D2678">
        <w:tc>
          <w:tcPr>
            <w:tcW w:w="4248" w:type="dxa"/>
            <w:tcBorders>
              <w:bottom w:val="single" w:sz="4" w:space="0" w:color="auto"/>
            </w:tcBorders>
          </w:tcPr>
          <w:p w14:paraId="3AFF0BCF" w14:textId="77777777" w:rsidR="007C6854" w:rsidRDefault="00E0219E">
            <w:pPr>
              <w:spacing w:line="259" w:lineRule="auto"/>
              <w:rPr>
                <w:rFonts w:eastAsia="Arial" w:cs="Arial"/>
                <w:szCs w:val="24"/>
              </w:rPr>
            </w:pPr>
            <w:r>
              <w:rPr>
                <w:rFonts w:eastAsia="Arial" w:cs="Arial"/>
                <w:szCs w:val="24"/>
              </w:rPr>
              <w:t>Grade 2 HPN</w:t>
            </w:r>
          </w:p>
        </w:tc>
        <w:tc>
          <w:tcPr>
            <w:tcW w:w="2409" w:type="dxa"/>
            <w:tcBorders>
              <w:bottom w:val="single" w:sz="4" w:space="0" w:color="auto"/>
            </w:tcBorders>
          </w:tcPr>
          <w:p w14:paraId="6574E42E" w14:textId="77777777" w:rsidR="007C6854" w:rsidRDefault="00E0219E">
            <w:pPr>
              <w:spacing w:line="259" w:lineRule="auto"/>
              <w:jc w:val="center"/>
              <w:rPr>
                <w:rFonts w:eastAsia="Arial" w:cs="Arial"/>
                <w:szCs w:val="24"/>
              </w:rPr>
            </w:pPr>
            <w:r>
              <w:rPr>
                <w:rFonts w:eastAsia="Arial" w:cs="Arial"/>
                <w:szCs w:val="24"/>
              </w:rPr>
              <w:t>99</w:t>
            </w:r>
          </w:p>
        </w:tc>
        <w:tc>
          <w:tcPr>
            <w:tcW w:w="2410" w:type="dxa"/>
            <w:tcBorders>
              <w:bottom w:val="single" w:sz="4" w:space="0" w:color="auto"/>
            </w:tcBorders>
          </w:tcPr>
          <w:p w14:paraId="5062ACB3" w14:textId="77777777" w:rsidR="007C6854" w:rsidRDefault="00E0219E">
            <w:pPr>
              <w:spacing w:line="259" w:lineRule="auto"/>
              <w:jc w:val="center"/>
              <w:rPr>
                <w:rFonts w:eastAsia="Arial" w:cs="Arial"/>
                <w:szCs w:val="24"/>
              </w:rPr>
            </w:pPr>
            <w:r>
              <w:rPr>
                <w:rFonts w:eastAsia="Arial" w:cs="Arial"/>
                <w:szCs w:val="24"/>
              </w:rPr>
              <w:t>65.56</w:t>
            </w:r>
          </w:p>
        </w:tc>
      </w:tr>
    </w:tbl>
    <w:p w14:paraId="250937AC" w14:textId="367F5CF0" w:rsidR="007C6854" w:rsidRPr="00F362B2" w:rsidRDefault="00E0219E" w:rsidP="00F362B2">
      <w:pPr>
        <w:pStyle w:val="Heading2"/>
        <w:spacing w:line="480" w:lineRule="auto"/>
        <w:rPr>
          <w:rFonts w:eastAsia="Arial" w:cs="Arial"/>
          <w:sz w:val="24"/>
          <w:szCs w:val="24"/>
        </w:rPr>
      </w:pPr>
      <w:bookmarkStart w:id="57" w:name="_heading=h.lr0f6mn76pr" w:colFirst="0" w:colLast="0"/>
      <w:bookmarkEnd w:id="57"/>
      <w:r>
        <w:rPr>
          <w:rFonts w:eastAsia="Arial" w:cs="Arial"/>
          <w:sz w:val="24"/>
          <w:szCs w:val="24"/>
        </w:rPr>
        <w:t>Health Literacy of Urban Poor Settlers</w:t>
      </w:r>
    </w:p>
    <w:p w14:paraId="6DA97E53" w14:textId="77777777" w:rsidR="007C6854" w:rsidRDefault="00E0219E" w:rsidP="00113E43">
      <w:pPr>
        <w:spacing w:after="160" w:line="480" w:lineRule="auto"/>
        <w:jc w:val="both"/>
        <w:rPr>
          <w:rFonts w:eastAsia="Arial" w:cs="Arial"/>
          <w:color w:val="111111"/>
          <w:szCs w:val="24"/>
          <w:highlight w:val="white"/>
        </w:rPr>
      </w:pPr>
      <w:r>
        <w:rPr>
          <w:rFonts w:eastAsia="Arial" w:cs="Arial"/>
          <w:szCs w:val="24"/>
        </w:rPr>
        <w:tab/>
        <w:t xml:space="preserve">Health literacy is important for health promotion. The World Health Organization (WHO, 2023) refers to health literacy based on the Ninth Global Conference on Health Promotion as “the ability of individuals to “gain access to, understand, and use information in ways which promote and maintain good health” for themselves, their families, and their communities. While different definitions are used and health literacy is an evolving concept, there is agreement that health literacy means more than simply being able to "read pamphlets", "make appointments", "understand food labels" or "comply with prescribed actions" from a doctor.” The questions on health literacy are framed in the context of hypertension. Although the question construct is designed as a general statement, the flow of the questionnaire was developed in the context of hypertension issues. On this basis, the research attempted to measure health literacy identified in the </w:t>
      </w:r>
      <w:proofErr w:type="spellStart"/>
      <w:r>
        <w:rPr>
          <w:rFonts w:eastAsia="Arial" w:cs="Arial"/>
          <w:szCs w:val="24"/>
        </w:rPr>
        <w:t>Nutbeam</w:t>
      </w:r>
      <w:proofErr w:type="spellEnd"/>
      <w:r>
        <w:rPr>
          <w:rFonts w:eastAsia="Arial" w:cs="Arial"/>
          <w:szCs w:val="24"/>
        </w:rPr>
        <w:t xml:space="preserve"> Schema adopted by Osborne, </w:t>
      </w:r>
      <w:proofErr w:type="spellStart"/>
      <w:r>
        <w:rPr>
          <w:rFonts w:eastAsia="Arial" w:cs="Arial"/>
          <w:szCs w:val="24"/>
        </w:rPr>
        <w:t>Batterham</w:t>
      </w:r>
      <w:proofErr w:type="spellEnd"/>
      <w:r>
        <w:rPr>
          <w:rFonts w:eastAsia="Arial" w:cs="Arial"/>
          <w:szCs w:val="24"/>
        </w:rPr>
        <w:t xml:space="preserve">, Elsworth, Hawkins, &amp; Buchbinder (2013), and measured the three domains of health literacy namely: Basic or Functional Health Literacy, Communicative or Interactive Health literacy, and Critical Health Literacy. The overall, or total, health literacy was also </w:t>
      </w:r>
      <w:r>
        <w:rPr>
          <w:rFonts w:eastAsia="Arial" w:cs="Arial"/>
          <w:szCs w:val="24"/>
        </w:rPr>
        <w:lastRenderedPageBreak/>
        <w:t xml:space="preserve">summarized to identify where the problem is in health literacy by identifying the median score. The Health literacy score interpretation utilized the idea of </w:t>
      </w:r>
      <w:r>
        <w:rPr>
          <w:rFonts w:eastAsia="Arial" w:cs="Arial"/>
          <w:color w:val="111111"/>
          <w:szCs w:val="24"/>
          <w:highlight w:val="white"/>
        </w:rPr>
        <w:t>Jeong, H.J. &amp; Lee, W.C. (2016) in categorizing a 5-point Likert scale, where less than 4 (scores of 1 to 3.99) were interpreted as low and 4 and above (scores of 4 to 5) as high.</w:t>
      </w:r>
    </w:p>
    <w:p w14:paraId="1A6022E0" w14:textId="77777777" w:rsidR="007C6854" w:rsidRDefault="00E0219E" w:rsidP="00113E43">
      <w:pPr>
        <w:spacing w:after="160" w:line="480" w:lineRule="auto"/>
        <w:ind w:firstLine="720"/>
        <w:jc w:val="both"/>
        <w:rPr>
          <w:rFonts w:eastAsia="Arial" w:cs="Arial"/>
          <w:color w:val="111111"/>
          <w:szCs w:val="24"/>
          <w:highlight w:val="white"/>
        </w:rPr>
      </w:pPr>
      <w:r>
        <w:rPr>
          <w:rFonts w:eastAsia="Arial" w:cs="Arial"/>
          <w:color w:val="111111"/>
          <w:szCs w:val="24"/>
          <w:highlight w:val="white"/>
        </w:rPr>
        <w:t>Tables 7 to 9 show which level of health literacy was problematic based on the nine health literacy questions considered in this research according to the health literacy domain: basic or functional health literacy, communicative or interactive health literacy, and critical health literacy.</w:t>
      </w:r>
    </w:p>
    <w:p w14:paraId="7526B46D" w14:textId="77777777" w:rsidR="007C6854" w:rsidRDefault="00E0219E" w:rsidP="00F362B2">
      <w:pPr>
        <w:pStyle w:val="Heading3"/>
        <w:spacing w:line="480" w:lineRule="auto"/>
        <w:rPr>
          <w:rFonts w:eastAsia="Arial" w:cs="Arial"/>
          <w:sz w:val="24"/>
          <w:szCs w:val="24"/>
        </w:rPr>
      </w:pPr>
      <w:bookmarkStart w:id="58" w:name="_heading=h.206ipza" w:colFirst="0" w:colLast="0"/>
      <w:bookmarkEnd w:id="58"/>
      <w:r>
        <w:rPr>
          <w:rFonts w:eastAsia="Arial" w:cs="Arial"/>
          <w:sz w:val="24"/>
          <w:szCs w:val="24"/>
        </w:rPr>
        <w:t>Basic or Functional Health Literacy</w:t>
      </w:r>
    </w:p>
    <w:p w14:paraId="2CD521C7" w14:textId="5E4AA255" w:rsidR="007C6854" w:rsidRDefault="00E0219E" w:rsidP="00F362B2">
      <w:pPr>
        <w:spacing w:after="160" w:line="480" w:lineRule="auto"/>
        <w:ind w:firstLine="720"/>
        <w:jc w:val="both"/>
        <w:rPr>
          <w:rFonts w:eastAsia="Arial" w:cs="Arial"/>
          <w:b/>
          <w:szCs w:val="24"/>
        </w:rPr>
      </w:pPr>
      <w:r>
        <w:rPr>
          <w:rFonts w:eastAsia="Arial" w:cs="Arial"/>
          <w:color w:val="111111"/>
          <w:szCs w:val="24"/>
          <w:highlight w:val="white"/>
        </w:rPr>
        <w:t xml:space="preserve">Basic Health Literacy refers to the basic skills acquired by an individual </w:t>
      </w:r>
      <w:proofErr w:type="gramStart"/>
      <w:r>
        <w:rPr>
          <w:rFonts w:eastAsia="Arial" w:cs="Arial"/>
          <w:color w:val="111111"/>
          <w:szCs w:val="24"/>
          <w:highlight w:val="white"/>
        </w:rPr>
        <w:t>in order for</w:t>
      </w:r>
      <w:proofErr w:type="gramEnd"/>
      <w:r>
        <w:rPr>
          <w:rFonts w:eastAsia="Arial" w:cs="Arial"/>
          <w:color w:val="111111"/>
          <w:szCs w:val="24"/>
          <w:highlight w:val="white"/>
        </w:rPr>
        <w:t xml:space="preserve"> him/her to function effectively in everyday situations. This involves the ability to read and write. In Table 7, it showed that “understanding health information well enough to know what to do” (Median = 3.8, IQR = 3–4.4) and “having sufficient information to manage my health” (Median = 3.33, IQR = 3–4) showed poor results. Indicating that most of our interviewed participants were having problems understanding health information that may aid them in dealing with their health concerns. Also, they felt that they lacked information on health, particularly on how to live a healthy life. This includes guidelines and policies that help them understand and act on their own health problems (Osborne, </w:t>
      </w:r>
      <w:proofErr w:type="spellStart"/>
      <w:r>
        <w:rPr>
          <w:rFonts w:eastAsia="Arial" w:cs="Arial"/>
          <w:color w:val="111111"/>
          <w:szCs w:val="24"/>
          <w:highlight w:val="white"/>
        </w:rPr>
        <w:t>Batterham</w:t>
      </w:r>
      <w:proofErr w:type="spellEnd"/>
      <w:r>
        <w:rPr>
          <w:rFonts w:eastAsia="Arial" w:cs="Arial"/>
          <w:color w:val="111111"/>
          <w:szCs w:val="24"/>
          <w:highlight w:val="white"/>
        </w:rPr>
        <w:t xml:space="preserve">, Elsworth, Hawkins, &amp; </w:t>
      </w:r>
      <w:proofErr w:type="spellStart"/>
      <w:r>
        <w:rPr>
          <w:rFonts w:eastAsia="Arial" w:cs="Arial"/>
          <w:color w:val="111111"/>
          <w:szCs w:val="24"/>
          <w:highlight w:val="white"/>
        </w:rPr>
        <w:t>Buchhinder</w:t>
      </w:r>
      <w:proofErr w:type="spellEnd"/>
      <w:r>
        <w:rPr>
          <w:rFonts w:eastAsia="Arial" w:cs="Arial"/>
          <w:color w:val="111111"/>
          <w:szCs w:val="24"/>
          <w:highlight w:val="white"/>
        </w:rPr>
        <w:t xml:space="preserve">, 2013). On the other hand, research respondents showed a high score in the question “Ability to find good health information” (Median = 4, IQR = 3–4). It only shows that even though they have problems understanding health information, the study participants took initiative in looking for alternatives to finding good health information. By definition, basic or functional literacy refers to sufficient basic skills in </w:t>
      </w:r>
      <w:r>
        <w:rPr>
          <w:rFonts w:eastAsia="Arial" w:cs="Arial"/>
          <w:color w:val="111111"/>
          <w:szCs w:val="24"/>
          <w:highlight w:val="white"/>
        </w:rPr>
        <w:lastRenderedPageBreak/>
        <w:t xml:space="preserve">reading and writing. This is important in understanding the context of the study participants. Most of our study participants did not finish secondary education and were older than 60 years of age. The study by </w:t>
      </w:r>
      <w:proofErr w:type="spellStart"/>
      <w:r>
        <w:rPr>
          <w:rFonts w:eastAsia="Arial" w:cs="Arial"/>
          <w:color w:val="111111"/>
          <w:szCs w:val="24"/>
          <w:highlight w:val="white"/>
        </w:rPr>
        <w:t>Tolabing</w:t>
      </w:r>
      <w:proofErr w:type="spellEnd"/>
      <w:r>
        <w:rPr>
          <w:rFonts w:eastAsia="Arial" w:cs="Arial"/>
          <w:color w:val="111111"/>
          <w:szCs w:val="24"/>
          <w:highlight w:val="white"/>
        </w:rPr>
        <w:t xml:space="preserve"> et al. (2022) showed that despite the Philippines, specifically the NCR, having a high literacy rate, her study resulted in a high prevalence of limited health literacy in the Philippines. Regardless, though high literacy is important, this does not guarantee a high level of health literacy (PSA, 2019; </w:t>
      </w:r>
      <w:proofErr w:type="spellStart"/>
      <w:r>
        <w:rPr>
          <w:rFonts w:eastAsia="Arial" w:cs="Arial"/>
          <w:color w:val="111111"/>
          <w:szCs w:val="24"/>
          <w:highlight w:val="white"/>
        </w:rPr>
        <w:t>Tolabing</w:t>
      </w:r>
      <w:proofErr w:type="spellEnd"/>
      <w:r>
        <w:rPr>
          <w:rFonts w:eastAsia="Arial" w:cs="Arial"/>
          <w:color w:val="111111"/>
          <w:szCs w:val="24"/>
          <w:highlight w:val="white"/>
        </w:rPr>
        <w:t xml:space="preserve"> et al., 2022; </w:t>
      </w:r>
      <w:proofErr w:type="spellStart"/>
      <w:r>
        <w:rPr>
          <w:rFonts w:eastAsia="Arial" w:cs="Arial"/>
          <w:color w:val="111111"/>
          <w:szCs w:val="24"/>
          <w:highlight w:val="white"/>
        </w:rPr>
        <w:t>Nutbeam</w:t>
      </w:r>
      <w:proofErr w:type="spellEnd"/>
      <w:r>
        <w:rPr>
          <w:rFonts w:eastAsia="Arial" w:cs="Arial"/>
          <w:color w:val="111111"/>
          <w:szCs w:val="24"/>
          <w:highlight w:val="white"/>
        </w:rPr>
        <w:t xml:space="preserve">, 2000). Moreover, </w:t>
      </w:r>
      <w:proofErr w:type="gramStart"/>
      <w:r>
        <w:rPr>
          <w:rFonts w:eastAsia="Arial" w:cs="Arial"/>
          <w:color w:val="111111"/>
          <w:szCs w:val="24"/>
          <w:highlight w:val="white"/>
        </w:rPr>
        <w:t>It</w:t>
      </w:r>
      <w:proofErr w:type="gramEnd"/>
      <w:r>
        <w:rPr>
          <w:rFonts w:eastAsia="Arial" w:cs="Arial"/>
          <w:color w:val="111111"/>
          <w:szCs w:val="24"/>
          <w:highlight w:val="white"/>
        </w:rPr>
        <w:t xml:space="preserve"> was found in a literature review that Filipinos aged 50–70 had problematic or inadequate health literacy levels, and it was seen among individuals with low educational status (Agosto, H.G. et al., 2018). This finding is important when designing health educational and promotional materials for specific groups of people. (WHO and DOH, 2009)</w:t>
      </w:r>
    </w:p>
    <w:p w14:paraId="077D9DD2" w14:textId="77777777" w:rsidR="007C6854" w:rsidRDefault="00E0219E" w:rsidP="00F362B2">
      <w:pPr>
        <w:spacing w:after="160" w:line="360" w:lineRule="auto"/>
        <w:rPr>
          <w:rFonts w:eastAsia="Arial" w:cs="Arial"/>
          <w:b/>
          <w:szCs w:val="24"/>
        </w:rPr>
      </w:pPr>
      <w:r>
        <w:rPr>
          <w:rFonts w:eastAsia="Arial" w:cs="Arial"/>
          <w:b/>
          <w:szCs w:val="24"/>
        </w:rPr>
        <w:t>Table 7</w:t>
      </w:r>
    </w:p>
    <w:p w14:paraId="791C428C" w14:textId="77777777" w:rsidR="007C6854" w:rsidRDefault="00E0219E" w:rsidP="00F362B2">
      <w:pPr>
        <w:spacing w:after="160" w:line="360" w:lineRule="auto"/>
        <w:jc w:val="both"/>
        <w:rPr>
          <w:rFonts w:eastAsia="Arial" w:cs="Arial"/>
          <w:i/>
          <w:szCs w:val="24"/>
        </w:rPr>
      </w:pPr>
      <w:r>
        <w:rPr>
          <w:rFonts w:eastAsia="Arial" w:cs="Arial"/>
          <w:i/>
          <w:szCs w:val="24"/>
        </w:rPr>
        <w:t>Median and Interquartile Range Health Literacy Scores of the Respondents by Basic Health Literacy Domains</w:t>
      </w:r>
    </w:p>
    <w:tbl>
      <w:tblPr>
        <w:tblStyle w:val="afff7"/>
        <w:tblW w:w="8926" w:type="dxa"/>
        <w:jc w:val="center"/>
        <w:tblLayout w:type="fixed"/>
        <w:tblLook w:val="0400" w:firstRow="0" w:lastRow="0" w:firstColumn="0" w:lastColumn="0" w:noHBand="0" w:noVBand="1"/>
      </w:tblPr>
      <w:tblGrid>
        <w:gridCol w:w="3125"/>
        <w:gridCol w:w="809"/>
        <w:gridCol w:w="1664"/>
        <w:gridCol w:w="1664"/>
        <w:gridCol w:w="1664"/>
      </w:tblGrid>
      <w:tr w:rsidR="007C6854" w14:paraId="08733A8C" w14:textId="77777777" w:rsidTr="00E36171">
        <w:trPr>
          <w:jc w:val="center"/>
        </w:trPr>
        <w:tc>
          <w:tcPr>
            <w:tcW w:w="3125" w:type="dxa"/>
            <w:tcBorders>
              <w:top w:val="single" w:sz="4" w:space="0" w:color="auto"/>
              <w:bottom w:val="single" w:sz="4" w:space="0" w:color="auto"/>
            </w:tcBorders>
            <w:vAlign w:val="center"/>
          </w:tcPr>
          <w:p w14:paraId="4C31FD14" w14:textId="77777777" w:rsidR="007C6854" w:rsidRDefault="00E0219E">
            <w:pPr>
              <w:spacing w:line="259" w:lineRule="auto"/>
              <w:rPr>
                <w:rFonts w:eastAsia="Arial" w:cs="Arial"/>
                <w:szCs w:val="24"/>
              </w:rPr>
            </w:pPr>
            <w:r>
              <w:rPr>
                <w:rFonts w:eastAsia="Arial" w:cs="Arial"/>
                <w:szCs w:val="24"/>
              </w:rPr>
              <w:t>Basic Health Literacy Domains</w:t>
            </w:r>
          </w:p>
        </w:tc>
        <w:tc>
          <w:tcPr>
            <w:tcW w:w="809" w:type="dxa"/>
            <w:tcBorders>
              <w:top w:val="single" w:sz="4" w:space="0" w:color="auto"/>
              <w:bottom w:val="single" w:sz="4" w:space="0" w:color="auto"/>
            </w:tcBorders>
            <w:vAlign w:val="center"/>
          </w:tcPr>
          <w:p w14:paraId="34C6CACC" w14:textId="77777777" w:rsidR="007C6854" w:rsidRDefault="00E0219E">
            <w:pPr>
              <w:spacing w:line="259" w:lineRule="auto"/>
              <w:jc w:val="center"/>
              <w:rPr>
                <w:rFonts w:eastAsia="Arial" w:cs="Arial"/>
                <w:szCs w:val="24"/>
              </w:rPr>
            </w:pPr>
            <w:r>
              <w:rPr>
                <w:rFonts w:eastAsia="Arial" w:cs="Arial"/>
                <w:szCs w:val="24"/>
              </w:rPr>
              <w:t>Freq</w:t>
            </w:r>
          </w:p>
        </w:tc>
        <w:tc>
          <w:tcPr>
            <w:tcW w:w="1664" w:type="dxa"/>
            <w:tcBorders>
              <w:top w:val="single" w:sz="4" w:space="0" w:color="auto"/>
              <w:bottom w:val="single" w:sz="4" w:space="0" w:color="auto"/>
            </w:tcBorders>
            <w:vAlign w:val="center"/>
          </w:tcPr>
          <w:p w14:paraId="495EC87A" w14:textId="77777777" w:rsidR="007C6854" w:rsidRDefault="00E0219E">
            <w:pPr>
              <w:spacing w:line="259" w:lineRule="auto"/>
              <w:jc w:val="center"/>
              <w:rPr>
                <w:rFonts w:eastAsia="Arial" w:cs="Arial"/>
                <w:szCs w:val="24"/>
              </w:rPr>
            </w:pPr>
            <w:r>
              <w:rPr>
                <w:rFonts w:eastAsia="Arial" w:cs="Arial"/>
                <w:szCs w:val="24"/>
              </w:rPr>
              <w:t>Median Health Literacy</w:t>
            </w:r>
          </w:p>
        </w:tc>
        <w:tc>
          <w:tcPr>
            <w:tcW w:w="1664" w:type="dxa"/>
            <w:tcBorders>
              <w:top w:val="single" w:sz="4" w:space="0" w:color="auto"/>
              <w:bottom w:val="single" w:sz="4" w:space="0" w:color="auto"/>
            </w:tcBorders>
            <w:vAlign w:val="center"/>
          </w:tcPr>
          <w:p w14:paraId="543DDE64" w14:textId="77777777" w:rsidR="007C6854" w:rsidRDefault="00E0219E">
            <w:pPr>
              <w:spacing w:line="259" w:lineRule="auto"/>
              <w:jc w:val="center"/>
              <w:rPr>
                <w:rFonts w:eastAsia="Arial" w:cs="Arial"/>
                <w:szCs w:val="24"/>
              </w:rPr>
            </w:pPr>
            <w:r>
              <w:rPr>
                <w:rFonts w:eastAsia="Arial" w:cs="Arial"/>
                <w:szCs w:val="24"/>
              </w:rPr>
              <w:t>Interquartile Range (IQR)</w:t>
            </w:r>
          </w:p>
        </w:tc>
        <w:tc>
          <w:tcPr>
            <w:tcW w:w="1664" w:type="dxa"/>
            <w:tcBorders>
              <w:top w:val="single" w:sz="4" w:space="0" w:color="auto"/>
              <w:bottom w:val="single" w:sz="4" w:space="0" w:color="auto"/>
            </w:tcBorders>
            <w:vAlign w:val="center"/>
          </w:tcPr>
          <w:p w14:paraId="648975A5" w14:textId="77777777" w:rsidR="007C6854" w:rsidRDefault="00E0219E">
            <w:pPr>
              <w:spacing w:line="259" w:lineRule="auto"/>
              <w:jc w:val="center"/>
              <w:rPr>
                <w:rFonts w:eastAsia="Arial" w:cs="Arial"/>
                <w:szCs w:val="24"/>
              </w:rPr>
            </w:pPr>
            <w:r>
              <w:rPr>
                <w:rFonts w:eastAsia="Arial" w:cs="Arial"/>
                <w:szCs w:val="24"/>
              </w:rPr>
              <w:t>Interpretation</w:t>
            </w:r>
          </w:p>
        </w:tc>
      </w:tr>
      <w:tr w:rsidR="007C6854" w14:paraId="7CB4DD9F" w14:textId="77777777" w:rsidTr="00E36171">
        <w:trPr>
          <w:jc w:val="center"/>
        </w:trPr>
        <w:tc>
          <w:tcPr>
            <w:tcW w:w="3125" w:type="dxa"/>
            <w:tcBorders>
              <w:top w:val="single" w:sz="4" w:space="0" w:color="auto"/>
            </w:tcBorders>
            <w:vAlign w:val="center"/>
          </w:tcPr>
          <w:p w14:paraId="4799CD26" w14:textId="77777777" w:rsidR="007C6854" w:rsidRDefault="00E0219E">
            <w:pPr>
              <w:spacing w:line="259" w:lineRule="auto"/>
              <w:rPr>
                <w:rFonts w:eastAsia="Arial" w:cs="Arial"/>
                <w:szCs w:val="24"/>
              </w:rPr>
            </w:pPr>
            <w:r>
              <w:rPr>
                <w:rFonts w:eastAsia="Arial" w:cs="Arial"/>
                <w:szCs w:val="24"/>
              </w:rPr>
              <w:t>Understand health information well enough to know what to do</w:t>
            </w:r>
          </w:p>
        </w:tc>
        <w:tc>
          <w:tcPr>
            <w:tcW w:w="809" w:type="dxa"/>
            <w:tcBorders>
              <w:top w:val="single" w:sz="4" w:space="0" w:color="auto"/>
            </w:tcBorders>
            <w:vAlign w:val="center"/>
          </w:tcPr>
          <w:p w14:paraId="725FFECC" w14:textId="77777777" w:rsidR="007C6854" w:rsidRDefault="00E0219E">
            <w:pPr>
              <w:spacing w:line="259" w:lineRule="auto"/>
              <w:jc w:val="center"/>
              <w:rPr>
                <w:rFonts w:eastAsia="Arial" w:cs="Arial"/>
                <w:szCs w:val="24"/>
              </w:rPr>
            </w:pPr>
            <w:r>
              <w:rPr>
                <w:rFonts w:eastAsia="Arial" w:cs="Arial"/>
                <w:szCs w:val="24"/>
              </w:rPr>
              <w:t>151</w:t>
            </w:r>
          </w:p>
        </w:tc>
        <w:tc>
          <w:tcPr>
            <w:tcW w:w="1664" w:type="dxa"/>
            <w:tcBorders>
              <w:top w:val="single" w:sz="4" w:space="0" w:color="auto"/>
            </w:tcBorders>
            <w:vAlign w:val="center"/>
          </w:tcPr>
          <w:p w14:paraId="67BEC9B3" w14:textId="77777777" w:rsidR="007C6854" w:rsidRDefault="00E0219E">
            <w:pPr>
              <w:spacing w:line="259" w:lineRule="auto"/>
              <w:jc w:val="center"/>
              <w:rPr>
                <w:rFonts w:eastAsia="Arial" w:cs="Arial"/>
                <w:szCs w:val="24"/>
              </w:rPr>
            </w:pPr>
            <w:r>
              <w:rPr>
                <w:rFonts w:eastAsia="Arial" w:cs="Arial"/>
                <w:szCs w:val="24"/>
              </w:rPr>
              <w:t>3.8</w:t>
            </w:r>
          </w:p>
        </w:tc>
        <w:tc>
          <w:tcPr>
            <w:tcW w:w="1664" w:type="dxa"/>
            <w:tcBorders>
              <w:top w:val="single" w:sz="4" w:space="0" w:color="auto"/>
            </w:tcBorders>
            <w:vAlign w:val="center"/>
          </w:tcPr>
          <w:p w14:paraId="1D4CBFF5" w14:textId="77777777" w:rsidR="007C6854" w:rsidRDefault="00E0219E">
            <w:pPr>
              <w:spacing w:line="259" w:lineRule="auto"/>
              <w:jc w:val="center"/>
              <w:rPr>
                <w:rFonts w:eastAsia="Arial" w:cs="Arial"/>
                <w:szCs w:val="24"/>
              </w:rPr>
            </w:pPr>
            <w:r>
              <w:rPr>
                <w:rFonts w:eastAsia="Arial" w:cs="Arial"/>
                <w:szCs w:val="24"/>
              </w:rPr>
              <w:t>3 - 4.4</w:t>
            </w:r>
          </w:p>
        </w:tc>
        <w:tc>
          <w:tcPr>
            <w:tcW w:w="1664" w:type="dxa"/>
            <w:tcBorders>
              <w:top w:val="single" w:sz="4" w:space="0" w:color="auto"/>
            </w:tcBorders>
            <w:vAlign w:val="center"/>
          </w:tcPr>
          <w:p w14:paraId="246CCB02" w14:textId="77777777" w:rsidR="007C6854" w:rsidRDefault="00E0219E">
            <w:pPr>
              <w:spacing w:line="259" w:lineRule="auto"/>
              <w:jc w:val="center"/>
              <w:rPr>
                <w:rFonts w:eastAsia="Arial" w:cs="Arial"/>
                <w:szCs w:val="24"/>
              </w:rPr>
            </w:pPr>
            <w:r>
              <w:rPr>
                <w:rFonts w:eastAsia="Arial" w:cs="Arial"/>
                <w:szCs w:val="24"/>
              </w:rPr>
              <w:t>Poor</w:t>
            </w:r>
          </w:p>
        </w:tc>
      </w:tr>
      <w:tr w:rsidR="007C6854" w14:paraId="2DC0B309" w14:textId="77777777" w:rsidTr="00E36171">
        <w:trPr>
          <w:jc w:val="center"/>
        </w:trPr>
        <w:tc>
          <w:tcPr>
            <w:tcW w:w="3125" w:type="dxa"/>
            <w:vAlign w:val="center"/>
          </w:tcPr>
          <w:p w14:paraId="41A70B0E" w14:textId="77777777" w:rsidR="007C6854" w:rsidRDefault="00E0219E">
            <w:pPr>
              <w:spacing w:line="259" w:lineRule="auto"/>
              <w:rPr>
                <w:rFonts w:eastAsia="Arial" w:cs="Arial"/>
                <w:szCs w:val="24"/>
              </w:rPr>
            </w:pPr>
            <w:r>
              <w:rPr>
                <w:rFonts w:eastAsia="Arial" w:cs="Arial"/>
                <w:szCs w:val="24"/>
              </w:rPr>
              <w:t>Having sufficient information to manage my health</w:t>
            </w:r>
          </w:p>
        </w:tc>
        <w:tc>
          <w:tcPr>
            <w:tcW w:w="809" w:type="dxa"/>
            <w:vAlign w:val="center"/>
          </w:tcPr>
          <w:p w14:paraId="40600050" w14:textId="77777777" w:rsidR="007C6854" w:rsidRDefault="00E0219E">
            <w:pPr>
              <w:spacing w:line="259" w:lineRule="auto"/>
              <w:jc w:val="center"/>
              <w:rPr>
                <w:rFonts w:eastAsia="Arial" w:cs="Arial"/>
                <w:szCs w:val="24"/>
              </w:rPr>
            </w:pPr>
            <w:r>
              <w:rPr>
                <w:rFonts w:eastAsia="Arial" w:cs="Arial"/>
                <w:szCs w:val="24"/>
              </w:rPr>
              <w:t>151</w:t>
            </w:r>
          </w:p>
        </w:tc>
        <w:tc>
          <w:tcPr>
            <w:tcW w:w="1664" w:type="dxa"/>
            <w:vAlign w:val="center"/>
          </w:tcPr>
          <w:p w14:paraId="3DF8C9F0" w14:textId="77777777" w:rsidR="007C6854" w:rsidRDefault="00E0219E">
            <w:pPr>
              <w:spacing w:line="259" w:lineRule="auto"/>
              <w:jc w:val="center"/>
              <w:rPr>
                <w:rFonts w:eastAsia="Arial" w:cs="Arial"/>
                <w:szCs w:val="24"/>
              </w:rPr>
            </w:pPr>
            <w:r>
              <w:rPr>
                <w:rFonts w:eastAsia="Arial" w:cs="Arial"/>
                <w:szCs w:val="24"/>
              </w:rPr>
              <w:t>3.33</w:t>
            </w:r>
          </w:p>
        </w:tc>
        <w:tc>
          <w:tcPr>
            <w:tcW w:w="1664" w:type="dxa"/>
            <w:vAlign w:val="center"/>
          </w:tcPr>
          <w:p w14:paraId="0C67E3F7" w14:textId="77777777" w:rsidR="007C6854" w:rsidRDefault="00E0219E">
            <w:pPr>
              <w:spacing w:line="259" w:lineRule="auto"/>
              <w:jc w:val="center"/>
              <w:rPr>
                <w:rFonts w:eastAsia="Arial" w:cs="Arial"/>
                <w:szCs w:val="24"/>
              </w:rPr>
            </w:pPr>
            <w:r>
              <w:rPr>
                <w:rFonts w:eastAsia="Arial" w:cs="Arial"/>
                <w:szCs w:val="24"/>
              </w:rPr>
              <w:t>3 - 4</w:t>
            </w:r>
          </w:p>
        </w:tc>
        <w:tc>
          <w:tcPr>
            <w:tcW w:w="1664" w:type="dxa"/>
            <w:vAlign w:val="center"/>
          </w:tcPr>
          <w:p w14:paraId="08A1442A" w14:textId="77777777" w:rsidR="007C6854" w:rsidRDefault="00E0219E">
            <w:pPr>
              <w:spacing w:line="259" w:lineRule="auto"/>
              <w:jc w:val="center"/>
              <w:rPr>
                <w:rFonts w:eastAsia="Arial" w:cs="Arial"/>
                <w:szCs w:val="24"/>
              </w:rPr>
            </w:pPr>
            <w:r>
              <w:rPr>
                <w:rFonts w:eastAsia="Arial" w:cs="Arial"/>
                <w:szCs w:val="24"/>
              </w:rPr>
              <w:t>Poor</w:t>
            </w:r>
          </w:p>
        </w:tc>
      </w:tr>
      <w:tr w:rsidR="007C6854" w14:paraId="4CDF1D2B" w14:textId="77777777" w:rsidTr="00E36171">
        <w:trPr>
          <w:jc w:val="center"/>
        </w:trPr>
        <w:tc>
          <w:tcPr>
            <w:tcW w:w="3125" w:type="dxa"/>
            <w:tcBorders>
              <w:bottom w:val="single" w:sz="4" w:space="0" w:color="auto"/>
            </w:tcBorders>
            <w:vAlign w:val="center"/>
          </w:tcPr>
          <w:p w14:paraId="54A12773" w14:textId="77777777" w:rsidR="007C6854" w:rsidRDefault="00E0219E">
            <w:pPr>
              <w:spacing w:line="259" w:lineRule="auto"/>
              <w:rPr>
                <w:rFonts w:eastAsia="Arial" w:cs="Arial"/>
                <w:szCs w:val="24"/>
              </w:rPr>
            </w:pPr>
            <w:r>
              <w:rPr>
                <w:rFonts w:eastAsia="Arial" w:cs="Arial"/>
                <w:szCs w:val="24"/>
              </w:rPr>
              <w:t>Ability to find good health information</w:t>
            </w:r>
          </w:p>
        </w:tc>
        <w:tc>
          <w:tcPr>
            <w:tcW w:w="809" w:type="dxa"/>
            <w:tcBorders>
              <w:bottom w:val="single" w:sz="4" w:space="0" w:color="auto"/>
            </w:tcBorders>
            <w:vAlign w:val="center"/>
          </w:tcPr>
          <w:p w14:paraId="4573560C" w14:textId="77777777" w:rsidR="007C6854" w:rsidRDefault="00E0219E">
            <w:pPr>
              <w:spacing w:line="259" w:lineRule="auto"/>
              <w:jc w:val="center"/>
              <w:rPr>
                <w:rFonts w:eastAsia="Arial" w:cs="Arial"/>
                <w:szCs w:val="24"/>
              </w:rPr>
            </w:pPr>
            <w:r>
              <w:rPr>
                <w:rFonts w:eastAsia="Arial" w:cs="Arial"/>
                <w:szCs w:val="24"/>
              </w:rPr>
              <w:t>151</w:t>
            </w:r>
          </w:p>
        </w:tc>
        <w:tc>
          <w:tcPr>
            <w:tcW w:w="1664" w:type="dxa"/>
            <w:tcBorders>
              <w:bottom w:val="single" w:sz="4" w:space="0" w:color="auto"/>
            </w:tcBorders>
            <w:vAlign w:val="center"/>
          </w:tcPr>
          <w:p w14:paraId="74B8DA15" w14:textId="77777777" w:rsidR="007C6854" w:rsidRDefault="00E0219E">
            <w:pPr>
              <w:spacing w:line="259" w:lineRule="auto"/>
              <w:jc w:val="center"/>
              <w:rPr>
                <w:rFonts w:eastAsia="Arial" w:cs="Arial"/>
                <w:szCs w:val="24"/>
              </w:rPr>
            </w:pPr>
            <w:r>
              <w:rPr>
                <w:rFonts w:eastAsia="Arial" w:cs="Arial"/>
                <w:szCs w:val="24"/>
              </w:rPr>
              <w:t>4</w:t>
            </w:r>
          </w:p>
        </w:tc>
        <w:tc>
          <w:tcPr>
            <w:tcW w:w="1664" w:type="dxa"/>
            <w:tcBorders>
              <w:bottom w:val="single" w:sz="4" w:space="0" w:color="auto"/>
            </w:tcBorders>
            <w:vAlign w:val="center"/>
          </w:tcPr>
          <w:p w14:paraId="72933BA8" w14:textId="77777777" w:rsidR="007C6854" w:rsidRDefault="00E0219E">
            <w:pPr>
              <w:spacing w:line="259" w:lineRule="auto"/>
              <w:jc w:val="center"/>
              <w:rPr>
                <w:rFonts w:eastAsia="Arial" w:cs="Arial"/>
                <w:szCs w:val="24"/>
              </w:rPr>
            </w:pPr>
            <w:r>
              <w:rPr>
                <w:rFonts w:eastAsia="Arial" w:cs="Arial"/>
                <w:szCs w:val="24"/>
              </w:rPr>
              <w:t>3 - 4</w:t>
            </w:r>
          </w:p>
        </w:tc>
        <w:tc>
          <w:tcPr>
            <w:tcW w:w="1664" w:type="dxa"/>
            <w:tcBorders>
              <w:bottom w:val="single" w:sz="4" w:space="0" w:color="auto"/>
            </w:tcBorders>
            <w:vAlign w:val="center"/>
          </w:tcPr>
          <w:p w14:paraId="156488C1" w14:textId="77777777" w:rsidR="007C6854" w:rsidRDefault="00E0219E">
            <w:pPr>
              <w:spacing w:line="259" w:lineRule="auto"/>
              <w:jc w:val="center"/>
              <w:rPr>
                <w:rFonts w:eastAsia="Arial" w:cs="Arial"/>
                <w:szCs w:val="24"/>
              </w:rPr>
            </w:pPr>
            <w:r>
              <w:rPr>
                <w:rFonts w:eastAsia="Arial" w:cs="Arial"/>
                <w:szCs w:val="24"/>
              </w:rPr>
              <w:t>High</w:t>
            </w:r>
          </w:p>
        </w:tc>
      </w:tr>
    </w:tbl>
    <w:p w14:paraId="266ED849" w14:textId="77777777" w:rsidR="007C6854" w:rsidRDefault="007C6854">
      <w:pPr>
        <w:spacing w:after="160" w:line="259" w:lineRule="auto"/>
        <w:rPr>
          <w:rFonts w:eastAsia="Arial" w:cs="Arial"/>
          <w:b/>
          <w:szCs w:val="24"/>
        </w:rPr>
      </w:pPr>
    </w:p>
    <w:p w14:paraId="1FC593F3" w14:textId="1E257DB1" w:rsidR="007C6854" w:rsidRPr="00F362B2" w:rsidRDefault="00E0219E" w:rsidP="00F362B2">
      <w:pPr>
        <w:pStyle w:val="Heading3"/>
        <w:spacing w:line="480" w:lineRule="auto"/>
        <w:rPr>
          <w:rFonts w:eastAsia="Arial" w:cs="Arial"/>
          <w:sz w:val="24"/>
          <w:szCs w:val="24"/>
        </w:rPr>
      </w:pPr>
      <w:bookmarkStart w:id="59" w:name="_heading=h.4k668n3" w:colFirst="0" w:colLast="0"/>
      <w:bookmarkEnd w:id="59"/>
      <w:r>
        <w:rPr>
          <w:rFonts w:eastAsia="Arial" w:cs="Arial"/>
          <w:sz w:val="24"/>
          <w:szCs w:val="24"/>
        </w:rPr>
        <w:lastRenderedPageBreak/>
        <w:t>Communicative or Interactive Health Literacy</w:t>
      </w:r>
    </w:p>
    <w:p w14:paraId="79C98C3E" w14:textId="77777777" w:rsidR="007C6854" w:rsidRDefault="00E0219E" w:rsidP="00F362B2">
      <w:pPr>
        <w:spacing w:after="160" w:line="480" w:lineRule="auto"/>
        <w:ind w:firstLine="720"/>
        <w:jc w:val="both"/>
        <w:rPr>
          <w:rFonts w:eastAsia="Arial" w:cs="Arial"/>
          <w:szCs w:val="24"/>
        </w:rPr>
      </w:pPr>
      <w:r>
        <w:rPr>
          <w:rFonts w:eastAsia="Arial" w:cs="Arial"/>
          <w:szCs w:val="24"/>
        </w:rPr>
        <w:t>Communicative or Interactive health literacy refers to the understanding of an individual's health in addition to social skills that can be useful for him/her to participate in everyday activities, extract information, derive meaning from different forms of communication, and apply new information to changing circumstances, including the COVID-19 pandemic. According to Table 8, study participants did not feel supported or understood when discussing their health concerns with the health provider (Median = 3.5, IQR = 3.5–4.4). Although this study did not investigate health providers' knowledge and attitudes, study participants' perceptions of "feeling understood and supported by healthcare providers" provided useful information about the quality of service provided by the health providers for their clients. This idea implies some assumptions. The COVID-19 pandemic limits the mobility of people, and that includes the healthcare workforce rendering services for the community. Since the survey was conducted during the pandemic, the respondents may have an idea of abandonment, and one coping strategy of the community could be seeking social support. There are also other negative impacts that may contribute to a low perception of feeling supported; these factors include feelings of anxiety, depression, and anger (</w:t>
      </w:r>
      <w:proofErr w:type="spellStart"/>
      <w:r>
        <w:rPr>
          <w:rFonts w:eastAsia="Arial" w:cs="Arial"/>
          <w:szCs w:val="24"/>
        </w:rPr>
        <w:t>Pietrabissa</w:t>
      </w:r>
      <w:proofErr w:type="spellEnd"/>
      <w:r>
        <w:rPr>
          <w:rFonts w:eastAsia="Arial" w:cs="Arial"/>
          <w:szCs w:val="24"/>
        </w:rPr>
        <w:t xml:space="preserve"> &amp; Simpson, 2020; Chew et al., 2020). Another issue could be the result of a breach of healthcare provider and patient confidentiality. The study by Tegegne et al. (2022) agrees with this assumption. The study pointed out that the majority of health providers participating in the study showed poor knowledge and favorable attitudes towards patients' confidentiality. However, according to </w:t>
      </w:r>
      <w:proofErr w:type="spellStart"/>
      <w:r>
        <w:rPr>
          <w:rFonts w:eastAsia="Arial" w:cs="Arial"/>
          <w:szCs w:val="24"/>
        </w:rPr>
        <w:t>Skirbekk</w:t>
      </w:r>
      <w:proofErr w:type="spellEnd"/>
      <w:r>
        <w:rPr>
          <w:rFonts w:eastAsia="Arial" w:cs="Arial"/>
          <w:szCs w:val="24"/>
        </w:rPr>
        <w:t xml:space="preserve">, Magelssen, &amp; Conradsen (2023), public trust in the healthcare system for patients with chronic diseases is high.  This issue is problematic if true because trust between clients and health providers is important. On the other hand, it is good to know that despite distrust </w:t>
      </w:r>
      <w:r>
        <w:rPr>
          <w:rFonts w:eastAsia="Arial" w:cs="Arial"/>
          <w:szCs w:val="24"/>
        </w:rPr>
        <w:lastRenderedPageBreak/>
        <w:t>of healthcare providers, study participants were actively managing their health; they had someone who cared for them; they knew where to go whenever they needed to seek health care; and lastly, they were able to find good health information, which is different from the other study in which study participants had difficulty finding good professional help whenever they needed it (Nakayama et al., 2015). To balance the issue of distrust, the COVID-19 pandemic disrupted not only our healthcare system but also spread false information and plagued our social media community. This misinformation due to false information is called an “infodemic”. Infodemics make people doubtful and confused when dealing with information and misinformation (Abdel-Latif, 2020).</w:t>
      </w:r>
      <w:r>
        <w:rPr>
          <w:rFonts w:eastAsia="Arial" w:cs="Arial"/>
          <w:b/>
          <w:szCs w:val="24"/>
        </w:rPr>
        <w:t xml:space="preserve"> </w:t>
      </w:r>
      <w:r>
        <w:rPr>
          <w:rFonts w:eastAsia="Arial" w:cs="Arial"/>
          <w:szCs w:val="24"/>
        </w:rPr>
        <w:t xml:space="preserve">However, this research also proves that in the following areas, such as "actively managing my health" (Median = 4, IQR = 3.3–4), "social support for health" (Median = 4, IQR = 3–4.2), "ability to actively engage with healthcare providers" (Median = 4, IQR = 3–4), "ability to navigate the healthcare system" (Median = 4, IQR = 3–4.4), and "ability to find good health information" (Median = 4, IQR = 3–4), the respondents did well. This is important because, even though the infodemic was rampant during the pandemic, these attitudes and skills are beneficial in managing hypertension. So, in developing communicative health literacy, a healthcare provider </w:t>
      </w:r>
      <w:proofErr w:type="gramStart"/>
      <w:r>
        <w:rPr>
          <w:rFonts w:eastAsia="Arial" w:cs="Arial"/>
          <w:szCs w:val="24"/>
        </w:rPr>
        <w:t>need</w:t>
      </w:r>
      <w:proofErr w:type="gramEnd"/>
      <w:r>
        <w:rPr>
          <w:rFonts w:eastAsia="Arial" w:cs="Arial"/>
          <w:szCs w:val="24"/>
        </w:rPr>
        <w:t xml:space="preserve"> to assess the level of health literacy of the clients in order for individuals to interact and communicate with them well (Tilahun, Abera, &amp; </w:t>
      </w:r>
      <w:proofErr w:type="spellStart"/>
      <w:r>
        <w:rPr>
          <w:rFonts w:eastAsia="Arial" w:cs="Arial"/>
          <w:szCs w:val="24"/>
        </w:rPr>
        <w:t>Nemera</w:t>
      </w:r>
      <w:proofErr w:type="spellEnd"/>
      <w:r>
        <w:rPr>
          <w:rFonts w:eastAsia="Arial" w:cs="Arial"/>
          <w:szCs w:val="24"/>
        </w:rPr>
        <w:t>, 2021).</w:t>
      </w:r>
    </w:p>
    <w:p w14:paraId="5B17C9DE" w14:textId="77777777" w:rsidR="001F45F6" w:rsidRDefault="001F45F6">
      <w:pPr>
        <w:rPr>
          <w:rFonts w:eastAsia="Arial" w:cs="Arial"/>
          <w:b/>
          <w:szCs w:val="24"/>
        </w:rPr>
      </w:pPr>
      <w:r>
        <w:rPr>
          <w:rFonts w:eastAsia="Arial" w:cs="Arial"/>
          <w:b/>
          <w:szCs w:val="24"/>
        </w:rPr>
        <w:br w:type="page"/>
      </w:r>
    </w:p>
    <w:p w14:paraId="441624DA" w14:textId="2D276343" w:rsidR="007C6854" w:rsidRDefault="00E0219E" w:rsidP="00F362B2">
      <w:pPr>
        <w:rPr>
          <w:rFonts w:eastAsia="Arial" w:cs="Arial"/>
          <w:b/>
          <w:szCs w:val="24"/>
        </w:rPr>
      </w:pPr>
      <w:r>
        <w:rPr>
          <w:rFonts w:eastAsia="Arial" w:cs="Arial"/>
          <w:b/>
          <w:szCs w:val="24"/>
        </w:rPr>
        <w:lastRenderedPageBreak/>
        <w:t>Table 8</w:t>
      </w:r>
    </w:p>
    <w:p w14:paraId="2090A2A1" w14:textId="77777777" w:rsidR="007C6854" w:rsidRDefault="00E0219E" w:rsidP="00F362B2">
      <w:pPr>
        <w:shd w:val="clear" w:color="auto" w:fill="FFFFFF"/>
        <w:spacing w:after="0" w:line="360" w:lineRule="auto"/>
        <w:jc w:val="both"/>
        <w:rPr>
          <w:rFonts w:eastAsia="Arial" w:cs="Arial"/>
          <w:i/>
          <w:szCs w:val="24"/>
        </w:rPr>
      </w:pPr>
      <w:r>
        <w:rPr>
          <w:rFonts w:eastAsia="Arial" w:cs="Arial"/>
          <w:i/>
          <w:szCs w:val="24"/>
        </w:rPr>
        <w:t>Median and Interquartile Range Health Literacy Scores of the Respondents by Communicative or Functional Health Literacy Domain</w:t>
      </w:r>
    </w:p>
    <w:p w14:paraId="67BBAF63" w14:textId="77777777" w:rsidR="007C6854" w:rsidRDefault="007C6854">
      <w:pPr>
        <w:shd w:val="clear" w:color="auto" w:fill="FFFFFF"/>
        <w:spacing w:after="0" w:line="240" w:lineRule="auto"/>
        <w:ind w:left="720"/>
        <w:rPr>
          <w:rFonts w:eastAsia="Arial" w:cs="Arial"/>
          <w:szCs w:val="24"/>
        </w:rPr>
      </w:pPr>
    </w:p>
    <w:tbl>
      <w:tblPr>
        <w:tblStyle w:val="afff8"/>
        <w:tblW w:w="8931" w:type="dxa"/>
        <w:jc w:val="center"/>
        <w:tblLayout w:type="fixed"/>
        <w:tblLook w:val="0400" w:firstRow="0" w:lastRow="0" w:firstColumn="0" w:lastColumn="0" w:noHBand="0" w:noVBand="1"/>
      </w:tblPr>
      <w:tblGrid>
        <w:gridCol w:w="3125"/>
        <w:gridCol w:w="788"/>
        <w:gridCol w:w="1672"/>
        <w:gridCol w:w="1673"/>
        <w:gridCol w:w="1673"/>
      </w:tblGrid>
      <w:tr w:rsidR="007C6854" w14:paraId="225CF84E" w14:textId="77777777" w:rsidTr="001F45F6">
        <w:trPr>
          <w:jc w:val="center"/>
        </w:trPr>
        <w:tc>
          <w:tcPr>
            <w:tcW w:w="3125" w:type="dxa"/>
            <w:tcBorders>
              <w:top w:val="single" w:sz="4" w:space="0" w:color="auto"/>
              <w:bottom w:val="single" w:sz="4" w:space="0" w:color="auto"/>
            </w:tcBorders>
            <w:vAlign w:val="center"/>
          </w:tcPr>
          <w:p w14:paraId="26444BF2" w14:textId="77777777" w:rsidR="007C6854" w:rsidRDefault="00E0219E">
            <w:pPr>
              <w:spacing w:line="259" w:lineRule="auto"/>
              <w:rPr>
                <w:rFonts w:eastAsia="Arial" w:cs="Arial"/>
                <w:szCs w:val="24"/>
              </w:rPr>
            </w:pPr>
            <w:r>
              <w:rPr>
                <w:rFonts w:eastAsia="Arial" w:cs="Arial"/>
                <w:szCs w:val="24"/>
              </w:rPr>
              <w:t>Communicative or Functional Health Literacy Domain</w:t>
            </w:r>
          </w:p>
        </w:tc>
        <w:tc>
          <w:tcPr>
            <w:tcW w:w="788" w:type="dxa"/>
            <w:tcBorders>
              <w:top w:val="single" w:sz="4" w:space="0" w:color="auto"/>
              <w:bottom w:val="single" w:sz="4" w:space="0" w:color="auto"/>
            </w:tcBorders>
            <w:vAlign w:val="center"/>
          </w:tcPr>
          <w:p w14:paraId="25225ABB" w14:textId="77777777" w:rsidR="007C6854" w:rsidRDefault="00E0219E">
            <w:pPr>
              <w:spacing w:line="259" w:lineRule="auto"/>
              <w:jc w:val="center"/>
              <w:rPr>
                <w:rFonts w:eastAsia="Arial" w:cs="Arial"/>
                <w:szCs w:val="24"/>
              </w:rPr>
            </w:pPr>
            <w:r>
              <w:rPr>
                <w:rFonts w:eastAsia="Arial" w:cs="Arial"/>
                <w:szCs w:val="24"/>
              </w:rPr>
              <w:t>Freq</w:t>
            </w:r>
          </w:p>
        </w:tc>
        <w:tc>
          <w:tcPr>
            <w:tcW w:w="1672" w:type="dxa"/>
            <w:tcBorders>
              <w:top w:val="single" w:sz="4" w:space="0" w:color="auto"/>
              <w:bottom w:val="single" w:sz="4" w:space="0" w:color="auto"/>
            </w:tcBorders>
            <w:vAlign w:val="center"/>
          </w:tcPr>
          <w:p w14:paraId="31FF8D47" w14:textId="77777777" w:rsidR="007C6854" w:rsidRDefault="00E0219E">
            <w:pPr>
              <w:spacing w:line="259" w:lineRule="auto"/>
              <w:jc w:val="center"/>
              <w:rPr>
                <w:rFonts w:eastAsia="Arial" w:cs="Arial"/>
                <w:szCs w:val="24"/>
              </w:rPr>
            </w:pPr>
            <w:r>
              <w:rPr>
                <w:rFonts w:eastAsia="Arial" w:cs="Arial"/>
                <w:szCs w:val="24"/>
              </w:rPr>
              <w:t>Median Health Literacy</w:t>
            </w:r>
          </w:p>
        </w:tc>
        <w:tc>
          <w:tcPr>
            <w:tcW w:w="1673" w:type="dxa"/>
            <w:tcBorders>
              <w:top w:val="single" w:sz="4" w:space="0" w:color="auto"/>
              <w:bottom w:val="single" w:sz="4" w:space="0" w:color="auto"/>
            </w:tcBorders>
            <w:vAlign w:val="center"/>
          </w:tcPr>
          <w:p w14:paraId="33DBB25D" w14:textId="77777777" w:rsidR="007C6854" w:rsidRDefault="00E0219E">
            <w:pPr>
              <w:spacing w:line="259" w:lineRule="auto"/>
              <w:jc w:val="center"/>
              <w:rPr>
                <w:rFonts w:eastAsia="Arial" w:cs="Arial"/>
                <w:szCs w:val="24"/>
              </w:rPr>
            </w:pPr>
            <w:r>
              <w:rPr>
                <w:rFonts w:eastAsia="Arial" w:cs="Arial"/>
                <w:szCs w:val="24"/>
              </w:rPr>
              <w:t>Interquartile Range (IQR)</w:t>
            </w:r>
          </w:p>
        </w:tc>
        <w:tc>
          <w:tcPr>
            <w:tcW w:w="1673" w:type="dxa"/>
            <w:tcBorders>
              <w:top w:val="single" w:sz="4" w:space="0" w:color="auto"/>
              <w:bottom w:val="single" w:sz="4" w:space="0" w:color="auto"/>
            </w:tcBorders>
            <w:vAlign w:val="center"/>
          </w:tcPr>
          <w:p w14:paraId="0E565DE6" w14:textId="77777777" w:rsidR="007C6854" w:rsidRDefault="00E0219E">
            <w:pPr>
              <w:spacing w:line="259" w:lineRule="auto"/>
              <w:jc w:val="center"/>
              <w:rPr>
                <w:rFonts w:eastAsia="Arial" w:cs="Arial"/>
                <w:szCs w:val="24"/>
              </w:rPr>
            </w:pPr>
            <w:r>
              <w:rPr>
                <w:rFonts w:eastAsia="Arial" w:cs="Arial"/>
                <w:szCs w:val="24"/>
              </w:rPr>
              <w:t>Interpretation</w:t>
            </w:r>
          </w:p>
        </w:tc>
      </w:tr>
      <w:tr w:rsidR="007C6854" w14:paraId="1CF425D5" w14:textId="77777777" w:rsidTr="001F45F6">
        <w:trPr>
          <w:jc w:val="center"/>
        </w:trPr>
        <w:tc>
          <w:tcPr>
            <w:tcW w:w="3125" w:type="dxa"/>
            <w:tcBorders>
              <w:top w:val="single" w:sz="4" w:space="0" w:color="auto"/>
            </w:tcBorders>
            <w:vAlign w:val="center"/>
          </w:tcPr>
          <w:p w14:paraId="63AE8134" w14:textId="77777777" w:rsidR="007C6854" w:rsidRDefault="00E0219E">
            <w:pPr>
              <w:spacing w:line="259" w:lineRule="auto"/>
              <w:rPr>
                <w:rFonts w:eastAsia="Arial" w:cs="Arial"/>
                <w:szCs w:val="24"/>
              </w:rPr>
            </w:pPr>
            <w:r>
              <w:rPr>
                <w:rFonts w:eastAsia="Arial" w:cs="Arial"/>
                <w:szCs w:val="24"/>
              </w:rPr>
              <w:t>Feeling understood and supported by healthcare providers</w:t>
            </w:r>
          </w:p>
        </w:tc>
        <w:tc>
          <w:tcPr>
            <w:tcW w:w="788" w:type="dxa"/>
            <w:tcBorders>
              <w:top w:val="single" w:sz="4" w:space="0" w:color="auto"/>
            </w:tcBorders>
            <w:vAlign w:val="center"/>
          </w:tcPr>
          <w:p w14:paraId="389FA2EC" w14:textId="77777777" w:rsidR="007C6854" w:rsidRDefault="00E0219E">
            <w:pPr>
              <w:spacing w:line="259" w:lineRule="auto"/>
              <w:jc w:val="center"/>
              <w:rPr>
                <w:rFonts w:eastAsia="Arial" w:cs="Arial"/>
                <w:szCs w:val="24"/>
              </w:rPr>
            </w:pPr>
            <w:r>
              <w:rPr>
                <w:rFonts w:eastAsia="Arial" w:cs="Arial"/>
                <w:szCs w:val="24"/>
              </w:rPr>
              <w:t>151</w:t>
            </w:r>
          </w:p>
        </w:tc>
        <w:tc>
          <w:tcPr>
            <w:tcW w:w="1672" w:type="dxa"/>
            <w:tcBorders>
              <w:top w:val="single" w:sz="4" w:space="0" w:color="auto"/>
            </w:tcBorders>
            <w:vAlign w:val="center"/>
          </w:tcPr>
          <w:p w14:paraId="5F3A1B50" w14:textId="77777777" w:rsidR="007C6854" w:rsidRDefault="00E0219E">
            <w:pPr>
              <w:spacing w:line="259" w:lineRule="auto"/>
              <w:jc w:val="center"/>
              <w:rPr>
                <w:rFonts w:eastAsia="Arial" w:cs="Arial"/>
                <w:szCs w:val="24"/>
              </w:rPr>
            </w:pPr>
            <w:r>
              <w:rPr>
                <w:rFonts w:eastAsia="Arial" w:cs="Arial"/>
                <w:szCs w:val="24"/>
              </w:rPr>
              <w:t>3.5</w:t>
            </w:r>
          </w:p>
        </w:tc>
        <w:tc>
          <w:tcPr>
            <w:tcW w:w="1673" w:type="dxa"/>
            <w:tcBorders>
              <w:top w:val="single" w:sz="4" w:space="0" w:color="auto"/>
            </w:tcBorders>
            <w:vAlign w:val="center"/>
          </w:tcPr>
          <w:p w14:paraId="5336B543" w14:textId="77777777" w:rsidR="007C6854" w:rsidRDefault="00E0219E">
            <w:pPr>
              <w:spacing w:line="259" w:lineRule="auto"/>
              <w:jc w:val="center"/>
              <w:rPr>
                <w:rFonts w:eastAsia="Arial" w:cs="Arial"/>
                <w:szCs w:val="24"/>
              </w:rPr>
            </w:pPr>
            <w:r>
              <w:rPr>
                <w:rFonts w:eastAsia="Arial" w:cs="Arial"/>
                <w:szCs w:val="24"/>
              </w:rPr>
              <w:t>3.5 - 4.4</w:t>
            </w:r>
          </w:p>
        </w:tc>
        <w:tc>
          <w:tcPr>
            <w:tcW w:w="1673" w:type="dxa"/>
            <w:tcBorders>
              <w:top w:val="single" w:sz="4" w:space="0" w:color="auto"/>
            </w:tcBorders>
            <w:vAlign w:val="center"/>
          </w:tcPr>
          <w:p w14:paraId="74D4A613" w14:textId="77777777" w:rsidR="007C6854" w:rsidRDefault="00E0219E">
            <w:pPr>
              <w:spacing w:line="259" w:lineRule="auto"/>
              <w:jc w:val="center"/>
              <w:rPr>
                <w:rFonts w:eastAsia="Arial" w:cs="Arial"/>
                <w:szCs w:val="24"/>
              </w:rPr>
            </w:pPr>
            <w:r>
              <w:rPr>
                <w:rFonts w:eastAsia="Arial" w:cs="Arial"/>
                <w:szCs w:val="24"/>
              </w:rPr>
              <w:t>Poor</w:t>
            </w:r>
          </w:p>
        </w:tc>
      </w:tr>
      <w:tr w:rsidR="007C6854" w14:paraId="18E38D12" w14:textId="77777777" w:rsidTr="001F45F6">
        <w:trPr>
          <w:jc w:val="center"/>
        </w:trPr>
        <w:tc>
          <w:tcPr>
            <w:tcW w:w="3125" w:type="dxa"/>
            <w:vAlign w:val="center"/>
          </w:tcPr>
          <w:p w14:paraId="5D5C2AD4" w14:textId="77777777" w:rsidR="007C6854" w:rsidRDefault="00E0219E">
            <w:pPr>
              <w:spacing w:line="259" w:lineRule="auto"/>
              <w:rPr>
                <w:rFonts w:eastAsia="Arial" w:cs="Arial"/>
                <w:szCs w:val="24"/>
              </w:rPr>
            </w:pPr>
            <w:r>
              <w:rPr>
                <w:rFonts w:eastAsia="Arial" w:cs="Arial"/>
                <w:szCs w:val="24"/>
              </w:rPr>
              <w:t>Actively managing my health</w:t>
            </w:r>
          </w:p>
        </w:tc>
        <w:tc>
          <w:tcPr>
            <w:tcW w:w="788" w:type="dxa"/>
            <w:vAlign w:val="center"/>
          </w:tcPr>
          <w:p w14:paraId="33E3E7AD" w14:textId="77777777" w:rsidR="007C6854" w:rsidRDefault="00E0219E">
            <w:pPr>
              <w:spacing w:line="259" w:lineRule="auto"/>
              <w:jc w:val="center"/>
              <w:rPr>
                <w:rFonts w:eastAsia="Arial" w:cs="Arial"/>
                <w:szCs w:val="24"/>
              </w:rPr>
            </w:pPr>
            <w:r>
              <w:rPr>
                <w:rFonts w:eastAsia="Arial" w:cs="Arial"/>
                <w:szCs w:val="24"/>
              </w:rPr>
              <w:t>151</w:t>
            </w:r>
          </w:p>
        </w:tc>
        <w:tc>
          <w:tcPr>
            <w:tcW w:w="1672" w:type="dxa"/>
            <w:vAlign w:val="center"/>
          </w:tcPr>
          <w:p w14:paraId="493B9776" w14:textId="77777777" w:rsidR="007C6854" w:rsidRDefault="00E0219E">
            <w:pPr>
              <w:spacing w:line="259" w:lineRule="auto"/>
              <w:jc w:val="center"/>
              <w:rPr>
                <w:rFonts w:eastAsia="Arial" w:cs="Arial"/>
                <w:szCs w:val="24"/>
              </w:rPr>
            </w:pPr>
            <w:r>
              <w:rPr>
                <w:rFonts w:eastAsia="Arial" w:cs="Arial"/>
                <w:szCs w:val="24"/>
              </w:rPr>
              <w:t>4</w:t>
            </w:r>
          </w:p>
        </w:tc>
        <w:tc>
          <w:tcPr>
            <w:tcW w:w="1673" w:type="dxa"/>
            <w:vAlign w:val="center"/>
          </w:tcPr>
          <w:p w14:paraId="0E2E6BE0" w14:textId="77777777" w:rsidR="007C6854" w:rsidRDefault="00E0219E">
            <w:pPr>
              <w:spacing w:line="259" w:lineRule="auto"/>
              <w:jc w:val="center"/>
              <w:rPr>
                <w:rFonts w:eastAsia="Arial" w:cs="Arial"/>
                <w:szCs w:val="24"/>
              </w:rPr>
            </w:pPr>
            <w:r>
              <w:rPr>
                <w:rFonts w:eastAsia="Arial" w:cs="Arial"/>
                <w:szCs w:val="24"/>
              </w:rPr>
              <w:t>3.3 - 4</w:t>
            </w:r>
          </w:p>
        </w:tc>
        <w:tc>
          <w:tcPr>
            <w:tcW w:w="1673" w:type="dxa"/>
            <w:vAlign w:val="center"/>
          </w:tcPr>
          <w:p w14:paraId="25ED3A55" w14:textId="77777777" w:rsidR="007C6854" w:rsidRDefault="00E0219E">
            <w:pPr>
              <w:spacing w:line="259" w:lineRule="auto"/>
              <w:jc w:val="center"/>
              <w:rPr>
                <w:rFonts w:eastAsia="Arial" w:cs="Arial"/>
                <w:szCs w:val="24"/>
              </w:rPr>
            </w:pPr>
            <w:r>
              <w:rPr>
                <w:rFonts w:eastAsia="Arial" w:cs="Arial"/>
                <w:szCs w:val="24"/>
              </w:rPr>
              <w:t>High</w:t>
            </w:r>
          </w:p>
        </w:tc>
      </w:tr>
      <w:tr w:rsidR="007C6854" w14:paraId="6019731C" w14:textId="77777777" w:rsidTr="001F45F6">
        <w:trPr>
          <w:jc w:val="center"/>
        </w:trPr>
        <w:tc>
          <w:tcPr>
            <w:tcW w:w="3125" w:type="dxa"/>
            <w:vAlign w:val="center"/>
          </w:tcPr>
          <w:p w14:paraId="6CA7BC3C" w14:textId="77777777" w:rsidR="007C6854" w:rsidRDefault="00E0219E">
            <w:pPr>
              <w:spacing w:line="259" w:lineRule="auto"/>
              <w:rPr>
                <w:rFonts w:eastAsia="Arial" w:cs="Arial"/>
                <w:szCs w:val="24"/>
              </w:rPr>
            </w:pPr>
            <w:r>
              <w:rPr>
                <w:rFonts w:eastAsia="Arial" w:cs="Arial"/>
                <w:szCs w:val="24"/>
              </w:rPr>
              <w:t>Social support for health</w:t>
            </w:r>
          </w:p>
        </w:tc>
        <w:tc>
          <w:tcPr>
            <w:tcW w:w="788" w:type="dxa"/>
            <w:vAlign w:val="center"/>
          </w:tcPr>
          <w:p w14:paraId="79ED3BAF" w14:textId="77777777" w:rsidR="007C6854" w:rsidRDefault="00E0219E">
            <w:pPr>
              <w:spacing w:line="259" w:lineRule="auto"/>
              <w:jc w:val="center"/>
              <w:rPr>
                <w:rFonts w:eastAsia="Arial" w:cs="Arial"/>
                <w:szCs w:val="24"/>
              </w:rPr>
            </w:pPr>
            <w:r>
              <w:rPr>
                <w:rFonts w:eastAsia="Arial" w:cs="Arial"/>
                <w:szCs w:val="24"/>
              </w:rPr>
              <w:t>151</w:t>
            </w:r>
          </w:p>
        </w:tc>
        <w:tc>
          <w:tcPr>
            <w:tcW w:w="1672" w:type="dxa"/>
            <w:vAlign w:val="center"/>
          </w:tcPr>
          <w:p w14:paraId="1D17AC60" w14:textId="77777777" w:rsidR="007C6854" w:rsidRDefault="00E0219E">
            <w:pPr>
              <w:spacing w:line="259" w:lineRule="auto"/>
              <w:jc w:val="center"/>
              <w:rPr>
                <w:rFonts w:eastAsia="Arial" w:cs="Arial"/>
                <w:szCs w:val="24"/>
              </w:rPr>
            </w:pPr>
            <w:r>
              <w:rPr>
                <w:rFonts w:eastAsia="Arial" w:cs="Arial"/>
                <w:szCs w:val="24"/>
              </w:rPr>
              <w:t>4</w:t>
            </w:r>
          </w:p>
        </w:tc>
        <w:tc>
          <w:tcPr>
            <w:tcW w:w="1673" w:type="dxa"/>
            <w:vAlign w:val="center"/>
          </w:tcPr>
          <w:p w14:paraId="303CA5D5" w14:textId="77777777" w:rsidR="007C6854" w:rsidRDefault="00E0219E">
            <w:pPr>
              <w:spacing w:line="259" w:lineRule="auto"/>
              <w:jc w:val="center"/>
              <w:rPr>
                <w:rFonts w:eastAsia="Arial" w:cs="Arial"/>
                <w:szCs w:val="24"/>
              </w:rPr>
            </w:pPr>
            <w:r>
              <w:rPr>
                <w:rFonts w:eastAsia="Arial" w:cs="Arial"/>
                <w:szCs w:val="24"/>
              </w:rPr>
              <w:t>3 - 4.2</w:t>
            </w:r>
          </w:p>
        </w:tc>
        <w:tc>
          <w:tcPr>
            <w:tcW w:w="1673" w:type="dxa"/>
            <w:vAlign w:val="center"/>
          </w:tcPr>
          <w:p w14:paraId="21B2B6BF" w14:textId="77777777" w:rsidR="007C6854" w:rsidRDefault="00E0219E">
            <w:pPr>
              <w:spacing w:line="259" w:lineRule="auto"/>
              <w:jc w:val="center"/>
              <w:rPr>
                <w:rFonts w:eastAsia="Arial" w:cs="Arial"/>
                <w:szCs w:val="24"/>
              </w:rPr>
            </w:pPr>
            <w:r>
              <w:rPr>
                <w:rFonts w:eastAsia="Arial" w:cs="Arial"/>
                <w:szCs w:val="24"/>
              </w:rPr>
              <w:t>High</w:t>
            </w:r>
          </w:p>
        </w:tc>
      </w:tr>
      <w:tr w:rsidR="007C6854" w14:paraId="65422276" w14:textId="77777777" w:rsidTr="001F45F6">
        <w:trPr>
          <w:jc w:val="center"/>
        </w:trPr>
        <w:tc>
          <w:tcPr>
            <w:tcW w:w="3125" w:type="dxa"/>
            <w:vAlign w:val="center"/>
          </w:tcPr>
          <w:p w14:paraId="4B61DC14" w14:textId="77777777" w:rsidR="007C6854" w:rsidRDefault="00E0219E">
            <w:pPr>
              <w:spacing w:line="259" w:lineRule="auto"/>
              <w:rPr>
                <w:rFonts w:eastAsia="Arial" w:cs="Arial"/>
                <w:color w:val="323232"/>
                <w:szCs w:val="24"/>
              </w:rPr>
            </w:pPr>
            <w:r>
              <w:rPr>
                <w:rFonts w:eastAsia="Arial" w:cs="Arial"/>
                <w:szCs w:val="24"/>
              </w:rPr>
              <w:t>Ability to actively engage with healthcare provider</w:t>
            </w:r>
          </w:p>
        </w:tc>
        <w:tc>
          <w:tcPr>
            <w:tcW w:w="788" w:type="dxa"/>
            <w:vAlign w:val="center"/>
          </w:tcPr>
          <w:p w14:paraId="0444BC1E" w14:textId="77777777" w:rsidR="007C6854" w:rsidRDefault="00E0219E">
            <w:pPr>
              <w:spacing w:line="259" w:lineRule="auto"/>
              <w:jc w:val="center"/>
              <w:rPr>
                <w:rFonts w:eastAsia="Arial" w:cs="Arial"/>
                <w:szCs w:val="24"/>
              </w:rPr>
            </w:pPr>
            <w:r>
              <w:rPr>
                <w:rFonts w:eastAsia="Arial" w:cs="Arial"/>
                <w:szCs w:val="24"/>
              </w:rPr>
              <w:t>151</w:t>
            </w:r>
          </w:p>
        </w:tc>
        <w:tc>
          <w:tcPr>
            <w:tcW w:w="1672" w:type="dxa"/>
            <w:vAlign w:val="center"/>
          </w:tcPr>
          <w:p w14:paraId="5BF17E00" w14:textId="77777777" w:rsidR="007C6854" w:rsidRDefault="00E0219E">
            <w:pPr>
              <w:spacing w:line="259" w:lineRule="auto"/>
              <w:jc w:val="center"/>
              <w:rPr>
                <w:rFonts w:eastAsia="Arial" w:cs="Arial"/>
                <w:szCs w:val="24"/>
              </w:rPr>
            </w:pPr>
            <w:r>
              <w:rPr>
                <w:rFonts w:eastAsia="Arial" w:cs="Arial"/>
                <w:szCs w:val="24"/>
              </w:rPr>
              <w:t>4</w:t>
            </w:r>
          </w:p>
        </w:tc>
        <w:tc>
          <w:tcPr>
            <w:tcW w:w="1673" w:type="dxa"/>
            <w:vAlign w:val="center"/>
          </w:tcPr>
          <w:p w14:paraId="5A7B9B31" w14:textId="77777777" w:rsidR="007C6854" w:rsidRDefault="00E0219E">
            <w:pPr>
              <w:spacing w:line="259" w:lineRule="auto"/>
              <w:jc w:val="center"/>
              <w:rPr>
                <w:rFonts w:eastAsia="Arial" w:cs="Arial"/>
                <w:szCs w:val="24"/>
              </w:rPr>
            </w:pPr>
            <w:r>
              <w:rPr>
                <w:rFonts w:eastAsia="Arial" w:cs="Arial"/>
                <w:szCs w:val="24"/>
              </w:rPr>
              <w:t>3 - 4</w:t>
            </w:r>
          </w:p>
        </w:tc>
        <w:tc>
          <w:tcPr>
            <w:tcW w:w="1673" w:type="dxa"/>
            <w:vAlign w:val="center"/>
          </w:tcPr>
          <w:p w14:paraId="52FD94CB" w14:textId="77777777" w:rsidR="007C6854" w:rsidRDefault="00E0219E">
            <w:pPr>
              <w:spacing w:line="259" w:lineRule="auto"/>
              <w:jc w:val="center"/>
              <w:rPr>
                <w:rFonts w:eastAsia="Arial" w:cs="Arial"/>
                <w:szCs w:val="24"/>
              </w:rPr>
            </w:pPr>
            <w:r>
              <w:rPr>
                <w:rFonts w:eastAsia="Arial" w:cs="Arial"/>
                <w:szCs w:val="24"/>
              </w:rPr>
              <w:t>High</w:t>
            </w:r>
          </w:p>
        </w:tc>
      </w:tr>
      <w:tr w:rsidR="007C6854" w14:paraId="58E70B2C" w14:textId="77777777" w:rsidTr="001F45F6">
        <w:trPr>
          <w:jc w:val="center"/>
        </w:trPr>
        <w:tc>
          <w:tcPr>
            <w:tcW w:w="3125" w:type="dxa"/>
            <w:vAlign w:val="center"/>
          </w:tcPr>
          <w:p w14:paraId="3530E63B" w14:textId="77777777" w:rsidR="007C6854" w:rsidRDefault="00E0219E">
            <w:pPr>
              <w:spacing w:line="259" w:lineRule="auto"/>
              <w:rPr>
                <w:rFonts w:eastAsia="Arial" w:cs="Arial"/>
                <w:color w:val="323232"/>
                <w:szCs w:val="24"/>
              </w:rPr>
            </w:pPr>
            <w:r>
              <w:rPr>
                <w:rFonts w:eastAsia="Arial" w:cs="Arial"/>
                <w:szCs w:val="24"/>
              </w:rPr>
              <w:t>Navigating the healthcare system</w:t>
            </w:r>
          </w:p>
        </w:tc>
        <w:tc>
          <w:tcPr>
            <w:tcW w:w="788" w:type="dxa"/>
            <w:vAlign w:val="center"/>
          </w:tcPr>
          <w:p w14:paraId="2FFD2559" w14:textId="77777777" w:rsidR="007C6854" w:rsidRDefault="00E0219E">
            <w:pPr>
              <w:spacing w:line="259" w:lineRule="auto"/>
              <w:jc w:val="center"/>
              <w:rPr>
                <w:rFonts w:eastAsia="Arial" w:cs="Arial"/>
                <w:szCs w:val="24"/>
              </w:rPr>
            </w:pPr>
            <w:r>
              <w:rPr>
                <w:rFonts w:eastAsia="Arial" w:cs="Arial"/>
                <w:szCs w:val="24"/>
              </w:rPr>
              <w:t>151</w:t>
            </w:r>
          </w:p>
        </w:tc>
        <w:tc>
          <w:tcPr>
            <w:tcW w:w="1672" w:type="dxa"/>
            <w:vAlign w:val="center"/>
          </w:tcPr>
          <w:p w14:paraId="1D8E9EDA" w14:textId="77777777" w:rsidR="007C6854" w:rsidRDefault="00E0219E">
            <w:pPr>
              <w:spacing w:line="259" w:lineRule="auto"/>
              <w:jc w:val="center"/>
              <w:rPr>
                <w:rFonts w:eastAsia="Arial" w:cs="Arial"/>
                <w:szCs w:val="24"/>
              </w:rPr>
            </w:pPr>
            <w:r>
              <w:rPr>
                <w:rFonts w:eastAsia="Arial" w:cs="Arial"/>
                <w:szCs w:val="24"/>
              </w:rPr>
              <w:t>4</w:t>
            </w:r>
          </w:p>
        </w:tc>
        <w:tc>
          <w:tcPr>
            <w:tcW w:w="1673" w:type="dxa"/>
            <w:vAlign w:val="center"/>
          </w:tcPr>
          <w:p w14:paraId="0370CAAB" w14:textId="77777777" w:rsidR="007C6854" w:rsidRDefault="00E0219E">
            <w:pPr>
              <w:spacing w:line="259" w:lineRule="auto"/>
              <w:jc w:val="center"/>
              <w:rPr>
                <w:rFonts w:eastAsia="Arial" w:cs="Arial"/>
                <w:szCs w:val="24"/>
              </w:rPr>
            </w:pPr>
            <w:r>
              <w:rPr>
                <w:rFonts w:eastAsia="Arial" w:cs="Arial"/>
                <w:szCs w:val="24"/>
              </w:rPr>
              <w:t>3 - 4.4</w:t>
            </w:r>
          </w:p>
        </w:tc>
        <w:tc>
          <w:tcPr>
            <w:tcW w:w="1673" w:type="dxa"/>
            <w:vAlign w:val="center"/>
          </w:tcPr>
          <w:p w14:paraId="191BC1D0" w14:textId="77777777" w:rsidR="007C6854" w:rsidRDefault="00E0219E">
            <w:pPr>
              <w:spacing w:line="259" w:lineRule="auto"/>
              <w:jc w:val="center"/>
              <w:rPr>
                <w:rFonts w:eastAsia="Arial" w:cs="Arial"/>
                <w:szCs w:val="24"/>
              </w:rPr>
            </w:pPr>
            <w:r>
              <w:rPr>
                <w:rFonts w:eastAsia="Arial" w:cs="Arial"/>
                <w:szCs w:val="24"/>
              </w:rPr>
              <w:t>High</w:t>
            </w:r>
          </w:p>
        </w:tc>
      </w:tr>
      <w:tr w:rsidR="007C6854" w14:paraId="6B483834" w14:textId="77777777" w:rsidTr="001F45F6">
        <w:trPr>
          <w:jc w:val="center"/>
        </w:trPr>
        <w:tc>
          <w:tcPr>
            <w:tcW w:w="3125" w:type="dxa"/>
            <w:tcBorders>
              <w:bottom w:val="single" w:sz="4" w:space="0" w:color="auto"/>
            </w:tcBorders>
            <w:vAlign w:val="center"/>
          </w:tcPr>
          <w:p w14:paraId="32A4832F" w14:textId="77777777" w:rsidR="007C6854" w:rsidRDefault="00E0219E">
            <w:pPr>
              <w:spacing w:line="259" w:lineRule="auto"/>
              <w:rPr>
                <w:rFonts w:eastAsia="Arial" w:cs="Arial"/>
                <w:szCs w:val="24"/>
              </w:rPr>
            </w:pPr>
            <w:r>
              <w:rPr>
                <w:rFonts w:eastAsia="Arial" w:cs="Arial"/>
                <w:szCs w:val="24"/>
              </w:rPr>
              <w:t>Ability to find good health information</w:t>
            </w:r>
          </w:p>
        </w:tc>
        <w:tc>
          <w:tcPr>
            <w:tcW w:w="788" w:type="dxa"/>
            <w:tcBorders>
              <w:bottom w:val="single" w:sz="4" w:space="0" w:color="auto"/>
            </w:tcBorders>
            <w:vAlign w:val="center"/>
          </w:tcPr>
          <w:p w14:paraId="6C4960A3" w14:textId="77777777" w:rsidR="007C6854" w:rsidRDefault="00E0219E">
            <w:pPr>
              <w:spacing w:line="259" w:lineRule="auto"/>
              <w:jc w:val="center"/>
              <w:rPr>
                <w:rFonts w:eastAsia="Arial" w:cs="Arial"/>
                <w:szCs w:val="24"/>
              </w:rPr>
            </w:pPr>
            <w:r>
              <w:rPr>
                <w:rFonts w:eastAsia="Arial" w:cs="Arial"/>
                <w:szCs w:val="24"/>
              </w:rPr>
              <w:t>151</w:t>
            </w:r>
          </w:p>
        </w:tc>
        <w:tc>
          <w:tcPr>
            <w:tcW w:w="1672" w:type="dxa"/>
            <w:tcBorders>
              <w:bottom w:val="single" w:sz="4" w:space="0" w:color="auto"/>
            </w:tcBorders>
            <w:vAlign w:val="center"/>
          </w:tcPr>
          <w:p w14:paraId="560D40C1" w14:textId="77777777" w:rsidR="007C6854" w:rsidRDefault="00E0219E">
            <w:pPr>
              <w:spacing w:line="259" w:lineRule="auto"/>
              <w:jc w:val="center"/>
              <w:rPr>
                <w:rFonts w:eastAsia="Arial" w:cs="Arial"/>
                <w:szCs w:val="24"/>
              </w:rPr>
            </w:pPr>
            <w:r>
              <w:rPr>
                <w:rFonts w:eastAsia="Arial" w:cs="Arial"/>
                <w:szCs w:val="24"/>
              </w:rPr>
              <w:t>4</w:t>
            </w:r>
          </w:p>
        </w:tc>
        <w:tc>
          <w:tcPr>
            <w:tcW w:w="1673" w:type="dxa"/>
            <w:tcBorders>
              <w:bottom w:val="single" w:sz="4" w:space="0" w:color="auto"/>
            </w:tcBorders>
            <w:vAlign w:val="center"/>
          </w:tcPr>
          <w:p w14:paraId="557A098C" w14:textId="77777777" w:rsidR="007C6854" w:rsidRDefault="00E0219E">
            <w:pPr>
              <w:spacing w:line="259" w:lineRule="auto"/>
              <w:jc w:val="center"/>
              <w:rPr>
                <w:rFonts w:eastAsia="Arial" w:cs="Arial"/>
                <w:szCs w:val="24"/>
              </w:rPr>
            </w:pPr>
            <w:r>
              <w:rPr>
                <w:rFonts w:eastAsia="Arial" w:cs="Arial"/>
                <w:szCs w:val="24"/>
              </w:rPr>
              <w:t>3 - 4</w:t>
            </w:r>
          </w:p>
        </w:tc>
        <w:tc>
          <w:tcPr>
            <w:tcW w:w="1673" w:type="dxa"/>
            <w:tcBorders>
              <w:bottom w:val="single" w:sz="4" w:space="0" w:color="auto"/>
            </w:tcBorders>
            <w:vAlign w:val="center"/>
          </w:tcPr>
          <w:p w14:paraId="45CD2D1B" w14:textId="77777777" w:rsidR="007C6854" w:rsidRDefault="00E0219E">
            <w:pPr>
              <w:spacing w:line="259" w:lineRule="auto"/>
              <w:jc w:val="center"/>
              <w:rPr>
                <w:rFonts w:eastAsia="Arial" w:cs="Arial"/>
                <w:szCs w:val="24"/>
              </w:rPr>
            </w:pPr>
            <w:r>
              <w:rPr>
                <w:rFonts w:eastAsia="Arial" w:cs="Arial"/>
                <w:szCs w:val="24"/>
              </w:rPr>
              <w:t>High</w:t>
            </w:r>
          </w:p>
        </w:tc>
      </w:tr>
    </w:tbl>
    <w:p w14:paraId="4CA10319" w14:textId="77777777" w:rsidR="007C6854" w:rsidRDefault="007C6854">
      <w:pPr>
        <w:spacing w:after="160" w:line="259" w:lineRule="auto"/>
        <w:rPr>
          <w:rFonts w:eastAsia="Arial" w:cs="Arial"/>
          <w:b/>
          <w:szCs w:val="24"/>
        </w:rPr>
      </w:pPr>
    </w:p>
    <w:p w14:paraId="2EB73368" w14:textId="48AB3D7D" w:rsidR="007C6854" w:rsidRPr="00F362B2" w:rsidRDefault="00E0219E" w:rsidP="00F362B2">
      <w:pPr>
        <w:pStyle w:val="Heading3"/>
        <w:spacing w:line="480" w:lineRule="auto"/>
        <w:rPr>
          <w:rFonts w:eastAsia="Arial" w:cs="Arial"/>
          <w:sz w:val="24"/>
          <w:szCs w:val="24"/>
        </w:rPr>
      </w:pPr>
      <w:bookmarkStart w:id="60" w:name="_heading=h.2zbgiuw" w:colFirst="0" w:colLast="0"/>
      <w:bookmarkEnd w:id="60"/>
      <w:r>
        <w:rPr>
          <w:rFonts w:eastAsia="Arial" w:cs="Arial"/>
          <w:sz w:val="24"/>
          <w:szCs w:val="24"/>
        </w:rPr>
        <w:t>Critical Health Literacy</w:t>
      </w:r>
    </w:p>
    <w:p w14:paraId="5AE99906" w14:textId="77777777" w:rsidR="001F45F6" w:rsidRDefault="00E0219E" w:rsidP="001F45F6">
      <w:pPr>
        <w:spacing w:after="160" w:line="480" w:lineRule="auto"/>
        <w:ind w:firstLine="720"/>
        <w:jc w:val="both"/>
        <w:rPr>
          <w:rFonts w:eastAsia="Arial" w:cs="Arial"/>
          <w:szCs w:val="24"/>
        </w:rPr>
      </w:pPr>
      <w:r>
        <w:rPr>
          <w:rFonts w:eastAsia="Arial" w:cs="Arial"/>
          <w:szCs w:val="24"/>
        </w:rPr>
        <w:t xml:space="preserve">In critical health literacy, it is the ability of the person to apply what he knows. Table 9 shows that the health literacy of the community is high on critical health literacy domains, namely, “appraisal of health information” (Median = 4, IQR = 3–4.6) and “actively managing my health” (Median = 4, IQR = 3–4). </w:t>
      </w:r>
    </w:p>
    <w:p w14:paraId="540D792C" w14:textId="597E3CA6" w:rsidR="007C6854" w:rsidRDefault="00E0219E" w:rsidP="001F45F6">
      <w:pPr>
        <w:spacing w:after="160" w:line="480" w:lineRule="auto"/>
        <w:ind w:firstLine="720"/>
        <w:jc w:val="both"/>
        <w:rPr>
          <w:rFonts w:eastAsia="Arial" w:cs="Arial"/>
          <w:szCs w:val="24"/>
        </w:rPr>
      </w:pPr>
      <w:r>
        <w:rPr>
          <w:rFonts w:eastAsia="Arial" w:cs="Arial"/>
          <w:szCs w:val="24"/>
        </w:rPr>
        <w:t xml:space="preserve">Understanding, appraising, and being able to apply health information is important. The Community of </w:t>
      </w:r>
      <w:proofErr w:type="spellStart"/>
      <w:r>
        <w:rPr>
          <w:rFonts w:eastAsia="Arial" w:cs="Arial"/>
          <w:szCs w:val="24"/>
        </w:rPr>
        <w:t>Bukuhan</w:t>
      </w:r>
      <w:proofErr w:type="spellEnd"/>
      <w:r>
        <w:rPr>
          <w:rFonts w:eastAsia="Arial" w:cs="Arial"/>
          <w:szCs w:val="24"/>
        </w:rPr>
        <w:t xml:space="preserve"> showed a high score in this aspect. However, the result from this research is different from other studies showing around 30% to 57% on limited health literacy dimensions, namely, understanding, appraising, and applying health literacy domains such as disease prevention and health promotion </w:t>
      </w:r>
      <w:r>
        <w:rPr>
          <w:rFonts w:eastAsia="Arial" w:cs="Arial"/>
          <w:szCs w:val="24"/>
        </w:rPr>
        <w:lastRenderedPageBreak/>
        <w:t>(</w:t>
      </w:r>
      <w:proofErr w:type="spellStart"/>
      <w:r>
        <w:rPr>
          <w:rFonts w:eastAsia="Arial" w:cs="Arial"/>
          <w:szCs w:val="24"/>
        </w:rPr>
        <w:t>Tolabing</w:t>
      </w:r>
      <w:proofErr w:type="spellEnd"/>
      <w:r>
        <w:rPr>
          <w:rFonts w:eastAsia="Arial" w:cs="Arial"/>
          <w:szCs w:val="24"/>
        </w:rPr>
        <w:t xml:space="preserve"> et al., 2022; HLS-EU Consortium, 2012). In my view, communicative or interactive health literacy has an impact on the outcome of critical health literacy in the community. For example, “Appraisal of health information” tells us that the community can evaluate or assess whether a piece of health information is beneficial or not. A good appraisal of health information is related to the “Ability to find good health information,” which connotes high communicative or interactive health literacy. Although in the study by </w:t>
      </w:r>
      <w:proofErr w:type="spellStart"/>
      <w:r>
        <w:rPr>
          <w:rFonts w:eastAsia="Arial" w:cs="Arial"/>
          <w:szCs w:val="24"/>
        </w:rPr>
        <w:t>Capelletti</w:t>
      </w:r>
      <w:proofErr w:type="spellEnd"/>
      <w:r>
        <w:rPr>
          <w:rFonts w:eastAsia="Arial" w:cs="Arial"/>
          <w:szCs w:val="24"/>
        </w:rPr>
        <w:t xml:space="preserve">, Greco, </w:t>
      </w:r>
      <w:proofErr w:type="spellStart"/>
      <w:r>
        <w:rPr>
          <w:rFonts w:eastAsia="Arial" w:cs="Arial"/>
          <w:szCs w:val="24"/>
        </w:rPr>
        <w:t>Maloberti</w:t>
      </w:r>
      <w:proofErr w:type="spellEnd"/>
      <w:r>
        <w:rPr>
          <w:rFonts w:eastAsia="Arial" w:cs="Arial"/>
          <w:szCs w:val="24"/>
        </w:rPr>
        <w:t xml:space="preserve">, et al. (2020), patients with hypertension showed a general decrease in desire for information and showed little interest in engaging with health professionals in communication as their disease progressed. The study, however, suggests that the Community of </w:t>
      </w:r>
      <w:proofErr w:type="spellStart"/>
      <w:r>
        <w:rPr>
          <w:rFonts w:eastAsia="Arial" w:cs="Arial"/>
          <w:szCs w:val="24"/>
        </w:rPr>
        <w:t>Bukuhan</w:t>
      </w:r>
      <w:proofErr w:type="spellEnd"/>
      <w:r>
        <w:rPr>
          <w:rFonts w:eastAsia="Arial" w:cs="Arial"/>
          <w:szCs w:val="24"/>
        </w:rPr>
        <w:t xml:space="preserve"> has the ability to engage with healthcare providers (Table 9). More so, “Actively managing my health” implied that the community knows what to do whenever they experience a health concern, in this context, hypertension. This can be associated with the high score in the ability to “Navigate the health care system”, which was a question under communicative or interactive health literacy. This is important because it only shows that the community may have high trust in the primary health care facility or the health center located in their area. This assumption is the same as the finding by Liu, Yin, Zheng, et al. (2019). In the study, it was shown that around 88% of hypertensive patients in Heilongjiang Province preferred to go to their village clinic. Further, the research is limited to general questions and does not evaluate the reasons for every question in the critical health literacy domains. Some topics could be explored, like 1) hypertension management administered by the primary health institution and 2) hypertension education from a primary care physician or health provider (Liu, Yin, Zheng, et al., 2019).</w:t>
      </w:r>
    </w:p>
    <w:p w14:paraId="7B236D5E" w14:textId="77777777" w:rsidR="001F45F6" w:rsidRDefault="001F45F6">
      <w:pPr>
        <w:rPr>
          <w:rFonts w:eastAsia="Arial" w:cs="Arial"/>
          <w:b/>
          <w:szCs w:val="24"/>
        </w:rPr>
      </w:pPr>
      <w:r>
        <w:rPr>
          <w:rFonts w:eastAsia="Arial" w:cs="Arial"/>
          <w:b/>
          <w:szCs w:val="24"/>
        </w:rPr>
        <w:br w:type="page"/>
      </w:r>
    </w:p>
    <w:p w14:paraId="5AA5020E" w14:textId="4EA06A86" w:rsidR="007C6854" w:rsidRDefault="00E0219E" w:rsidP="00F362B2">
      <w:pPr>
        <w:spacing w:after="160" w:line="360" w:lineRule="auto"/>
        <w:rPr>
          <w:rFonts w:eastAsia="Arial" w:cs="Arial"/>
          <w:b/>
          <w:szCs w:val="24"/>
        </w:rPr>
      </w:pPr>
      <w:r>
        <w:rPr>
          <w:rFonts w:eastAsia="Arial" w:cs="Arial"/>
          <w:b/>
          <w:szCs w:val="24"/>
        </w:rPr>
        <w:lastRenderedPageBreak/>
        <w:t>Table 9</w:t>
      </w:r>
    </w:p>
    <w:p w14:paraId="074CCB5A" w14:textId="77777777" w:rsidR="007C6854" w:rsidRDefault="00E0219E" w:rsidP="00F362B2">
      <w:pPr>
        <w:spacing w:after="160" w:line="360" w:lineRule="auto"/>
        <w:jc w:val="both"/>
        <w:rPr>
          <w:rFonts w:eastAsia="Arial" w:cs="Arial"/>
          <w:i/>
          <w:szCs w:val="24"/>
        </w:rPr>
      </w:pPr>
      <w:r>
        <w:rPr>
          <w:rFonts w:eastAsia="Arial" w:cs="Arial"/>
          <w:i/>
          <w:szCs w:val="24"/>
        </w:rPr>
        <w:t xml:space="preserve">Median and Interquartile Range Health Literacy Scores of the Respondents by Critical Health Literacy Domain </w:t>
      </w:r>
    </w:p>
    <w:tbl>
      <w:tblPr>
        <w:tblStyle w:val="afff9"/>
        <w:tblW w:w="8926" w:type="dxa"/>
        <w:jc w:val="center"/>
        <w:tblLayout w:type="fixed"/>
        <w:tblLook w:val="0400" w:firstRow="0" w:lastRow="0" w:firstColumn="0" w:lastColumn="0" w:noHBand="0" w:noVBand="1"/>
      </w:tblPr>
      <w:tblGrid>
        <w:gridCol w:w="3266"/>
        <w:gridCol w:w="788"/>
        <w:gridCol w:w="1580"/>
        <w:gridCol w:w="1580"/>
        <w:gridCol w:w="1712"/>
      </w:tblGrid>
      <w:tr w:rsidR="007C6854" w14:paraId="14DA3A1A" w14:textId="77777777" w:rsidTr="001F45F6">
        <w:trPr>
          <w:jc w:val="center"/>
        </w:trPr>
        <w:tc>
          <w:tcPr>
            <w:tcW w:w="3266" w:type="dxa"/>
            <w:tcBorders>
              <w:top w:val="single" w:sz="4" w:space="0" w:color="auto"/>
              <w:bottom w:val="single" w:sz="4" w:space="0" w:color="auto"/>
            </w:tcBorders>
            <w:vAlign w:val="center"/>
          </w:tcPr>
          <w:p w14:paraId="2821DD44" w14:textId="77777777" w:rsidR="007C6854" w:rsidRDefault="00E0219E">
            <w:pPr>
              <w:spacing w:line="259" w:lineRule="auto"/>
              <w:rPr>
                <w:rFonts w:eastAsia="Arial" w:cs="Arial"/>
                <w:szCs w:val="24"/>
              </w:rPr>
            </w:pPr>
            <w:r>
              <w:rPr>
                <w:rFonts w:eastAsia="Arial" w:cs="Arial"/>
                <w:szCs w:val="24"/>
              </w:rPr>
              <w:t>Critical Health Literacy Domain</w:t>
            </w:r>
          </w:p>
        </w:tc>
        <w:tc>
          <w:tcPr>
            <w:tcW w:w="788" w:type="dxa"/>
            <w:tcBorders>
              <w:top w:val="single" w:sz="4" w:space="0" w:color="auto"/>
              <w:bottom w:val="single" w:sz="4" w:space="0" w:color="auto"/>
            </w:tcBorders>
            <w:vAlign w:val="center"/>
          </w:tcPr>
          <w:p w14:paraId="36323B91" w14:textId="77777777" w:rsidR="007C6854" w:rsidRDefault="00E0219E">
            <w:pPr>
              <w:spacing w:line="259" w:lineRule="auto"/>
              <w:jc w:val="center"/>
              <w:rPr>
                <w:rFonts w:eastAsia="Arial" w:cs="Arial"/>
                <w:szCs w:val="24"/>
              </w:rPr>
            </w:pPr>
            <w:r>
              <w:rPr>
                <w:rFonts w:eastAsia="Arial" w:cs="Arial"/>
                <w:szCs w:val="24"/>
              </w:rPr>
              <w:t>Freq</w:t>
            </w:r>
          </w:p>
        </w:tc>
        <w:tc>
          <w:tcPr>
            <w:tcW w:w="1580" w:type="dxa"/>
            <w:tcBorders>
              <w:top w:val="single" w:sz="4" w:space="0" w:color="auto"/>
              <w:bottom w:val="single" w:sz="4" w:space="0" w:color="auto"/>
            </w:tcBorders>
            <w:vAlign w:val="center"/>
          </w:tcPr>
          <w:p w14:paraId="4023F68D" w14:textId="77777777" w:rsidR="007C6854" w:rsidRDefault="00E0219E">
            <w:pPr>
              <w:spacing w:line="259" w:lineRule="auto"/>
              <w:jc w:val="center"/>
              <w:rPr>
                <w:rFonts w:eastAsia="Arial" w:cs="Arial"/>
                <w:szCs w:val="24"/>
              </w:rPr>
            </w:pPr>
            <w:r>
              <w:rPr>
                <w:rFonts w:eastAsia="Arial" w:cs="Arial"/>
                <w:szCs w:val="24"/>
              </w:rPr>
              <w:t>Median Health Literacy</w:t>
            </w:r>
          </w:p>
        </w:tc>
        <w:tc>
          <w:tcPr>
            <w:tcW w:w="1580" w:type="dxa"/>
            <w:tcBorders>
              <w:top w:val="single" w:sz="4" w:space="0" w:color="auto"/>
              <w:bottom w:val="single" w:sz="4" w:space="0" w:color="auto"/>
            </w:tcBorders>
            <w:vAlign w:val="center"/>
          </w:tcPr>
          <w:p w14:paraId="3EB66700" w14:textId="77777777" w:rsidR="007C6854" w:rsidRDefault="00E0219E">
            <w:pPr>
              <w:spacing w:line="259" w:lineRule="auto"/>
              <w:jc w:val="center"/>
              <w:rPr>
                <w:rFonts w:eastAsia="Arial" w:cs="Arial"/>
                <w:szCs w:val="24"/>
              </w:rPr>
            </w:pPr>
            <w:r>
              <w:rPr>
                <w:rFonts w:eastAsia="Arial" w:cs="Arial"/>
                <w:szCs w:val="24"/>
              </w:rPr>
              <w:t>Interquartile Range (IQR)</w:t>
            </w:r>
          </w:p>
        </w:tc>
        <w:tc>
          <w:tcPr>
            <w:tcW w:w="1712" w:type="dxa"/>
            <w:tcBorders>
              <w:top w:val="single" w:sz="4" w:space="0" w:color="auto"/>
              <w:bottom w:val="single" w:sz="4" w:space="0" w:color="auto"/>
            </w:tcBorders>
            <w:vAlign w:val="center"/>
          </w:tcPr>
          <w:p w14:paraId="769A346D" w14:textId="77777777" w:rsidR="007C6854" w:rsidRDefault="00E0219E">
            <w:pPr>
              <w:spacing w:line="259" w:lineRule="auto"/>
              <w:jc w:val="center"/>
              <w:rPr>
                <w:rFonts w:eastAsia="Arial" w:cs="Arial"/>
                <w:szCs w:val="24"/>
              </w:rPr>
            </w:pPr>
            <w:r>
              <w:rPr>
                <w:rFonts w:eastAsia="Arial" w:cs="Arial"/>
                <w:szCs w:val="24"/>
              </w:rPr>
              <w:t>Interpretation</w:t>
            </w:r>
          </w:p>
        </w:tc>
      </w:tr>
      <w:tr w:rsidR="007C6854" w14:paraId="1C5380CB" w14:textId="77777777" w:rsidTr="001F45F6">
        <w:trPr>
          <w:jc w:val="center"/>
        </w:trPr>
        <w:tc>
          <w:tcPr>
            <w:tcW w:w="3266" w:type="dxa"/>
            <w:tcBorders>
              <w:top w:val="single" w:sz="4" w:space="0" w:color="auto"/>
            </w:tcBorders>
            <w:vAlign w:val="center"/>
          </w:tcPr>
          <w:p w14:paraId="12F3BEB5" w14:textId="77777777" w:rsidR="007C6854" w:rsidRDefault="00E0219E">
            <w:pPr>
              <w:spacing w:line="259" w:lineRule="auto"/>
              <w:rPr>
                <w:rFonts w:eastAsia="Arial" w:cs="Arial"/>
                <w:szCs w:val="24"/>
              </w:rPr>
            </w:pPr>
            <w:r>
              <w:rPr>
                <w:rFonts w:eastAsia="Arial" w:cs="Arial"/>
                <w:szCs w:val="24"/>
              </w:rPr>
              <w:t>Appraisal on Health Information</w:t>
            </w:r>
          </w:p>
        </w:tc>
        <w:tc>
          <w:tcPr>
            <w:tcW w:w="788" w:type="dxa"/>
            <w:tcBorders>
              <w:top w:val="single" w:sz="4" w:space="0" w:color="auto"/>
            </w:tcBorders>
            <w:vAlign w:val="center"/>
          </w:tcPr>
          <w:p w14:paraId="2BE7CF44" w14:textId="77777777" w:rsidR="007C6854" w:rsidRDefault="00E0219E">
            <w:pPr>
              <w:spacing w:line="259" w:lineRule="auto"/>
              <w:jc w:val="center"/>
              <w:rPr>
                <w:rFonts w:eastAsia="Arial" w:cs="Arial"/>
                <w:szCs w:val="24"/>
              </w:rPr>
            </w:pPr>
            <w:r>
              <w:rPr>
                <w:rFonts w:eastAsia="Arial" w:cs="Arial"/>
                <w:szCs w:val="24"/>
              </w:rPr>
              <w:t>151</w:t>
            </w:r>
          </w:p>
        </w:tc>
        <w:tc>
          <w:tcPr>
            <w:tcW w:w="1580" w:type="dxa"/>
            <w:tcBorders>
              <w:top w:val="single" w:sz="4" w:space="0" w:color="auto"/>
            </w:tcBorders>
            <w:vAlign w:val="center"/>
          </w:tcPr>
          <w:p w14:paraId="77072F4E" w14:textId="77777777" w:rsidR="007C6854" w:rsidRDefault="00E0219E">
            <w:pPr>
              <w:spacing w:line="259" w:lineRule="auto"/>
              <w:jc w:val="center"/>
              <w:rPr>
                <w:rFonts w:eastAsia="Arial" w:cs="Arial"/>
                <w:szCs w:val="24"/>
              </w:rPr>
            </w:pPr>
            <w:r>
              <w:rPr>
                <w:rFonts w:eastAsia="Arial" w:cs="Arial"/>
                <w:szCs w:val="24"/>
              </w:rPr>
              <w:t>4</w:t>
            </w:r>
          </w:p>
        </w:tc>
        <w:tc>
          <w:tcPr>
            <w:tcW w:w="1580" w:type="dxa"/>
            <w:tcBorders>
              <w:top w:val="single" w:sz="4" w:space="0" w:color="auto"/>
            </w:tcBorders>
            <w:vAlign w:val="center"/>
          </w:tcPr>
          <w:p w14:paraId="69AEA7BD" w14:textId="77777777" w:rsidR="007C6854" w:rsidRDefault="00E0219E">
            <w:pPr>
              <w:spacing w:line="259" w:lineRule="auto"/>
              <w:jc w:val="center"/>
              <w:rPr>
                <w:rFonts w:eastAsia="Arial" w:cs="Arial"/>
                <w:szCs w:val="24"/>
              </w:rPr>
            </w:pPr>
            <w:r>
              <w:rPr>
                <w:rFonts w:eastAsia="Arial" w:cs="Arial"/>
                <w:szCs w:val="24"/>
              </w:rPr>
              <w:t>3 - 4.6</w:t>
            </w:r>
          </w:p>
        </w:tc>
        <w:tc>
          <w:tcPr>
            <w:tcW w:w="1712" w:type="dxa"/>
            <w:tcBorders>
              <w:top w:val="single" w:sz="4" w:space="0" w:color="auto"/>
            </w:tcBorders>
            <w:vAlign w:val="center"/>
          </w:tcPr>
          <w:p w14:paraId="6C65E6C8" w14:textId="77777777" w:rsidR="007C6854" w:rsidRDefault="00E0219E">
            <w:pPr>
              <w:spacing w:line="259" w:lineRule="auto"/>
              <w:jc w:val="center"/>
              <w:rPr>
                <w:rFonts w:eastAsia="Arial" w:cs="Arial"/>
                <w:szCs w:val="24"/>
              </w:rPr>
            </w:pPr>
            <w:r>
              <w:rPr>
                <w:rFonts w:eastAsia="Arial" w:cs="Arial"/>
                <w:szCs w:val="24"/>
              </w:rPr>
              <w:t>High</w:t>
            </w:r>
          </w:p>
        </w:tc>
      </w:tr>
      <w:tr w:rsidR="007C6854" w14:paraId="4D15AD08" w14:textId="77777777" w:rsidTr="001F45F6">
        <w:trPr>
          <w:jc w:val="center"/>
        </w:trPr>
        <w:tc>
          <w:tcPr>
            <w:tcW w:w="3266" w:type="dxa"/>
            <w:tcBorders>
              <w:bottom w:val="single" w:sz="4" w:space="0" w:color="auto"/>
            </w:tcBorders>
            <w:vAlign w:val="center"/>
          </w:tcPr>
          <w:p w14:paraId="4A80A238" w14:textId="77777777" w:rsidR="007C6854" w:rsidRDefault="00E0219E">
            <w:pPr>
              <w:spacing w:line="259" w:lineRule="auto"/>
              <w:rPr>
                <w:rFonts w:eastAsia="Arial" w:cs="Arial"/>
                <w:szCs w:val="24"/>
              </w:rPr>
            </w:pPr>
            <w:r>
              <w:rPr>
                <w:rFonts w:eastAsia="Arial" w:cs="Arial"/>
                <w:szCs w:val="24"/>
              </w:rPr>
              <w:t>Actively managing my health</w:t>
            </w:r>
          </w:p>
        </w:tc>
        <w:tc>
          <w:tcPr>
            <w:tcW w:w="788" w:type="dxa"/>
            <w:tcBorders>
              <w:bottom w:val="single" w:sz="4" w:space="0" w:color="auto"/>
            </w:tcBorders>
            <w:vAlign w:val="center"/>
          </w:tcPr>
          <w:p w14:paraId="43DC1A35" w14:textId="77777777" w:rsidR="007C6854" w:rsidRDefault="00E0219E">
            <w:pPr>
              <w:spacing w:line="259" w:lineRule="auto"/>
              <w:jc w:val="center"/>
              <w:rPr>
                <w:rFonts w:eastAsia="Arial" w:cs="Arial"/>
                <w:szCs w:val="24"/>
              </w:rPr>
            </w:pPr>
            <w:r>
              <w:rPr>
                <w:rFonts w:eastAsia="Arial" w:cs="Arial"/>
                <w:szCs w:val="24"/>
              </w:rPr>
              <w:t>151</w:t>
            </w:r>
          </w:p>
        </w:tc>
        <w:tc>
          <w:tcPr>
            <w:tcW w:w="1580" w:type="dxa"/>
            <w:tcBorders>
              <w:bottom w:val="single" w:sz="4" w:space="0" w:color="auto"/>
            </w:tcBorders>
            <w:vAlign w:val="center"/>
          </w:tcPr>
          <w:p w14:paraId="6DE63140" w14:textId="77777777" w:rsidR="007C6854" w:rsidRDefault="00E0219E">
            <w:pPr>
              <w:spacing w:line="259" w:lineRule="auto"/>
              <w:jc w:val="center"/>
              <w:rPr>
                <w:rFonts w:eastAsia="Arial" w:cs="Arial"/>
                <w:szCs w:val="24"/>
              </w:rPr>
            </w:pPr>
            <w:r>
              <w:rPr>
                <w:rFonts w:eastAsia="Arial" w:cs="Arial"/>
                <w:szCs w:val="24"/>
              </w:rPr>
              <w:t>4</w:t>
            </w:r>
          </w:p>
        </w:tc>
        <w:tc>
          <w:tcPr>
            <w:tcW w:w="1580" w:type="dxa"/>
            <w:tcBorders>
              <w:bottom w:val="single" w:sz="4" w:space="0" w:color="auto"/>
            </w:tcBorders>
            <w:vAlign w:val="center"/>
          </w:tcPr>
          <w:p w14:paraId="32FC67D3" w14:textId="77777777" w:rsidR="007C6854" w:rsidRDefault="00E0219E">
            <w:pPr>
              <w:spacing w:line="259" w:lineRule="auto"/>
              <w:jc w:val="center"/>
              <w:rPr>
                <w:rFonts w:eastAsia="Arial" w:cs="Arial"/>
                <w:szCs w:val="24"/>
              </w:rPr>
            </w:pPr>
            <w:r>
              <w:rPr>
                <w:rFonts w:eastAsia="Arial" w:cs="Arial"/>
                <w:szCs w:val="24"/>
              </w:rPr>
              <w:t>3 - 4</w:t>
            </w:r>
          </w:p>
        </w:tc>
        <w:tc>
          <w:tcPr>
            <w:tcW w:w="1712" w:type="dxa"/>
            <w:tcBorders>
              <w:bottom w:val="single" w:sz="4" w:space="0" w:color="auto"/>
            </w:tcBorders>
            <w:vAlign w:val="center"/>
          </w:tcPr>
          <w:p w14:paraId="1827E1FF" w14:textId="77777777" w:rsidR="007C6854" w:rsidRDefault="00E0219E">
            <w:pPr>
              <w:spacing w:line="259" w:lineRule="auto"/>
              <w:jc w:val="center"/>
              <w:rPr>
                <w:rFonts w:eastAsia="Arial" w:cs="Arial"/>
                <w:szCs w:val="24"/>
              </w:rPr>
            </w:pPr>
            <w:r>
              <w:rPr>
                <w:rFonts w:eastAsia="Arial" w:cs="Arial"/>
                <w:szCs w:val="24"/>
              </w:rPr>
              <w:t>High</w:t>
            </w:r>
          </w:p>
        </w:tc>
      </w:tr>
    </w:tbl>
    <w:p w14:paraId="539BEAFD" w14:textId="77777777" w:rsidR="007C6854" w:rsidRDefault="007C6854">
      <w:pPr>
        <w:spacing w:after="160" w:line="259" w:lineRule="auto"/>
        <w:ind w:left="720"/>
        <w:rPr>
          <w:rFonts w:eastAsia="Arial" w:cs="Arial"/>
          <w:szCs w:val="24"/>
        </w:rPr>
      </w:pPr>
    </w:p>
    <w:p w14:paraId="5F9BE72F" w14:textId="6C79DDE5" w:rsidR="007C6854" w:rsidRPr="00F362B2" w:rsidRDefault="00E0219E" w:rsidP="00F362B2">
      <w:pPr>
        <w:pStyle w:val="Heading3"/>
        <w:spacing w:line="480" w:lineRule="auto"/>
        <w:rPr>
          <w:rFonts w:eastAsia="Arial" w:cs="Arial"/>
          <w:sz w:val="24"/>
          <w:szCs w:val="24"/>
          <w:highlight w:val="white"/>
        </w:rPr>
      </w:pPr>
      <w:bookmarkStart w:id="61" w:name="_heading=h.1egqt2p" w:colFirst="0" w:colLast="0"/>
      <w:bookmarkEnd w:id="61"/>
      <w:r>
        <w:rPr>
          <w:rFonts w:eastAsia="Arial" w:cs="Arial"/>
          <w:sz w:val="24"/>
          <w:szCs w:val="24"/>
          <w:highlight w:val="white"/>
        </w:rPr>
        <w:t>Overall or Total Health Literacy Score</w:t>
      </w:r>
    </w:p>
    <w:p w14:paraId="4492E45B" w14:textId="77777777" w:rsidR="00956858" w:rsidRDefault="00E0219E" w:rsidP="00956858">
      <w:pPr>
        <w:spacing w:after="160" w:line="480" w:lineRule="auto"/>
        <w:ind w:firstLine="720"/>
        <w:jc w:val="both"/>
        <w:rPr>
          <w:rFonts w:eastAsia="Arial" w:cs="Arial"/>
          <w:color w:val="111111"/>
          <w:szCs w:val="24"/>
          <w:highlight w:val="white"/>
        </w:rPr>
      </w:pPr>
      <w:r>
        <w:rPr>
          <w:rFonts w:eastAsia="Arial" w:cs="Arial"/>
          <w:color w:val="111111"/>
          <w:szCs w:val="24"/>
          <w:highlight w:val="white"/>
        </w:rPr>
        <w:t xml:space="preserve">Table 10 shows that the median value of total health literacy is 3.9 (IQR = 3.25–4.23). The total health literacy score in the Community of </w:t>
      </w:r>
      <w:proofErr w:type="spellStart"/>
      <w:r>
        <w:rPr>
          <w:rFonts w:eastAsia="Arial" w:cs="Arial"/>
          <w:color w:val="111111"/>
          <w:szCs w:val="24"/>
          <w:highlight w:val="white"/>
        </w:rPr>
        <w:t>Bukuhan</w:t>
      </w:r>
      <w:proofErr w:type="spellEnd"/>
      <w:r>
        <w:rPr>
          <w:rFonts w:eastAsia="Arial" w:cs="Arial"/>
          <w:color w:val="111111"/>
          <w:szCs w:val="24"/>
          <w:highlight w:val="white"/>
        </w:rPr>
        <w:t xml:space="preserve"> was interpreted as having poor health literacy. In comparison by level of health literacy, Basic Health Literacy (Median = 3.7, IQR = 3–4) and Communicative or Functional Health Literacy (Median = 3.9, IQR = 3.25–4.25) showed poor performance, while Critical Health Literacy (Median = 4, IQR = 3.5–4.3) was high.</w:t>
      </w:r>
    </w:p>
    <w:p w14:paraId="3CB28974" w14:textId="3D8F7BF3" w:rsidR="007C6854" w:rsidRDefault="00E0219E" w:rsidP="00956858">
      <w:pPr>
        <w:spacing w:after="160" w:line="480" w:lineRule="auto"/>
        <w:ind w:firstLine="720"/>
        <w:jc w:val="both"/>
        <w:rPr>
          <w:rFonts w:eastAsia="Arial" w:cs="Arial"/>
          <w:color w:val="111111"/>
          <w:szCs w:val="24"/>
          <w:highlight w:val="white"/>
        </w:rPr>
      </w:pPr>
      <w:r>
        <w:rPr>
          <w:rFonts w:eastAsia="Arial" w:cs="Arial"/>
          <w:color w:val="111111"/>
          <w:szCs w:val="24"/>
          <w:highlight w:val="white"/>
        </w:rPr>
        <w:t xml:space="preserve">Basic or functional health literacy is where the ability to read, comprehend, and write is measured in study participants. Some literature says that inadequate functional health literacy is a risk factor for serious illness and hospitalization (Baker et al., 2002; Tilahun et al., 2021). On the other hand, communicative and critical health literacy are important in ensuring patients access to quality health care, especially for patients with hypertension, and their ability to self-manage their condition (Tilahun, Abera, &amp; </w:t>
      </w:r>
      <w:proofErr w:type="spellStart"/>
      <w:r>
        <w:rPr>
          <w:rFonts w:eastAsia="Arial" w:cs="Arial"/>
          <w:color w:val="111111"/>
          <w:szCs w:val="24"/>
          <w:highlight w:val="white"/>
        </w:rPr>
        <w:t>Nemera</w:t>
      </w:r>
      <w:proofErr w:type="spellEnd"/>
      <w:r>
        <w:rPr>
          <w:rFonts w:eastAsia="Arial" w:cs="Arial"/>
          <w:color w:val="111111"/>
          <w:szCs w:val="24"/>
          <w:highlight w:val="white"/>
        </w:rPr>
        <w:t>, 2021; Shan et al., 2023).</w:t>
      </w:r>
    </w:p>
    <w:p w14:paraId="29C2B8D3" w14:textId="77777777" w:rsidR="00956858" w:rsidRDefault="00956858">
      <w:pPr>
        <w:rPr>
          <w:rFonts w:eastAsia="Arial" w:cs="Arial"/>
          <w:b/>
          <w:szCs w:val="24"/>
        </w:rPr>
      </w:pPr>
      <w:r>
        <w:rPr>
          <w:rFonts w:eastAsia="Arial" w:cs="Arial"/>
          <w:b/>
          <w:szCs w:val="24"/>
        </w:rPr>
        <w:br w:type="page"/>
      </w:r>
    </w:p>
    <w:p w14:paraId="284FF97D" w14:textId="5467B61F" w:rsidR="007C6854" w:rsidRDefault="00E0219E" w:rsidP="00F362B2">
      <w:pPr>
        <w:rPr>
          <w:rFonts w:eastAsia="Arial" w:cs="Arial"/>
          <w:b/>
          <w:szCs w:val="24"/>
        </w:rPr>
      </w:pPr>
      <w:r>
        <w:rPr>
          <w:rFonts w:eastAsia="Arial" w:cs="Arial"/>
          <w:b/>
          <w:szCs w:val="24"/>
        </w:rPr>
        <w:lastRenderedPageBreak/>
        <w:t xml:space="preserve">Table 10 </w:t>
      </w:r>
    </w:p>
    <w:p w14:paraId="1F22FBCA" w14:textId="77777777" w:rsidR="007C6854" w:rsidRDefault="00E0219E">
      <w:pPr>
        <w:spacing w:after="160" w:line="360" w:lineRule="auto"/>
        <w:jc w:val="both"/>
        <w:rPr>
          <w:rFonts w:eastAsia="Arial" w:cs="Arial"/>
          <w:i/>
          <w:szCs w:val="24"/>
        </w:rPr>
      </w:pPr>
      <w:r>
        <w:rPr>
          <w:rFonts w:eastAsia="Arial" w:cs="Arial"/>
          <w:i/>
          <w:szCs w:val="24"/>
        </w:rPr>
        <w:t>Median and Interquartile Range Health Literacy Score of the Respondents by Total Health Literacy and Health Literacy Domain (Basic health literacy, Communicative or Interactive health literacy, and Critical health literacy)</w:t>
      </w:r>
    </w:p>
    <w:tbl>
      <w:tblPr>
        <w:tblStyle w:val="afffa"/>
        <w:tblW w:w="8784" w:type="dxa"/>
        <w:jc w:val="center"/>
        <w:tblLayout w:type="fixed"/>
        <w:tblLook w:val="0400" w:firstRow="0" w:lastRow="0" w:firstColumn="0" w:lastColumn="0" w:noHBand="0" w:noVBand="1"/>
      </w:tblPr>
      <w:tblGrid>
        <w:gridCol w:w="2977"/>
        <w:gridCol w:w="860"/>
        <w:gridCol w:w="1649"/>
        <w:gridCol w:w="1649"/>
        <w:gridCol w:w="1649"/>
      </w:tblGrid>
      <w:tr w:rsidR="007C6854" w14:paraId="372E2AB0" w14:textId="77777777" w:rsidTr="00956858">
        <w:trPr>
          <w:jc w:val="center"/>
        </w:trPr>
        <w:tc>
          <w:tcPr>
            <w:tcW w:w="2977" w:type="dxa"/>
            <w:tcBorders>
              <w:top w:val="single" w:sz="4" w:space="0" w:color="auto"/>
              <w:bottom w:val="single" w:sz="4" w:space="0" w:color="auto"/>
            </w:tcBorders>
            <w:vAlign w:val="center"/>
          </w:tcPr>
          <w:p w14:paraId="1C2243E2" w14:textId="77777777" w:rsidR="007C6854" w:rsidRDefault="007C6854">
            <w:pPr>
              <w:spacing w:line="259" w:lineRule="auto"/>
              <w:rPr>
                <w:rFonts w:eastAsia="Arial" w:cs="Arial"/>
                <w:szCs w:val="24"/>
              </w:rPr>
            </w:pPr>
          </w:p>
        </w:tc>
        <w:tc>
          <w:tcPr>
            <w:tcW w:w="860" w:type="dxa"/>
            <w:tcBorders>
              <w:top w:val="single" w:sz="4" w:space="0" w:color="auto"/>
              <w:bottom w:val="single" w:sz="4" w:space="0" w:color="auto"/>
            </w:tcBorders>
            <w:vAlign w:val="center"/>
          </w:tcPr>
          <w:p w14:paraId="69930439" w14:textId="77777777" w:rsidR="007C6854" w:rsidRDefault="00E0219E">
            <w:pPr>
              <w:spacing w:line="259" w:lineRule="auto"/>
              <w:jc w:val="center"/>
              <w:rPr>
                <w:rFonts w:eastAsia="Arial" w:cs="Arial"/>
                <w:szCs w:val="24"/>
              </w:rPr>
            </w:pPr>
            <w:r>
              <w:rPr>
                <w:rFonts w:eastAsia="Arial" w:cs="Arial"/>
                <w:szCs w:val="24"/>
              </w:rPr>
              <w:t>Freq</w:t>
            </w:r>
          </w:p>
        </w:tc>
        <w:tc>
          <w:tcPr>
            <w:tcW w:w="1649" w:type="dxa"/>
            <w:tcBorders>
              <w:top w:val="single" w:sz="4" w:space="0" w:color="auto"/>
              <w:bottom w:val="single" w:sz="4" w:space="0" w:color="auto"/>
            </w:tcBorders>
            <w:vAlign w:val="center"/>
          </w:tcPr>
          <w:p w14:paraId="4815F7B7" w14:textId="77777777" w:rsidR="007C6854" w:rsidRDefault="00E0219E">
            <w:pPr>
              <w:spacing w:line="259" w:lineRule="auto"/>
              <w:jc w:val="center"/>
              <w:rPr>
                <w:rFonts w:eastAsia="Arial" w:cs="Arial"/>
                <w:szCs w:val="24"/>
              </w:rPr>
            </w:pPr>
            <w:r>
              <w:rPr>
                <w:rFonts w:eastAsia="Arial" w:cs="Arial"/>
                <w:szCs w:val="24"/>
              </w:rPr>
              <w:t>Median Health Literacy</w:t>
            </w:r>
          </w:p>
        </w:tc>
        <w:tc>
          <w:tcPr>
            <w:tcW w:w="1649" w:type="dxa"/>
            <w:tcBorders>
              <w:top w:val="single" w:sz="4" w:space="0" w:color="auto"/>
              <w:bottom w:val="single" w:sz="4" w:space="0" w:color="auto"/>
            </w:tcBorders>
            <w:vAlign w:val="center"/>
          </w:tcPr>
          <w:p w14:paraId="0DCD0EBC" w14:textId="77777777" w:rsidR="007C6854" w:rsidRDefault="00E0219E">
            <w:pPr>
              <w:spacing w:line="259" w:lineRule="auto"/>
              <w:jc w:val="center"/>
              <w:rPr>
                <w:rFonts w:eastAsia="Arial" w:cs="Arial"/>
                <w:szCs w:val="24"/>
              </w:rPr>
            </w:pPr>
            <w:r>
              <w:rPr>
                <w:rFonts w:eastAsia="Arial" w:cs="Arial"/>
                <w:szCs w:val="24"/>
              </w:rPr>
              <w:t>Interquartile Range (IQR)</w:t>
            </w:r>
          </w:p>
        </w:tc>
        <w:tc>
          <w:tcPr>
            <w:tcW w:w="1649" w:type="dxa"/>
            <w:tcBorders>
              <w:top w:val="single" w:sz="4" w:space="0" w:color="auto"/>
              <w:bottom w:val="single" w:sz="4" w:space="0" w:color="auto"/>
            </w:tcBorders>
            <w:vAlign w:val="center"/>
          </w:tcPr>
          <w:p w14:paraId="0EBB0151" w14:textId="77777777" w:rsidR="007C6854" w:rsidRDefault="00E0219E">
            <w:pPr>
              <w:spacing w:line="259" w:lineRule="auto"/>
              <w:jc w:val="center"/>
              <w:rPr>
                <w:rFonts w:eastAsia="Arial" w:cs="Arial"/>
                <w:szCs w:val="24"/>
              </w:rPr>
            </w:pPr>
            <w:r>
              <w:rPr>
                <w:rFonts w:eastAsia="Arial" w:cs="Arial"/>
                <w:szCs w:val="24"/>
              </w:rPr>
              <w:t>Interpretation</w:t>
            </w:r>
          </w:p>
        </w:tc>
      </w:tr>
      <w:tr w:rsidR="007C6854" w14:paraId="19E0BC6B" w14:textId="77777777" w:rsidTr="00956858">
        <w:trPr>
          <w:jc w:val="center"/>
        </w:trPr>
        <w:tc>
          <w:tcPr>
            <w:tcW w:w="2977" w:type="dxa"/>
            <w:tcBorders>
              <w:top w:val="single" w:sz="4" w:space="0" w:color="auto"/>
            </w:tcBorders>
            <w:vAlign w:val="center"/>
          </w:tcPr>
          <w:p w14:paraId="01286680" w14:textId="77777777" w:rsidR="007C6854" w:rsidRDefault="00E0219E">
            <w:pPr>
              <w:spacing w:line="259" w:lineRule="auto"/>
              <w:rPr>
                <w:rFonts w:eastAsia="Arial" w:cs="Arial"/>
                <w:szCs w:val="24"/>
              </w:rPr>
            </w:pPr>
            <w:r>
              <w:rPr>
                <w:rFonts w:eastAsia="Arial" w:cs="Arial"/>
                <w:szCs w:val="24"/>
              </w:rPr>
              <w:t>Total Health Literacy</w:t>
            </w:r>
          </w:p>
        </w:tc>
        <w:tc>
          <w:tcPr>
            <w:tcW w:w="860" w:type="dxa"/>
            <w:tcBorders>
              <w:top w:val="single" w:sz="4" w:space="0" w:color="auto"/>
            </w:tcBorders>
            <w:vAlign w:val="center"/>
          </w:tcPr>
          <w:p w14:paraId="05F0F7B2" w14:textId="77777777" w:rsidR="007C6854" w:rsidRDefault="00E0219E">
            <w:pPr>
              <w:spacing w:line="259" w:lineRule="auto"/>
              <w:jc w:val="center"/>
              <w:rPr>
                <w:rFonts w:eastAsia="Arial" w:cs="Arial"/>
                <w:szCs w:val="24"/>
              </w:rPr>
            </w:pPr>
            <w:r>
              <w:rPr>
                <w:rFonts w:eastAsia="Arial" w:cs="Arial"/>
                <w:szCs w:val="24"/>
              </w:rPr>
              <w:t>151</w:t>
            </w:r>
          </w:p>
        </w:tc>
        <w:tc>
          <w:tcPr>
            <w:tcW w:w="1649" w:type="dxa"/>
            <w:tcBorders>
              <w:top w:val="single" w:sz="4" w:space="0" w:color="auto"/>
            </w:tcBorders>
            <w:vAlign w:val="center"/>
          </w:tcPr>
          <w:p w14:paraId="085B2E2D" w14:textId="77777777" w:rsidR="007C6854" w:rsidRDefault="00E0219E">
            <w:pPr>
              <w:spacing w:line="259" w:lineRule="auto"/>
              <w:jc w:val="center"/>
              <w:rPr>
                <w:rFonts w:eastAsia="Arial" w:cs="Arial"/>
                <w:szCs w:val="24"/>
              </w:rPr>
            </w:pPr>
            <w:r>
              <w:rPr>
                <w:rFonts w:eastAsia="Arial" w:cs="Arial"/>
                <w:szCs w:val="24"/>
              </w:rPr>
              <w:t>3.9</w:t>
            </w:r>
          </w:p>
        </w:tc>
        <w:tc>
          <w:tcPr>
            <w:tcW w:w="1649" w:type="dxa"/>
            <w:tcBorders>
              <w:top w:val="single" w:sz="4" w:space="0" w:color="auto"/>
            </w:tcBorders>
            <w:vAlign w:val="center"/>
          </w:tcPr>
          <w:p w14:paraId="2D073066" w14:textId="77777777" w:rsidR="007C6854" w:rsidRDefault="00E0219E">
            <w:pPr>
              <w:spacing w:line="259" w:lineRule="auto"/>
              <w:jc w:val="center"/>
              <w:rPr>
                <w:rFonts w:eastAsia="Arial" w:cs="Arial"/>
                <w:szCs w:val="24"/>
              </w:rPr>
            </w:pPr>
            <w:r>
              <w:rPr>
                <w:rFonts w:eastAsia="Arial" w:cs="Arial"/>
                <w:szCs w:val="24"/>
              </w:rPr>
              <w:t>3.25 - 4.23</w:t>
            </w:r>
          </w:p>
        </w:tc>
        <w:tc>
          <w:tcPr>
            <w:tcW w:w="1649" w:type="dxa"/>
            <w:tcBorders>
              <w:top w:val="single" w:sz="4" w:space="0" w:color="auto"/>
            </w:tcBorders>
            <w:vAlign w:val="center"/>
          </w:tcPr>
          <w:p w14:paraId="07D88E88" w14:textId="77777777" w:rsidR="007C6854" w:rsidRDefault="00E0219E">
            <w:pPr>
              <w:spacing w:line="259" w:lineRule="auto"/>
              <w:jc w:val="center"/>
              <w:rPr>
                <w:rFonts w:eastAsia="Arial" w:cs="Arial"/>
                <w:szCs w:val="24"/>
              </w:rPr>
            </w:pPr>
            <w:r>
              <w:rPr>
                <w:rFonts w:eastAsia="Arial" w:cs="Arial"/>
                <w:szCs w:val="24"/>
              </w:rPr>
              <w:t>Poor</w:t>
            </w:r>
          </w:p>
        </w:tc>
      </w:tr>
      <w:tr w:rsidR="007C6854" w14:paraId="3A5E5CBC" w14:textId="77777777" w:rsidTr="00956858">
        <w:trPr>
          <w:trHeight w:val="200"/>
          <w:jc w:val="center"/>
        </w:trPr>
        <w:tc>
          <w:tcPr>
            <w:tcW w:w="8784" w:type="dxa"/>
            <w:gridSpan w:val="5"/>
            <w:vAlign w:val="center"/>
          </w:tcPr>
          <w:p w14:paraId="5DA91382" w14:textId="77777777" w:rsidR="007C6854" w:rsidRDefault="00E0219E">
            <w:pPr>
              <w:spacing w:line="259" w:lineRule="auto"/>
              <w:rPr>
                <w:rFonts w:eastAsia="Arial" w:cs="Arial"/>
                <w:szCs w:val="24"/>
              </w:rPr>
            </w:pPr>
            <w:r>
              <w:rPr>
                <w:rFonts w:eastAsia="Arial" w:cs="Arial"/>
                <w:szCs w:val="24"/>
              </w:rPr>
              <w:t>By Health Literacy Domain</w:t>
            </w:r>
          </w:p>
        </w:tc>
      </w:tr>
      <w:tr w:rsidR="007C6854" w14:paraId="5000F940" w14:textId="77777777" w:rsidTr="00956858">
        <w:trPr>
          <w:jc w:val="center"/>
        </w:trPr>
        <w:tc>
          <w:tcPr>
            <w:tcW w:w="2977" w:type="dxa"/>
            <w:vAlign w:val="center"/>
          </w:tcPr>
          <w:p w14:paraId="51187176" w14:textId="77777777" w:rsidR="007C6854" w:rsidRDefault="00E0219E">
            <w:pPr>
              <w:spacing w:line="259" w:lineRule="auto"/>
              <w:rPr>
                <w:rFonts w:eastAsia="Arial" w:cs="Arial"/>
                <w:szCs w:val="24"/>
              </w:rPr>
            </w:pPr>
            <w:r>
              <w:rPr>
                <w:rFonts w:eastAsia="Arial" w:cs="Arial"/>
                <w:szCs w:val="24"/>
              </w:rPr>
              <w:t>Basic Health Literacy</w:t>
            </w:r>
          </w:p>
        </w:tc>
        <w:tc>
          <w:tcPr>
            <w:tcW w:w="860" w:type="dxa"/>
            <w:vAlign w:val="center"/>
          </w:tcPr>
          <w:p w14:paraId="31C59B8D" w14:textId="77777777" w:rsidR="007C6854" w:rsidRDefault="00E0219E">
            <w:pPr>
              <w:spacing w:line="259" w:lineRule="auto"/>
              <w:jc w:val="center"/>
              <w:rPr>
                <w:rFonts w:eastAsia="Arial" w:cs="Arial"/>
                <w:szCs w:val="24"/>
              </w:rPr>
            </w:pPr>
            <w:r>
              <w:rPr>
                <w:rFonts w:eastAsia="Arial" w:cs="Arial"/>
                <w:szCs w:val="24"/>
              </w:rPr>
              <w:t>151</w:t>
            </w:r>
          </w:p>
        </w:tc>
        <w:tc>
          <w:tcPr>
            <w:tcW w:w="1649" w:type="dxa"/>
            <w:vAlign w:val="center"/>
          </w:tcPr>
          <w:p w14:paraId="04ED4858" w14:textId="77777777" w:rsidR="007C6854" w:rsidRDefault="00E0219E">
            <w:pPr>
              <w:spacing w:line="259" w:lineRule="auto"/>
              <w:jc w:val="center"/>
              <w:rPr>
                <w:rFonts w:eastAsia="Arial" w:cs="Arial"/>
                <w:szCs w:val="24"/>
              </w:rPr>
            </w:pPr>
            <w:r>
              <w:rPr>
                <w:rFonts w:eastAsia="Arial" w:cs="Arial"/>
                <w:szCs w:val="24"/>
              </w:rPr>
              <w:t>3.7</w:t>
            </w:r>
          </w:p>
        </w:tc>
        <w:tc>
          <w:tcPr>
            <w:tcW w:w="1649" w:type="dxa"/>
            <w:vAlign w:val="center"/>
          </w:tcPr>
          <w:p w14:paraId="1DFCFC76" w14:textId="77777777" w:rsidR="007C6854" w:rsidRDefault="00E0219E">
            <w:pPr>
              <w:spacing w:line="259" w:lineRule="auto"/>
              <w:jc w:val="center"/>
              <w:rPr>
                <w:rFonts w:eastAsia="Arial" w:cs="Arial"/>
                <w:szCs w:val="24"/>
              </w:rPr>
            </w:pPr>
            <w:r>
              <w:rPr>
                <w:rFonts w:eastAsia="Arial" w:cs="Arial"/>
                <w:szCs w:val="24"/>
              </w:rPr>
              <w:t>3 - 4</w:t>
            </w:r>
          </w:p>
        </w:tc>
        <w:tc>
          <w:tcPr>
            <w:tcW w:w="1649" w:type="dxa"/>
            <w:vAlign w:val="center"/>
          </w:tcPr>
          <w:p w14:paraId="0D6DFFF4" w14:textId="77777777" w:rsidR="007C6854" w:rsidRDefault="00E0219E">
            <w:pPr>
              <w:spacing w:line="259" w:lineRule="auto"/>
              <w:jc w:val="center"/>
              <w:rPr>
                <w:rFonts w:eastAsia="Arial" w:cs="Arial"/>
                <w:szCs w:val="24"/>
              </w:rPr>
            </w:pPr>
            <w:r>
              <w:rPr>
                <w:rFonts w:eastAsia="Arial" w:cs="Arial"/>
                <w:szCs w:val="24"/>
              </w:rPr>
              <w:t>Poor</w:t>
            </w:r>
          </w:p>
        </w:tc>
      </w:tr>
      <w:tr w:rsidR="007C6854" w14:paraId="0BE59F8F" w14:textId="77777777" w:rsidTr="00956858">
        <w:trPr>
          <w:jc w:val="center"/>
        </w:trPr>
        <w:tc>
          <w:tcPr>
            <w:tcW w:w="2977" w:type="dxa"/>
            <w:vAlign w:val="center"/>
          </w:tcPr>
          <w:p w14:paraId="5066DC46" w14:textId="77777777" w:rsidR="007C6854" w:rsidRDefault="00E0219E">
            <w:pPr>
              <w:spacing w:line="259" w:lineRule="auto"/>
              <w:rPr>
                <w:rFonts w:eastAsia="Arial" w:cs="Arial"/>
                <w:szCs w:val="24"/>
              </w:rPr>
            </w:pPr>
            <w:r>
              <w:rPr>
                <w:rFonts w:eastAsia="Arial" w:cs="Arial"/>
                <w:szCs w:val="24"/>
              </w:rPr>
              <w:t>Communicative or Interactive Health Literacy</w:t>
            </w:r>
          </w:p>
        </w:tc>
        <w:tc>
          <w:tcPr>
            <w:tcW w:w="860" w:type="dxa"/>
            <w:vAlign w:val="center"/>
          </w:tcPr>
          <w:p w14:paraId="151D42F9" w14:textId="77777777" w:rsidR="007C6854" w:rsidRDefault="00E0219E">
            <w:pPr>
              <w:spacing w:line="259" w:lineRule="auto"/>
              <w:jc w:val="center"/>
              <w:rPr>
                <w:rFonts w:eastAsia="Arial" w:cs="Arial"/>
                <w:szCs w:val="24"/>
              </w:rPr>
            </w:pPr>
            <w:r>
              <w:rPr>
                <w:rFonts w:eastAsia="Arial" w:cs="Arial"/>
                <w:szCs w:val="24"/>
              </w:rPr>
              <w:t>151</w:t>
            </w:r>
          </w:p>
        </w:tc>
        <w:tc>
          <w:tcPr>
            <w:tcW w:w="1649" w:type="dxa"/>
            <w:vAlign w:val="center"/>
          </w:tcPr>
          <w:p w14:paraId="1E9F0042" w14:textId="77777777" w:rsidR="007C6854" w:rsidRDefault="00E0219E">
            <w:pPr>
              <w:spacing w:line="259" w:lineRule="auto"/>
              <w:jc w:val="center"/>
              <w:rPr>
                <w:rFonts w:eastAsia="Arial" w:cs="Arial"/>
                <w:szCs w:val="24"/>
              </w:rPr>
            </w:pPr>
            <w:r>
              <w:rPr>
                <w:rFonts w:eastAsia="Arial" w:cs="Arial"/>
                <w:szCs w:val="24"/>
              </w:rPr>
              <w:t>3.9</w:t>
            </w:r>
          </w:p>
        </w:tc>
        <w:tc>
          <w:tcPr>
            <w:tcW w:w="1649" w:type="dxa"/>
            <w:vAlign w:val="center"/>
          </w:tcPr>
          <w:p w14:paraId="54D9A77C" w14:textId="77777777" w:rsidR="007C6854" w:rsidRDefault="00E0219E">
            <w:pPr>
              <w:spacing w:line="259" w:lineRule="auto"/>
              <w:jc w:val="center"/>
              <w:rPr>
                <w:rFonts w:eastAsia="Arial" w:cs="Arial"/>
                <w:szCs w:val="24"/>
              </w:rPr>
            </w:pPr>
            <w:r>
              <w:rPr>
                <w:rFonts w:eastAsia="Arial" w:cs="Arial"/>
                <w:szCs w:val="24"/>
              </w:rPr>
              <w:t>3.25 - 4.25</w:t>
            </w:r>
          </w:p>
        </w:tc>
        <w:tc>
          <w:tcPr>
            <w:tcW w:w="1649" w:type="dxa"/>
            <w:vAlign w:val="center"/>
          </w:tcPr>
          <w:p w14:paraId="3CFB3323" w14:textId="77777777" w:rsidR="007C6854" w:rsidRDefault="00E0219E">
            <w:pPr>
              <w:spacing w:line="259" w:lineRule="auto"/>
              <w:jc w:val="center"/>
              <w:rPr>
                <w:rFonts w:eastAsia="Arial" w:cs="Arial"/>
                <w:szCs w:val="24"/>
              </w:rPr>
            </w:pPr>
            <w:r>
              <w:rPr>
                <w:rFonts w:eastAsia="Arial" w:cs="Arial"/>
                <w:szCs w:val="24"/>
              </w:rPr>
              <w:t>Poor</w:t>
            </w:r>
          </w:p>
        </w:tc>
      </w:tr>
      <w:tr w:rsidR="007C6854" w14:paraId="24518842" w14:textId="77777777" w:rsidTr="00956858">
        <w:trPr>
          <w:jc w:val="center"/>
        </w:trPr>
        <w:tc>
          <w:tcPr>
            <w:tcW w:w="2977" w:type="dxa"/>
            <w:tcBorders>
              <w:bottom w:val="single" w:sz="4" w:space="0" w:color="auto"/>
            </w:tcBorders>
            <w:vAlign w:val="center"/>
          </w:tcPr>
          <w:p w14:paraId="0326DC43" w14:textId="77777777" w:rsidR="007C6854" w:rsidRDefault="00E0219E">
            <w:pPr>
              <w:spacing w:line="259" w:lineRule="auto"/>
              <w:rPr>
                <w:rFonts w:eastAsia="Arial" w:cs="Arial"/>
                <w:szCs w:val="24"/>
              </w:rPr>
            </w:pPr>
            <w:r>
              <w:rPr>
                <w:rFonts w:eastAsia="Arial" w:cs="Arial"/>
                <w:szCs w:val="24"/>
              </w:rPr>
              <w:t>Critical Health Literacy</w:t>
            </w:r>
          </w:p>
        </w:tc>
        <w:tc>
          <w:tcPr>
            <w:tcW w:w="860" w:type="dxa"/>
            <w:tcBorders>
              <w:bottom w:val="single" w:sz="4" w:space="0" w:color="auto"/>
            </w:tcBorders>
            <w:vAlign w:val="center"/>
          </w:tcPr>
          <w:p w14:paraId="04DCA95F" w14:textId="77777777" w:rsidR="007C6854" w:rsidRDefault="00E0219E">
            <w:pPr>
              <w:spacing w:line="259" w:lineRule="auto"/>
              <w:jc w:val="center"/>
              <w:rPr>
                <w:rFonts w:eastAsia="Arial" w:cs="Arial"/>
                <w:szCs w:val="24"/>
              </w:rPr>
            </w:pPr>
            <w:r>
              <w:rPr>
                <w:rFonts w:eastAsia="Arial" w:cs="Arial"/>
                <w:szCs w:val="24"/>
              </w:rPr>
              <w:t>151</w:t>
            </w:r>
          </w:p>
        </w:tc>
        <w:tc>
          <w:tcPr>
            <w:tcW w:w="1649" w:type="dxa"/>
            <w:tcBorders>
              <w:bottom w:val="single" w:sz="4" w:space="0" w:color="auto"/>
            </w:tcBorders>
            <w:vAlign w:val="center"/>
          </w:tcPr>
          <w:p w14:paraId="205A4961" w14:textId="77777777" w:rsidR="007C6854" w:rsidRDefault="00E0219E">
            <w:pPr>
              <w:spacing w:line="259" w:lineRule="auto"/>
              <w:jc w:val="center"/>
              <w:rPr>
                <w:rFonts w:eastAsia="Arial" w:cs="Arial"/>
                <w:szCs w:val="24"/>
              </w:rPr>
            </w:pPr>
            <w:r>
              <w:rPr>
                <w:rFonts w:eastAsia="Arial" w:cs="Arial"/>
                <w:szCs w:val="24"/>
              </w:rPr>
              <w:t>4</w:t>
            </w:r>
          </w:p>
        </w:tc>
        <w:tc>
          <w:tcPr>
            <w:tcW w:w="1649" w:type="dxa"/>
            <w:tcBorders>
              <w:bottom w:val="single" w:sz="4" w:space="0" w:color="auto"/>
            </w:tcBorders>
            <w:vAlign w:val="center"/>
          </w:tcPr>
          <w:p w14:paraId="42BDCA9F" w14:textId="77777777" w:rsidR="007C6854" w:rsidRDefault="00E0219E">
            <w:pPr>
              <w:spacing w:line="259" w:lineRule="auto"/>
              <w:jc w:val="center"/>
              <w:rPr>
                <w:rFonts w:eastAsia="Arial" w:cs="Arial"/>
                <w:szCs w:val="24"/>
              </w:rPr>
            </w:pPr>
            <w:r>
              <w:rPr>
                <w:rFonts w:eastAsia="Arial" w:cs="Arial"/>
                <w:szCs w:val="24"/>
              </w:rPr>
              <w:t>3.5 - 4.3</w:t>
            </w:r>
          </w:p>
        </w:tc>
        <w:tc>
          <w:tcPr>
            <w:tcW w:w="1649" w:type="dxa"/>
            <w:tcBorders>
              <w:bottom w:val="single" w:sz="4" w:space="0" w:color="auto"/>
            </w:tcBorders>
            <w:vAlign w:val="center"/>
          </w:tcPr>
          <w:p w14:paraId="06130FCB" w14:textId="77777777" w:rsidR="007C6854" w:rsidRDefault="00E0219E">
            <w:pPr>
              <w:spacing w:line="259" w:lineRule="auto"/>
              <w:jc w:val="center"/>
              <w:rPr>
                <w:rFonts w:eastAsia="Arial" w:cs="Arial"/>
                <w:szCs w:val="24"/>
              </w:rPr>
            </w:pPr>
            <w:r>
              <w:rPr>
                <w:rFonts w:eastAsia="Arial" w:cs="Arial"/>
                <w:szCs w:val="24"/>
              </w:rPr>
              <w:t>High</w:t>
            </w:r>
          </w:p>
        </w:tc>
      </w:tr>
    </w:tbl>
    <w:p w14:paraId="66E51794" w14:textId="77777777" w:rsidR="007C6854" w:rsidRDefault="007C6854">
      <w:pPr>
        <w:spacing w:after="160" w:line="360" w:lineRule="auto"/>
        <w:ind w:firstLine="720"/>
        <w:rPr>
          <w:rFonts w:eastAsia="Arial" w:cs="Arial"/>
          <w:b/>
          <w:i/>
          <w:szCs w:val="24"/>
        </w:rPr>
      </w:pPr>
    </w:p>
    <w:p w14:paraId="4056F3BF" w14:textId="2AFD2C60" w:rsidR="007C6854" w:rsidRPr="00F362B2" w:rsidRDefault="00E0219E" w:rsidP="00F362B2">
      <w:pPr>
        <w:pStyle w:val="Heading2"/>
        <w:spacing w:line="480" w:lineRule="auto"/>
        <w:jc w:val="both"/>
        <w:rPr>
          <w:rFonts w:eastAsia="Arial" w:cs="Arial"/>
          <w:sz w:val="24"/>
          <w:szCs w:val="24"/>
        </w:rPr>
      </w:pPr>
      <w:bookmarkStart w:id="62" w:name="_heading=h.3ygebqi" w:colFirst="0" w:colLast="0"/>
      <w:bookmarkEnd w:id="62"/>
      <w:r>
        <w:rPr>
          <w:rFonts w:eastAsia="Arial" w:cs="Arial"/>
          <w:sz w:val="24"/>
          <w:szCs w:val="24"/>
        </w:rPr>
        <w:t>Association of Socio-demographic Variables of Urban Poor Settler Groups with Hypertension and Health Literacy</w:t>
      </w:r>
    </w:p>
    <w:p w14:paraId="62D1BA3B" w14:textId="77777777" w:rsidR="007C6854" w:rsidRDefault="00E0219E" w:rsidP="00844861">
      <w:pPr>
        <w:spacing w:after="160" w:line="480" w:lineRule="auto"/>
        <w:ind w:firstLine="720"/>
        <w:jc w:val="both"/>
        <w:rPr>
          <w:rFonts w:eastAsia="Arial" w:cs="Arial"/>
          <w:szCs w:val="24"/>
        </w:rPr>
      </w:pPr>
      <w:r>
        <w:rPr>
          <w:rFonts w:eastAsia="Arial" w:cs="Arial"/>
          <w:szCs w:val="24"/>
        </w:rPr>
        <w:t>The study limits the testing of measures of associations to the following variables: age, gender or sex, educational status, employment status, health insurance coverage, and income or wealth status. This model was applied because the variables on marital status, religion, and ethnic or cultural groups showed irrelevance or showed no meaningful relationship with the outcome variable of interest. For example, marital status has no direct relationship with having hypertension or even having low health literacy. On religion, around 95% were Catholics; this will show an obvious distort in the analysis, while in relation to ethic or cultural sub-groups, the majority were in the Visayas regions, and small samples were computed on the rest; when tested, the result can produce an unstable model or unreliable results.</w:t>
      </w:r>
    </w:p>
    <w:p w14:paraId="22E24D17" w14:textId="77777777" w:rsidR="007C6854" w:rsidRDefault="00E0219E" w:rsidP="00844861">
      <w:pPr>
        <w:spacing w:after="160" w:line="480" w:lineRule="auto"/>
        <w:ind w:firstLine="720"/>
        <w:jc w:val="both"/>
        <w:rPr>
          <w:rFonts w:eastAsia="Arial" w:cs="Arial"/>
          <w:szCs w:val="24"/>
        </w:rPr>
      </w:pPr>
      <w:r>
        <w:rPr>
          <w:rFonts w:eastAsia="Arial" w:cs="Arial"/>
          <w:szCs w:val="24"/>
        </w:rPr>
        <w:lastRenderedPageBreak/>
        <w:t xml:space="preserve">Evaluating using stratified analysis of the socio-demographic characteristics of urban settlers with HPN having low health literacy reveals respondents 60 years old and older had a greater risk compared to those belonging to ages less than 60 years old. No significant association was found between genders. However, the result shows that the odds of getting hypertension among males are 1.42 if the individual has a low level of health literacy. This only reveals that men are more at risk of getting the disease than women. Moreover, having low educational attainment and low health literacy shows greater risk compared with respondents with high educational attainment (Table 11). In their study, Commodore-Mensah et al. (2021) pointed out that the chance of getting Stage 2 hypertension is high among men and women with low educational status. </w:t>
      </w:r>
      <w:r>
        <w:rPr>
          <w:rFonts w:eastAsia="Arial" w:cs="Arial"/>
          <w:color w:val="212121"/>
          <w:szCs w:val="24"/>
          <w:highlight w:val="white"/>
        </w:rPr>
        <w:t xml:space="preserve">Respondents’ age, educational status, and employment status had strong relationships in this study. Age, as an explanatory variable in this study, is included as a risk factor in measuring the risk of an individual having cardiovascular disease (DOH, 2012). </w:t>
      </w:r>
      <w:r>
        <w:rPr>
          <w:rFonts w:eastAsia="Arial" w:cs="Arial"/>
          <w:szCs w:val="24"/>
        </w:rPr>
        <w:t xml:space="preserve">It was also important to consider the risk of respondents ages 40 and older getting the disease. This research found that individuals aged 40 and older have a greater risk. </w:t>
      </w:r>
      <w:r>
        <w:rPr>
          <w:rFonts w:eastAsia="Arial" w:cs="Arial"/>
          <w:color w:val="212121"/>
          <w:szCs w:val="24"/>
          <w:highlight w:val="white"/>
        </w:rPr>
        <w:t xml:space="preserve">On the other hand, </w:t>
      </w:r>
      <w:r>
        <w:rPr>
          <w:rFonts w:eastAsia="Arial" w:cs="Arial"/>
          <w:szCs w:val="24"/>
        </w:rPr>
        <w:t>the majority of respondents surveyed were elderly (ages 60 and above).</w:t>
      </w:r>
      <w:r>
        <w:rPr>
          <w:rFonts w:eastAsia="Arial" w:cs="Arial"/>
          <w:color w:val="212121"/>
          <w:szCs w:val="24"/>
          <w:highlight w:val="white"/>
        </w:rPr>
        <w:t xml:space="preserve"> In the study of Agosto, Briones, and Palatino (2018), it is emphasized that Filipinos 50–70 years old have problematic or inadequate health literacy. Health literacy is a factor affecting a person's health. Individuals with low health literacy have a greater risk of getting a serious illness, including hypertension (Hickey, K. T. et al., 2018). In the report by Hu et al. (2021), it was pointed out that age and gender have a correlation with COVID-19, and the most affected are females and males over 65 years old. The finding of Hu et al. (2021) is important, and in relation to the research, there can be a connection between hypertension and the changes in the behavior of the community during the COVID pandemic. The pandemic restricts an </w:t>
      </w:r>
      <w:r>
        <w:rPr>
          <w:rFonts w:eastAsia="Arial" w:cs="Arial"/>
          <w:color w:val="212121"/>
          <w:szCs w:val="24"/>
          <w:highlight w:val="white"/>
        </w:rPr>
        <w:lastRenderedPageBreak/>
        <w:t>individual's movement due to the Philippine Government's strict quarantine protocol, which prohibits the person from engaging in physical activity, visiting a healthcare facility, engaging in outdoor routine activities, or even going to work. For example, in the report of Tully et al. (2021), showing Google mobility data, people's movements were limited to the following: going to the grocery store or market, pharmacy, and workplace. Also, only younger people are allowed to go out. This is important because the</w:t>
      </w:r>
      <w:r>
        <w:rPr>
          <w:rFonts w:eastAsia="Arial" w:cs="Arial"/>
          <w:szCs w:val="24"/>
        </w:rPr>
        <w:t xml:space="preserve"> reports of Muli et al. and Fryar et al. indicate that hypertension was dominant among the elderly population (Muli, S. et al., 2020; Fryar, C.D. et al., 2017). However, the risk of hypertension was also noticed among lower age groups (Rowlands et al., 2013). Also, Fryar (2017) reported that between 2015 and 2016, in the U.S., hypertension prevalence was 29% and increased as age increased. WHO (2021) reported an increase in hypertension among the age group 30 to 79 years old, while Mills, K.T., et al. (2016) reported a high prevalence of hypertension among 40-year-olds and above. </w:t>
      </w:r>
      <w:r>
        <w:rPr>
          <w:rFonts w:eastAsia="Arial" w:cs="Arial"/>
          <w:color w:val="212121"/>
          <w:szCs w:val="24"/>
          <w:highlight w:val="white"/>
        </w:rPr>
        <w:t xml:space="preserve">The United Health Group (2020) reports that older people who get more healthcare access, take medications, and have chronic conditions show low health literacy. This is important because the findings on health literacy show that the Community of </w:t>
      </w:r>
      <w:proofErr w:type="spellStart"/>
      <w:r>
        <w:rPr>
          <w:rFonts w:eastAsia="Arial" w:cs="Arial"/>
          <w:color w:val="212121"/>
          <w:szCs w:val="24"/>
          <w:highlight w:val="white"/>
        </w:rPr>
        <w:t>Bukuhan</w:t>
      </w:r>
      <w:proofErr w:type="spellEnd"/>
      <w:r>
        <w:rPr>
          <w:rFonts w:eastAsia="Arial" w:cs="Arial"/>
          <w:color w:val="212121"/>
          <w:szCs w:val="24"/>
          <w:highlight w:val="white"/>
        </w:rPr>
        <w:t xml:space="preserve"> was low on Basic or Functional and Communicative or Interactive Health Literacy. This provides a wake-up call to</w:t>
      </w:r>
      <w:r>
        <w:rPr>
          <w:rFonts w:eastAsia="Arial" w:cs="Arial"/>
          <w:szCs w:val="24"/>
        </w:rPr>
        <w:t xml:space="preserve"> </w:t>
      </w:r>
      <w:r>
        <w:rPr>
          <w:rFonts w:eastAsia="Arial" w:cs="Arial"/>
          <w:color w:val="212121"/>
          <w:szCs w:val="24"/>
          <w:highlight w:val="white"/>
        </w:rPr>
        <w:t xml:space="preserve">Pateros to strengthen their hypertension risk assessment activity and promote a healthy lifestyle in urban communities. Pateros had been adopting the WHO PEN for more than a decade; this result was important in the implementation of hypertension and diabetes screening for high-risk individuals. The Department of Health, in its policy, adopted the WHO PEN, emphasizing that risk assessment among people 40 years of age and older is imperative and includes blood pressure measurement as a parameter to assess client’s cardiovascular risk (DOH, 2012). Since the health emergency due to the </w:t>
      </w:r>
      <w:r>
        <w:rPr>
          <w:rFonts w:eastAsia="Arial" w:cs="Arial"/>
          <w:color w:val="212121"/>
          <w:szCs w:val="24"/>
          <w:highlight w:val="white"/>
        </w:rPr>
        <w:lastRenderedPageBreak/>
        <w:t>pandemic has been lifted in the country, the resumption of the risk assessment activity should be strengthened again.</w:t>
      </w:r>
    </w:p>
    <w:p w14:paraId="5EB43529" w14:textId="77777777" w:rsidR="007C6854" w:rsidRDefault="00E0219E" w:rsidP="00844861">
      <w:pPr>
        <w:spacing w:after="160" w:line="480" w:lineRule="auto"/>
        <w:ind w:firstLine="720"/>
        <w:jc w:val="both"/>
        <w:rPr>
          <w:rFonts w:eastAsia="Arial" w:cs="Arial"/>
          <w:szCs w:val="24"/>
        </w:rPr>
      </w:pPr>
      <w:r>
        <w:rPr>
          <w:rFonts w:eastAsia="Arial" w:cs="Arial"/>
          <w:szCs w:val="24"/>
        </w:rPr>
        <w:t xml:space="preserve">Moreover, in Table 11, it was an interesting result that employed individuals with low health literacy have a greater risk (OR = 2.36, 95% CI = 1.19 to 4.68, p-value = 0.0129) compared to unemployed individuals (OR = 0.423, 95% CI = 0.21345 to 0.840, p-value = 0.0129). In addition, those individuals with high education with low health literacy have a lower risk (OR = 0.1438, 95% CI = 0.06985 to 0.296, p-value = 0.0000) compared to individuals with low education status (OR = 6.95, 95% CI = 3.379 to 14.3, p-value = 0.0000). </w:t>
      </w:r>
    </w:p>
    <w:p w14:paraId="42683C83" w14:textId="77777777" w:rsidR="007C6854" w:rsidRDefault="00E0219E" w:rsidP="00844861">
      <w:pPr>
        <w:spacing w:after="160" w:line="480" w:lineRule="auto"/>
        <w:ind w:firstLine="720"/>
        <w:jc w:val="both"/>
        <w:rPr>
          <w:rFonts w:eastAsia="Arial" w:cs="Arial"/>
          <w:color w:val="111111"/>
          <w:szCs w:val="24"/>
          <w:highlight w:val="white"/>
        </w:rPr>
      </w:pPr>
      <w:r>
        <w:rPr>
          <w:rFonts w:eastAsia="Arial" w:cs="Arial"/>
          <w:szCs w:val="24"/>
        </w:rPr>
        <w:t>Analyzing further using the question “Were you first told that you have hypertension in the past 12 months?” as a proxy variable for health seeking behavior, the result shows a significant association with educational status. Those who have high educational status had a lower risk (OR =</w:t>
      </w:r>
      <w:r>
        <w:rPr>
          <w:rFonts w:eastAsia="Arial" w:cs="Arial"/>
        </w:rPr>
        <w:t xml:space="preserve"> </w:t>
      </w:r>
      <w:r>
        <w:rPr>
          <w:rFonts w:eastAsia="Arial" w:cs="Arial"/>
          <w:szCs w:val="24"/>
        </w:rPr>
        <w:t xml:space="preserve">0.144, 95% CI = </w:t>
      </w:r>
      <w:r>
        <w:rPr>
          <w:rFonts w:eastAsia="Arial" w:cs="Arial"/>
          <w:szCs w:val="24"/>
          <w:highlight w:val="white"/>
        </w:rPr>
        <w:t>0.06889 to 0.3</w:t>
      </w:r>
      <w:r>
        <w:rPr>
          <w:rFonts w:eastAsia="Arial" w:cs="Arial"/>
          <w:szCs w:val="24"/>
        </w:rPr>
        <w:t>, p-value = 0.0000) compared to respondents with low educational status (OR = 6.95, 95% CI = 3.329 to 14.5, p-value = 0.0000). This only shows that there is an association between the educational level of individuals with hypertension and health seeking behavior. This result was consistent with other literature. (</w:t>
      </w:r>
      <w:proofErr w:type="spellStart"/>
      <w:r>
        <w:rPr>
          <w:rFonts w:eastAsia="Arial" w:cs="Arial"/>
          <w:szCs w:val="24"/>
        </w:rPr>
        <w:t>Tolabing</w:t>
      </w:r>
      <w:proofErr w:type="spellEnd"/>
      <w:r>
        <w:rPr>
          <w:rFonts w:eastAsia="Arial" w:cs="Arial"/>
          <w:szCs w:val="24"/>
        </w:rPr>
        <w:t xml:space="preserve"> et al., 2022; </w:t>
      </w:r>
      <w:r>
        <w:rPr>
          <w:rFonts w:eastAsia="Arial" w:cs="Arial"/>
          <w:color w:val="111111"/>
          <w:szCs w:val="24"/>
          <w:highlight w:val="white"/>
        </w:rPr>
        <w:t xml:space="preserve">Tilahun, Abera, &amp; </w:t>
      </w:r>
      <w:proofErr w:type="spellStart"/>
      <w:r>
        <w:rPr>
          <w:rFonts w:eastAsia="Arial" w:cs="Arial"/>
          <w:color w:val="111111"/>
          <w:szCs w:val="24"/>
          <w:highlight w:val="white"/>
        </w:rPr>
        <w:t>Nemera</w:t>
      </w:r>
      <w:proofErr w:type="spellEnd"/>
      <w:r>
        <w:rPr>
          <w:rFonts w:eastAsia="Arial" w:cs="Arial"/>
          <w:color w:val="111111"/>
          <w:szCs w:val="24"/>
          <w:highlight w:val="white"/>
        </w:rPr>
        <w:t xml:space="preserve">, 2021; Shan et al., 2023) </w:t>
      </w:r>
      <w:r>
        <w:rPr>
          <w:rFonts w:eastAsia="Arial" w:cs="Arial"/>
          <w:color w:val="212121"/>
          <w:szCs w:val="24"/>
          <w:highlight w:val="white"/>
        </w:rPr>
        <w:t xml:space="preserve">The individual level of education could be a good parameter for health literacy, especially if the clients have hypertension. Those with good educational status could handle their health well compared to those with low educational status (Hickey, K.T., et al., 2018; </w:t>
      </w:r>
      <w:proofErr w:type="spellStart"/>
      <w:r>
        <w:rPr>
          <w:rFonts w:eastAsia="Arial" w:cs="Arial"/>
          <w:color w:val="212121"/>
          <w:szCs w:val="24"/>
          <w:highlight w:val="white"/>
        </w:rPr>
        <w:t>Andiwijaya</w:t>
      </w:r>
      <w:proofErr w:type="spellEnd"/>
      <w:r>
        <w:rPr>
          <w:rFonts w:eastAsia="Arial" w:cs="Arial"/>
          <w:color w:val="212121"/>
          <w:szCs w:val="24"/>
          <w:highlight w:val="white"/>
        </w:rPr>
        <w:t xml:space="preserve">, </w:t>
      </w:r>
      <w:proofErr w:type="spellStart"/>
      <w:r>
        <w:rPr>
          <w:rFonts w:eastAsia="Arial" w:cs="Arial"/>
          <w:color w:val="212121"/>
          <w:szCs w:val="24"/>
          <w:highlight w:val="white"/>
        </w:rPr>
        <w:t>Kadriyan</w:t>
      </w:r>
      <w:proofErr w:type="spellEnd"/>
      <w:r>
        <w:rPr>
          <w:rFonts w:eastAsia="Arial" w:cs="Arial"/>
          <w:color w:val="212121"/>
          <w:szCs w:val="24"/>
          <w:highlight w:val="white"/>
        </w:rPr>
        <w:t xml:space="preserve">, &amp; </w:t>
      </w:r>
      <w:proofErr w:type="spellStart"/>
      <w:r>
        <w:rPr>
          <w:rFonts w:eastAsia="Arial" w:cs="Arial"/>
          <w:color w:val="212121"/>
          <w:szCs w:val="24"/>
          <w:highlight w:val="white"/>
        </w:rPr>
        <w:t>Syamsun</w:t>
      </w:r>
      <w:proofErr w:type="spellEnd"/>
      <w:r>
        <w:rPr>
          <w:rFonts w:eastAsia="Arial" w:cs="Arial"/>
          <w:color w:val="212121"/>
          <w:szCs w:val="24"/>
          <w:highlight w:val="white"/>
        </w:rPr>
        <w:t xml:space="preserve">, 2021). In the study by </w:t>
      </w:r>
      <w:proofErr w:type="spellStart"/>
      <w:r>
        <w:rPr>
          <w:rFonts w:eastAsia="Arial" w:cs="Arial"/>
          <w:color w:val="212121"/>
          <w:szCs w:val="24"/>
          <w:highlight w:val="white"/>
        </w:rPr>
        <w:t>Andiwijaya</w:t>
      </w:r>
      <w:proofErr w:type="spellEnd"/>
      <w:r>
        <w:rPr>
          <w:rFonts w:eastAsia="Arial" w:cs="Arial"/>
          <w:color w:val="212121"/>
          <w:szCs w:val="24"/>
          <w:highlight w:val="white"/>
        </w:rPr>
        <w:t xml:space="preserve">, </w:t>
      </w:r>
      <w:proofErr w:type="spellStart"/>
      <w:r>
        <w:rPr>
          <w:rFonts w:eastAsia="Arial" w:cs="Arial"/>
          <w:color w:val="212121"/>
          <w:szCs w:val="24"/>
          <w:highlight w:val="white"/>
        </w:rPr>
        <w:t>Kadriyan</w:t>
      </w:r>
      <w:proofErr w:type="spellEnd"/>
      <w:r>
        <w:rPr>
          <w:rFonts w:eastAsia="Arial" w:cs="Arial"/>
          <w:color w:val="212121"/>
          <w:szCs w:val="24"/>
          <w:highlight w:val="white"/>
        </w:rPr>
        <w:t xml:space="preserve">, and </w:t>
      </w:r>
      <w:proofErr w:type="spellStart"/>
      <w:r>
        <w:rPr>
          <w:rFonts w:eastAsia="Arial" w:cs="Arial"/>
          <w:color w:val="212121"/>
          <w:szCs w:val="24"/>
          <w:highlight w:val="white"/>
        </w:rPr>
        <w:t>Syamsun</w:t>
      </w:r>
      <w:proofErr w:type="spellEnd"/>
      <w:r>
        <w:rPr>
          <w:rFonts w:eastAsia="Arial" w:cs="Arial"/>
          <w:color w:val="212121"/>
          <w:szCs w:val="24"/>
          <w:highlight w:val="white"/>
        </w:rPr>
        <w:t xml:space="preserve"> (2021), it was stressed that individuals with low educational status could not carry out basic health information. It is also the reason why the findings of this research showed low health literacy in the basic and communicative health literacy domains. Therefore, </w:t>
      </w:r>
      <w:r>
        <w:rPr>
          <w:rFonts w:eastAsia="Arial" w:cs="Arial"/>
          <w:color w:val="212121"/>
          <w:szCs w:val="24"/>
          <w:highlight w:val="white"/>
        </w:rPr>
        <w:lastRenderedPageBreak/>
        <w:t>the fact that those with low educational status also have low health literacy scores increases the risk of getting hypertension.</w:t>
      </w:r>
      <w:r>
        <w:rPr>
          <w:rFonts w:eastAsia="Arial" w:cs="Arial"/>
          <w:color w:val="111111"/>
          <w:szCs w:val="24"/>
          <w:highlight w:val="white"/>
        </w:rPr>
        <w:t xml:space="preserve"> </w:t>
      </w:r>
    </w:p>
    <w:p w14:paraId="33E64688" w14:textId="77777777" w:rsidR="007C6854" w:rsidRDefault="00E0219E" w:rsidP="00844861">
      <w:pPr>
        <w:spacing w:after="160" w:line="480" w:lineRule="auto"/>
        <w:ind w:firstLine="720"/>
        <w:jc w:val="both"/>
        <w:rPr>
          <w:rFonts w:eastAsia="Arial" w:cs="Arial"/>
          <w:szCs w:val="24"/>
        </w:rPr>
      </w:pPr>
      <w:r>
        <w:rPr>
          <w:rFonts w:eastAsia="Arial" w:cs="Arial"/>
          <w:szCs w:val="24"/>
        </w:rPr>
        <w:t>While the association seen in the employment status of individuals with low health literacy shows a significant association between subgroups, being employed (OR = 2.08</w:t>
      </w:r>
      <w:r>
        <w:rPr>
          <w:rFonts w:eastAsia="Arial" w:cs="Arial"/>
          <w:sz w:val="26"/>
          <w:szCs w:val="26"/>
        </w:rPr>
        <w:t xml:space="preserve">, </w:t>
      </w:r>
      <w:r>
        <w:rPr>
          <w:rFonts w:eastAsia="Arial" w:cs="Arial"/>
          <w:szCs w:val="24"/>
        </w:rPr>
        <w:t>95% CI =</w:t>
      </w:r>
      <w:r>
        <w:rPr>
          <w:rFonts w:eastAsia="Arial" w:cs="Arial"/>
          <w:b/>
          <w:szCs w:val="24"/>
        </w:rPr>
        <w:t xml:space="preserve"> </w:t>
      </w:r>
      <w:r>
        <w:rPr>
          <w:rFonts w:eastAsia="Arial" w:cs="Arial"/>
          <w:szCs w:val="24"/>
          <w:highlight w:val="white"/>
        </w:rPr>
        <w:t>1.0310 to 4.18</w:t>
      </w:r>
      <w:r>
        <w:rPr>
          <w:rFonts w:eastAsia="Arial" w:cs="Arial"/>
          <w:szCs w:val="24"/>
        </w:rPr>
        <w:t>, p-value = 0.0392) and being unemployed (OR = 0.482, 95% CI = 0.23919 to 0.97, p-value = 0.0392). This shows that health seeking behavior is associated with the status of employment for individuals with hypertension.</w:t>
      </w:r>
      <w:r>
        <w:rPr>
          <w:rFonts w:eastAsia="Arial" w:cs="Arial"/>
          <w:i/>
          <w:szCs w:val="24"/>
        </w:rPr>
        <w:t xml:space="preserve"> </w:t>
      </w:r>
      <w:r>
        <w:rPr>
          <w:rFonts w:eastAsia="Arial" w:cs="Arial"/>
          <w:szCs w:val="24"/>
        </w:rPr>
        <w:t>It</w:t>
      </w:r>
      <w:r>
        <w:rPr>
          <w:rFonts w:eastAsia="Arial" w:cs="Arial"/>
          <w:color w:val="212121"/>
          <w:szCs w:val="24"/>
          <w:highlight w:val="white"/>
        </w:rPr>
        <w:t xml:space="preserve"> is interesting that employed individuals with hypertension have low health literacy. The same finding by Rowlands et al. (2013) on the characteristics of people with low health literacy and coronary health disease showed that those employed individuals could have low health literacy. </w:t>
      </w:r>
      <w:r>
        <w:rPr>
          <w:rFonts w:eastAsia="Arial" w:cs="Arial"/>
          <w:szCs w:val="24"/>
        </w:rPr>
        <w:t xml:space="preserve">Further, the observation also shows that respondents who were working class and living in urban poverty valued health less compared with unemployed individuals, even though they manifested low health literacy. Since most of the survey participants belong to the poor and low-income classes, this could be the reason why health was less prioritized. Also, in the context of COVID-19, since this research was done during that period. Some literature suggests that the health-seeking behavior of individuals changed during the pandemic due to the changes in the approach of our healthcare system. Nadar et al. (2020) cited that many hospitals cancelled all in-person electives and patient care, including routine out-patient consultations, and shifted to telemedicine. Although Gotanda et al. (2022) pointed out that access to telemedicine can mitigate the impact of hypertension, in the community of </w:t>
      </w:r>
      <w:proofErr w:type="spellStart"/>
      <w:r>
        <w:rPr>
          <w:rFonts w:eastAsia="Arial" w:cs="Arial"/>
          <w:szCs w:val="24"/>
        </w:rPr>
        <w:t>Bukuhan</w:t>
      </w:r>
      <w:proofErr w:type="spellEnd"/>
      <w:r>
        <w:rPr>
          <w:rFonts w:eastAsia="Arial" w:cs="Arial"/>
          <w:szCs w:val="24"/>
        </w:rPr>
        <w:t xml:space="preserve">, there could be limited access for individuals to internet connectivity, not because the area has no access to fast internet connectivity, but maybe the reason is the prioritization of where to put the family expenses. Also, given that most of the respondents belong to the low-income class, their priority could be their daily food </w:t>
      </w:r>
      <w:r>
        <w:rPr>
          <w:rFonts w:eastAsia="Arial" w:cs="Arial"/>
          <w:szCs w:val="24"/>
        </w:rPr>
        <w:lastRenderedPageBreak/>
        <w:t>rather than diverting finances to unnecessary expenses like buying mobile prepaid load. In addition, since the majority of our respondents were elderly, there could be a limitation with access to technology.</w:t>
      </w:r>
    </w:p>
    <w:p w14:paraId="242C9A30" w14:textId="77777777" w:rsidR="007C6854" w:rsidRDefault="00E0219E" w:rsidP="00844861">
      <w:pPr>
        <w:spacing w:after="160" w:line="480" w:lineRule="auto"/>
        <w:ind w:firstLine="720"/>
        <w:jc w:val="both"/>
        <w:rPr>
          <w:rFonts w:eastAsia="Arial" w:cs="Arial"/>
          <w:b/>
          <w:szCs w:val="24"/>
        </w:rPr>
      </w:pPr>
      <w:r>
        <w:rPr>
          <w:rFonts w:eastAsia="Arial" w:cs="Arial"/>
          <w:color w:val="212121"/>
          <w:szCs w:val="24"/>
          <w:highlight w:val="white"/>
        </w:rPr>
        <w:t>In addition, although health insurance showed no significant association, the odds ratio showed a two-times greater risk for individuals with low health literacy of having hypertension among those who do not have health insurance (OR = 1.69).</w:t>
      </w:r>
      <w:r>
        <w:rPr>
          <w:rFonts w:eastAsia="Arial" w:cs="Arial"/>
          <w:b/>
          <w:szCs w:val="24"/>
        </w:rPr>
        <w:t xml:space="preserve"> </w:t>
      </w:r>
      <w:r>
        <w:rPr>
          <w:rFonts w:eastAsia="Arial" w:cs="Arial"/>
          <w:szCs w:val="24"/>
        </w:rPr>
        <w:t xml:space="preserve">On that note, </w:t>
      </w:r>
      <w:r>
        <w:rPr>
          <w:rFonts w:eastAsia="Arial" w:cs="Arial"/>
          <w:color w:val="212121"/>
          <w:szCs w:val="24"/>
          <w:highlight w:val="white"/>
        </w:rPr>
        <w:t xml:space="preserve">the importance of health education could help our target population attain good results in patient care and treatment management of hypertension (Hickey, K.T., et al., 2018; </w:t>
      </w:r>
      <w:proofErr w:type="spellStart"/>
      <w:r>
        <w:rPr>
          <w:rFonts w:eastAsia="Arial" w:cs="Arial"/>
          <w:color w:val="212121"/>
          <w:szCs w:val="24"/>
          <w:highlight w:val="white"/>
        </w:rPr>
        <w:t>Samkange</w:t>
      </w:r>
      <w:proofErr w:type="spellEnd"/>
      <w:r>
        <w:rPr>
          <w:rFonts w:eastAsia="Arial" w:cs="Arial"/>
          <w:color w:val="212121"/>
          <w:szCs w:val="24"/>
          <w:highlight w:val="white"/>
        </w:rPr>
        <w:t xml:space="preserve">-Zeeb, et al.,2022). Also, since the community has a large number of individuals who are self-employed, there could be an assumption that those with no health insurance belong to the group who are self-employed (Table 4). In the study of Gai and Minniti (2015), they pointed out the same idea that those who are self-employed have limited access to health insurance. </w:t>
      </w:r>
    </w:p>
    <w:p w14:paraId="7DB6E4F1" w14:textId="77777777" w:rsidR="00F362B2" w:rsidRDefault="00F362B2">
      <w:pPr>
        <w:rPr>
          <w:rFonts w:eastAsia="Arial" w:cs="Arial"/>
          <w:b/>
          <w:szCs w:val="24"/>
        </w:rPr>
      </w:pPr>
      <w:r>
        <w:rPr>
          <w:rFonts w:eastAsia="Arial" w:cs="Arial"/>
          <w:b/>
          <w:szCs w:val="24"/>
        </w:rPr>
        <w:br w:type="page"/>
      </w:r>
    </w:p>
    <w:p w14:paraId="5E23E18D" w14:textId="4E7F1E36" w:rsidR="007C6854" w:rsidRDefault="00E0219E">
      <w:pPr>
        <w:spacing w:after="160" w:line="360" w:lineRule="auto"/>
        <w:rPr>
          <w:rFonts w:eastAsia="Arial" w:cs="Arial"/>
          <w:b/>
          <w:szCs w:val="24"/>
        </w:rPr>
      </w:pPr>
      <w:r>
        <w:rPr>
          <w:rFonts w:eastAsia="Arial" w:cs="Arial"/>
          <w:b/>
          <w:szCs w:val="24"/>
        </w:rPr>
        <w:lastRenderedPageBreak/>
        <w:t xml:space="preserve">Table 11 </w:t>
      </w:r>
    </w:p>
    <w:p w14:paraId="2190CE51" w14:textId="77777777" w:rsidR="007C6854" w:rsidRDefault="00E0219E">
      <w:pPr>
        <w:spacing w:after="160" w:line="360" w:lineRule="auto"/>
        <w:jc w:val="both"/>
        <w:rPr>
          <w:rFonts w:eastAsia="Arial" w:cs="Arial"/>
          <w:i/>
          <w:szCs w:val="24"/>
        </w:rPr>
      </w:pPr>
      <w:r>
        <w:rPr>
          <w:rFonts w:eastAsia="Arial" w:cs="Arial"/>
          <w:i/>
          <w:szCs w:val="24"/>
        </w:rPr>
        <w:t>Measure of Strength of Association of Health Literacy and Socio-demographic Variables among Urban Poor Settlers who have HPN</w:t>
      </w:r>
    </w:p>
    <w:tbl>
      <w:tblPr>
        <w:tblStyle w:val="afffb"/>
        <w:tblW w:w="9285" w:type="dxa"/>
        <w:tblLayout w:type="fixed"/>
        <w:tblLook w:val="0400" w:firstRow="0" w:lastRow="0" w:firstColumn="0" w:lastColumn="0" w:noHBand="0" w:noVBand="1"/>
      </w:tblPr>
      <w:tblGrid>
        <w:gridCol w:w="3375"/>
        <w:gridCol w:w="1500"/>
        <w:gridCol w:w="3090"/>
        <w:gridCol w:w="1320"/>
      </w:tblGrid>
      <w:tr w:rsidR="007C6854" w14:paraId="6105BB07" w14:textId="77777777" w:rsidTr="00DA41CA">
        <w:tc>
          <w:tcPr>
            <w:tcW w:w="3375" w:type="dxa"/>
            <w:tcBorders>
              <w:top w:val="single" w:sz="4" w:space="0" w:color="auto"/>
              <w:bottom w:val="single" w:sz="4" w:space="0" w:color="auto"/>
            </w:tcBorders>
            <w:vAlign w:val="center"/>
          </w:tcPr>
          <w:p w14:paraId="4B47C913" w14:textId="77777777" w:rsidR="007C6854" w:rsidRDefault="00E0219E">
            <w:pPr>
              <w:spacing w:line="259" w:lineRule="auto"/>
              <w:rPr>
                <w:rFonts w:eastAsia="Arial" w:cs="Arial"/>
                <w:szCs w:val="24"/>
              </w:rPr>
            </w:pPr>
            <w:r>
              <w:rPr>
                <w:rFonts w:eastAsia="Arial" w:cs="Arial"/>
                <w:szCs w:val="24"/>
              </w:rPr>
              <w:t>Socio-Demography of urban poor settlers with HPN</w:t>
            </w:r>
          </w:p>
        </w:tc>
        <w:tc>
          <w:tcPr>
            <w:tcW w:w="1500" w:type="dxa"/>
            <w:tcBorders>
              <w:top w:val="single" w:sz="4" w:space="0" w:color="auto"/>
              <w:bottom w:val="single" w:sz="4" w:space="0" w:color="auto"/>
            </w:tcBorders>
            <w:vAlign w:val="center"/>
          </w:tcPr>
          <w:p w14:paraId="1BF9BAF7" w14:textId="77777777" w:rsidR="007C6854" w:rsidRDefault="00E0219E">
            <w:pPr>
              <w:spacing w:line="259" w:lineRule="auto"/>
              <w:jc w:val="center"/>
              <w:rPr>
                <w:rFonts w:eastAsia="Arial" w:cs="Arial"/>
                <w:szCs w:val="24"/>
              </w:rPr>
            </w:pPr>
            <w:r>
              <w:rPr>
                <w:rFonts w:eastAsia="Arial" w:cs="Arial"/>
                <w:szCs w:val="24"/>
              </w:rPr>
              <w:t>Odds Ratio</w:t>
            </w:r>
          </w:p>
        </w:tc>
        <w:tc>
          <w:tcPr>
            <w:tcW w:w="3090" w:type="dxa"/>
            <w:tcBorders>
              <w:top w:val="single" w:sz="4" w:space="0" w:color="auto"/>
              <w:bottom w:val="single" w:sz="4" w:space="0" w:color="auto"/>
            </w:tcBorders>
            <w:vAlign w:val="center"/>
          </w:tcPr>
          <w:p w14:paraId="56866022" w14:textId="77777777" w:rsidR="007C6854" w:rsidRDefault="00E0219E">
            <w:pPr>
              <w:spacing w:line="259" w:lineRule="auto"/>
              <w:jc w:val="center"/>
              <w:rPr>
                <w:rFonts w:eastAsia="Arial" w:cs="Arial"/>
                <w:szCs w:val="24"/>
              </w:rPr>
            </w:pPr>
            <w:r>
              <w:rPr>
                <w:rFonts w:eastAsia="Arial" w:cs="Arial"/>
                <w:szCs w:val="24"/>
              </w:rPr>
              <w:t>95%CI</w:t>
            </w:r>
          </w:p>
        </w:tc>
        <w:tc>
          <w:tcPr>
            <w:tcW w:w="1320" w:type="dxa"/>
            <w:tcBorders>
              <w:top w:val="single" w:sz="4" w:space="0" w:color="auto"/>
              <w:bottom w:val="single" w:sz="4" w:space="0" w:color="auto"/>
            </w:tcBorders>
            <w:vAlign w:val="center"/>
          </w:tcPr>
          <w:p w14:paraId="7C22E059" w14:textId="77777777" w:rsidR="007C6854" w:rsidRDefault="00E0219E">
            <w:pPr>
              <w:spacing w:line="259" w:lineRule="auto"/>
              <w:jc w:val="center"/>
              <w:rPr>
                <w:rFonts w:eastAsia="Arial" w:cs="Arial"/>
                <w:szCs w:val="24"/>
              </w:rPr>
            </w:pPr>
            <w:r>
              <w:rPr>
                <w:rFonts w:eastAsia="Arial" w:cs="Arial"/>
                <w:szCs w:val="24"/>
              </w:rPr>
              <w:t>P-value</w:t>
            </w:r>
          </w:p>
        </w:tc>
      </w:tr>
      <w:tr w:rsidR="007C6854" w14:paraId="3A6BF377" w14:textId="77777777" w:rsidTr="00DA41CA">
        <w:tc>
          <w:tcPr>
            <w:tcW w:w="3375" w:type="dxa"/>
            <w:tcBorders>
              <w:top w:val="single" w:sz="4" w:space="0" w:color="auto"/>
            </w:tcBorders>
            <w:vAlign w:val="center"/>
          </w:tcPr>
          <w:p w14:paraId="33E4EFC2" w14:textId="77777777" w:rsidR="007C6854" w:rsidRDefault="00E0219E">
            <w:pPr>
              <w:spacing w:line="259" w:lineRule="auto"/>
              <w:rPr>
                <w:rFonts w:eastAsia="Arial" w:cs="Arial"/>
                <w:szCs w:val="24"/>
              </w:rPr>
            </w:pPr>
            <w:r>
              <w:rPr>
                <w:rFonts w:eastAsia="Arial" w:cs="Arial"/>
                <w:szCs w:val="24"/>
              </w:rPr>
              <w:t>60 years old and above</w:t>
            </w:r>
          </w:p>
        </w:tc>
        <w:tc>
          <w:tcPr>
            <w:tcW w:w="1500" w:type="dxa"/>
            <w:tcBorders>
              <w:top w:val="single" w:sz="4" w:space="0" w:color="auto"/>
            </w:tcBorders>
            <w:vAlign w:val="center"/>
          </w:tcPr>
          <w:p w14:paraId="70CEB4BF" w14:textId="77777777" w:rsidR="007C6854" w:rsidRDefault="00E0219E">
            <w:pPr>
              <w:spacing w:line="259" w:lineRule="auto"/>
              <w:jc w:val="center"/>
              <w:rPr>
                <w:rFonts w:eastAsia="Arial" w:cs="Arial"/>
                <w:szCs w:val="24"/>
              </w:rPr>
            </w:pPr>
            <w:r>
              <w:rPr>
                <w:rFonts w:eastAsia="Arial" w:cs="Arial"/>
                <w:szCs w:val="24"/>
              </w:rPr>
              <w:t>4.37</w:t>
            </w:r>
          </w:p>
        </w:tc>
        <w:tc>
          <w:tcPr>
            <w:tcW w:w="3090" w:type="dxa"/>
            <w:tcBorders>
              <w:top w:val="single" w:sz="4" w:space="0" w:color="auto"/>
            </w:tcBorders>
            <w:vAlign w:val="center"/>
          </w:tcPr>
          <w:p w14:paraId="44F90A55" w14:textId="77777777" w:rsidR="007C6854" w:rsidRDefault="00E0219E">
            <w:pPr>
              <w:spacing w:line="259" w:lineRule="auto"/>
              <w:jc w:val="center"/>
              <w:rPr>
                <w:rFonts w:eastAsia="Arial" w:cs="Arial"/>
                <w:szCs w:val="24"/>
              </w:rPr>
            </w:pPr>
            <w:r>
              <w:rPr>
                <w:rFonts w:eastAsia="Arial" w:cs="Arial"/>
                <w:szCs w:val="24"/>
              </w:rPr>
              <w:t>2.182 to 8.74</w:t>
            </w:r>
          </w:p>
        </w:tc>
        <w:tc>
          <w:tcPr>
            <w:tcW w:w="1320" w:type="dxa"/>
            <w:vMerge w:val="restart"/>
            <w:tcBorders>
              <w:top w:val="single" w:sz="4" w:space="0" w:color="auto"/>
            </w:tcBorders>
            <w:vAlign w:val="center"/>
          </w:tcPr>
          <w:p w14:paraId="210E3DF7" w14:textId="77777777" w:rsidR="007C6854" w:rsidRDefault="00E0219E">
            <w:pPr>
              <w:spacing w:line="259" w:lineRule="auto"/>
              <w:jc w:val="center"/>
              <w:rPr>
                <w:rFonts w:eastAsia="Arial" w:cs="Arial"/>
                <w:szCs w:val="24"/>
              </w:rPr>
            </w:pPr>
            <w:r>
              <w:rPr>
                <w:rFonts w:eastAsia="Arial" w:cs="Arial"/>
                <w:szCs w:val="24"/>
              </w:rPr>
              <w:t>0.0000*</w:t>
            </w:r>
          </w:p>
        </w:tc>
      </w:tr>
      <w:tr w:rsidR="007C6854" w14:paraId="33909D07" w14:textId="77777777" w:rsidTr="00DA41CA">
        <w:tc>
          <w:tcPr>
            <w:tcW w:w="3375" w:type="dxa"/>
            <w:vAlign w:val="center"/>
          </w:tcPr>
          <w:p w14:paraId="5A67E1B0" w14:textId="77777777" w:rsidR="007C6854" w:rsidRDefault="00E0219E">
            <w:pPr>
              <w:spacing w:line="259" w:lineRule="auto"/>
              <w:rPr>
                <w:rFonts w:eastAsia="Arial" w:cs="Arial"/>
                <w:szCs w:val="24"/>
              </w:rPr>
            </w:pPr>
            <w:r>
              <w:rPr>
                <w:rFonts w:eastAsia="Arial" w:cs="Arial"/>
                <w:szCs w:val="24"/>
              </w:rPr>
              <w:t xml:space="preserve">Below 60 years old </w:t>
            </w:r>
          </w:p>
        </w:tc>
        <w:tc>
          <w:tcPr>
            <w:tcW w:w="1500" w:type="dxa"/>
            <w:vAlign w:val="center"/>
          </w:tcPr>
          <w:p w14:paraId="5E4A0563" w14:textId="77777777" w:rsidR="007C6854" w:rsidRDefault="00E0219E">
            <w:pPr>
              <w:spacing w:line="259" w:lineRule="auto"/>
              <w:jc w:val="center"/>
              <w:rPr>
                <w:rFonts w:eastAsia="Arial" w:cs="Arial"/>
                <w:szCs w:val="24"/>
              </w:rPr>
            </w:pPr>
            <w:r>
              <w:rPr>
                <w:rFonts w:eastAsia="Arial" w:cs="Arial"/>
                <w:szCs w:val="24"/>
              </w:rPr>
              <w:t>0.229</w:t>
            </w:r>
          </w:p>
        </w:tc>
        <w:tc>
          <w:tcPr>
            <w:tcW w:w="3090" w:type="dxa"/>
            <w:vAlign w:val="center"/>
          </w:tcPr>
          <w:p w14:paraId="58BD88BF" w14:textId="77777777" w:rsidR="007C6854" w:rsidRDefault="00E0219E">
            <w:pPr>
              <w:spacing w:line="259" w:lineRule="auto"/>
              <w:jc w:val="center"/>
              <w:rPr>
                <w:rFonts w:eastAsia="Arial" w:cs="Arial"/>
                <w:szCs w:val="24"/>
              </w:rPr>
            </w:pPr>
            <w:r>
              <w:rPr>
                <w:rFonts w:eastAsia="Arial" w:cs="Arial"/>
                <w:szCs w:val="24"/>
              </w:rPr>
              <w:t>0.1145 to 0.458</w:t>
            </w:r>
          </w:p>
        </w:tc>
        <w:tc>
          <w:tcPr>
            <w:tcW w:w="1320" w:type="dxa"/>
            <w:vMerge/>
            <w:vAlign w:val="center"/>
          </w:tcPr>
          <w:p w14:paraId="7A33E2CC" w14:textId="77777777" w:rsidR="007C6854" w:rsidRDefault="007C6854">
            <w:pPr>
              <w:widowControl w:val="0"/>
              <w:pBdr>
                <w:top w:val="nil"/>
                <w:left w:val="nil"/>
                <w:bottom w:val="nil"/>
                <w:right w:val="nil"/>
                <w:between w:val="nil"/>
              </w:pBdr>
              <w:spacing w:line="276" w:lineRule="auto"/>
              <w:rPr>
                <w:rFonts w:eastAsia="Arial" w:cs="Arial"/>
                <w:szCs w:val="24"/>
              </w:rPr>
            </w:pPr>
          </w:p>
        </w:tc>
      </w:tr>
      <w:tr w:rsidR="007C6854" w14:paraId="1C59C186" w14:textId="77777777" w:rsidTr="00DA41CA">
        <w:trPr>
          <w:trHeight w:val="240"/>
        </w:trPr>
        <w:tc>
          <w:tcPr>
            <w:tcW w:w="3375" w:type="dxa"/>
            <w:vAlign w:val="center"/>
          </w:tcPr>
          <w:p w14:paraId="4DE4E531" w14:textId="77777777" w:rsidR="007C6854" w:rsidRDefault="00E0219E">
            <w:pPr>
              <w:spacing w:line="259" w:lineRule="auto"/>
              <w:rPr>
                <w:rFonts w:eastAsia="Arial" w:cs="Arial"/>
                <w:szCs w:val="24"/>
              </w:rPr>
            </w:pPr>
            <w:r>
              <w:rPr>
                <w:rFonts w:eastAsia="Arial" w:cs="Arial"/>
                <w:szCs w:val="24"/>
              </w:rPr>
              <w:t>40 years old and above</w:t>
            </w:r>
          </w:p>
        </w:tc>
        <w:tc>
          <w:tcPr>
            <w:tcW w:w="1500" w:type="dxa"/>
            <w:vAlign w:val="center"/>
          </w:tcPr>
          <w:p w14:paraId="613965DC" w14:textId="77777777" w:rsidR="007C6854" w:rsidRDefault="00E0219E">
            <w:pPr>
              <w:spacing w:line="259" w:lineRule="auto"/>
              <w:jc w:val="center"/>
              <w:rPr>
                <w:rFonts w:eastAsia="Arial" w:cs="Arial"/>
                <w:szCs w:val="24"/>
              </w:rPr>
            </w:pPr>
            <w:r>
              <w:rPr>
                <w:rFonts w:eastAsia="Arial" w:cs="Arial"/>
                <w:szCs w:val="24"/>
              </w:rPr>
              <w:t>3.60</w:t>
            </w:r>
          </w:p>
        </w:tc>
        <w:tc>
          <w:tcPr>
            <w:tcW w:w="3090" w:type="dxa"/>
            <w:vAlign w:val="center"/>
          </w:tcPr>
          <w:p w14:paraId="720599B0" w14:textId="77777777" w:rsidR="007C6854" w:rsidRDefault="00E0219E">
            <w:pPr>
              <w:spacing w:line="259" w:lineRule="auto"/>
              <w:jc w:val="center"/>
              <w:rPr>
                <w:rFonts w:eastAsia="Arial" w:cs="Arial"/>
                <w:szCs w:val="24"/>
              </w:rPr>
            </w:pPr>
            <w:r>
              <w:rPr>
                <w:rFonts w:eastAsia="Arial" w:cs="Arial"/>
                <w:szCs w:val="24"/>
              </w:rPr>
              <w:t>1.0412 to 12.4</w:t>
            </w:r>
          </w:p>
        </w:tc>
        <w:tc>
          <w:tcPr>
            <w:tcW w:w="1320" w:type="dxa"/>
            <w:vMerge w:val="restart"/>
            <w:vAlign w:val="center"/>
          </w:tcPr>
          <w:p w14:paraId="5BE5DCF0" w14:textId="77777777" w:rsidR="007C6854" w:rsidRDefault="00E0219E">
            <w:pPr>
              <w:spacing w:line="259" w:lineRule="auto"/>
              <w:jc w:val="center"/>
              <w:rPr>
                <w:rFonts w:eastAsia="Arial" w:cs="Arial"/>
                <w:szCs w:val="24"/>
              </w:rPr>
            </w:pPr>
            <w:r>
              <w:rPr>
                <w:rFonts w:eastAsia="Arial" w:cs="Arial"/>
                <w:szCs w:val="24"/>
              </w:rPr>
              <w:t>0.0345*</w:t>
            </w:r>
          </w:p>
        </w:tc>
      </w:tr>
      <w:tr w:rsidR="007C6854" w14:paraId="3CFAC6DF" w14:textId="77777777" w:rsidTr="00DA41CA">
        <w:trPr>
          <w:trHeight w:val="240"/>
        </w:trPr>
        <w:tc>
          <w:tcPr>
            <w:tcW w:w="3375" w:type="dxa"/>
            <w:vAlign w:val="center"/>
          </w:tcPr>
          <w:p w14:paraId="3A61FF75" w14:textId="77777777" w:rsidR="007C6854" w:rsidRDefault="00E0219E">
            <w:pPr>
              <w:spacing w:line="259" w:lineRule="auto"/>
              <w:rPr>
                <w:rFonts w:eastAsia="Arial" w:cs="Arial"/>
                <w:szCs w:val="24"/>
              </w:rPr>
            </w:pPr>
            <w:r>
              <w:rPr>
                <w:rFonts w:eastAsia="Arial" w:cs="Arial"/>
                <w:szCs w:val="24"/>
              </w:rPr>
              <w:t>Below 40 years old</w:t>
            </w:r>
          </w:p>
        </w:tc>
        <w:tc>
          <w:tcPr>
            <w:tcW w:w="1500" w:type="dxa"/>
            <w:vAlign w:val="center"/>
          </w:tcPr>
          <w:p w14:paraId="5C91F3CF" w14:textId="77777777" w:rsidR="007C6854" w:rsidRDefault="00E0219E">
            <w:pPr>
              <w:spacing w:line="259" w:lineRule="auto"/>
              <w:jc w:val="center"/>
              <w:rPr>
                <w:rFonts w:eastAsia="Arial" w:cs="Arial"/>
                <w:szCs w:val="24"/>
              </w:rPr>
            </w:pPr>
            <w:r>
              <w:rPr>
                <w:rFonts w:eastAsia="Arial" w:cs="Arial"/>
                <w:szCs w:val="24"/>
              </w:rPr>
              <w:t>0.278</w:t>
            </w:r>
          </w:p>
        </w:tc>
        <w:tc>
          <w:tcPr>
            <w:tcW w:w="3090" w:type="dxa"/>
            <w:vAlign w:val="center"/>
          </w:tcPr>
          <w:p w14:paraId="664330E7" w14:textId="77777777" w:rsidR="007C6854" w:rsidRDefault="00E0219E">
            <w:pPr>
              <w:spacing w:line="259" w:lineRule="auto"/>
              <w:jc w:val="center"/>
              <w:rPr>
                <w:rFonts w:eastAsia="Arial" w:cs="Arial"/>
                <w:szCs w:val="24"/>
              </w:rPr>
            </w:pPr>
            <w:r>
              <w:rPr>
                <w:rFonts w:eastAsia="Arial" w:cs="Arial"/>
                <w:szCs w:val="24"/>
              </w:rPr>
              <w:t>0.08036 to 0.96</w:t>
            </w:r>
          </w:p>
        </w:tc>
        <w:tc>
          <w:tcPr>
            <w:tcW w:w="1320" w:type="dxa"/>
            <w:vMerge/>
            <w:vAlign w:val="center"/>
          </w:tcPr>
          <w:p w14:paraId="3AB7EC8E" w14:textId="77777777" w:rsidR="007C6854" w:rsidRDefault="007C6854">
            <w:pPr>
              <w:widowControl w:val="0"/>
              <w:pBdr>
                <w:top w:val="nil"/>
                <w:left w:val="nil"/>
                <w:bottom w:val="nil"/>
                <w:right w:val="nil"/>
                <w:between w:val="nil"/>
              </w:pBdr>
              <w:spacing w:line="276" w:lineRule="auto"/>
              <w:rPr>
                <w:rFonts w:eastAsia="Arial" w:cs="Arial"/>
                <w:szCs w:val="24"/>
              </w:rPr>
            </w:pPr>
          </w:p>
        </w:tc>
      </w:tr>
      <w:tr w:rsidR="007C6854" w14:paraId="19105414" w14:textId="77777777" w:rsidTr="00DA41CA">
        <w:trPr>
          <w:trHeight w:val="240"/>
        </w:trPr>
        <w:tc>
          <w:tcPr>
            <w:tcW w:w="3375" w:type="dxa"/>
            <w:vAlign w:val="center"/>
          </w:tcPr>
          <w:p w14:paraId="7BAC3731" w14:textId="77777777" w:rsidR="007C6854" w:rsidRDefault="00E0219E">
            <w:pPr>
              <w:spacing w:line="259" w:lineRule="auto"/>
              <w:rPr>
                <w:rFonts w:eastAsia="Arial" w:cs="Arial"/>
                <w:szCs w:val="24"/>
              </w:rPr>
            </w:pPr>
            <w:r>
              <w:rPr>
                <w:rFonts w:eastAsia="Arial" w:cs="Arial"/>
                <w:szCs w:val="24"/>
              </w:rPr>
              <w:t xml:space="preserve">Female </w:t>
            </w:r>
          </w:p>
        </w:tc>
        <w:tc>
          <w:tcPr>
            <w:tcW w:w="1500" w:type="dxa"/>
            <w:vAlign w:val="center"/>
          </w:tcPr>
          <w:p w14:paraId="18CE5F5E" w14:textId="77777777" w:rsidR="007C6854" w:rsidRDefault="00E0219E">
            <w:pPr>
              <w:spacing w:line="259" w:lineRule="auto"/>
              <w:jc w:val="center"/>
              <w:rPr>
                <w:rFonts w:eastAsia="Arial" w:cs="Arial"/>
                <w:szCs w:val="24"/>
              </w:rPr>
            </w:pPr>
            <w:r>
              <w:rPr>
                <w:rFonts w:eastAsia="Arial" w:cs="Arial"/>
                <w:szCs w:val="24"/>
              </w:rPr>
              <w:t>0.704</w:t>
            </w:r>
          </w:p>
        </w:tc>
        <w:tc>
          <w:tcPr>
            <w:tcW w:w="3090" w:type="dxa"/>
            <w:vAlign w:val="center"/>
          </w:tcPr>
          <w:p w14:paraId="402D69B2" w14:textId="77777777" w:rsidR="007C6854" w:rsidRDefault="00E0219E">
            <w:pPr>
              <w:spacing w:line="259" w:lineRule="auto"/>
              <w:jc w:val="center"/>
              <w:rPr>
                <w:rFonts w:eastAsia="Arial" w:cs="Arial"/>
                <w:szCs w:val="24"/>
              </w:rPr>
            </w:pPr>
            <w:r>
              <w:rPr>
                <w:rFonts w:eastAsia="Arial" w:cs="Arial"/>
                <w:szCs w:val="24"/>
              </w:rPr>
              <w:t>0.349 to 1.42</w:t>
            </w:r>
          </w:p>
        </w:tc>
        <w:tc>
          <w:tcPr>
            <w:tcW w:w="1320" w:type="dxa"/>
            <w:vMerge w:val="restart"/>
            <w:vAlign w:val="center"/>
          </w:tcPr>
          <w:p w14:paraId="293CB59F" w14:textId="77777777" w:rsidR="007C6854" w:rsidRDefault="00E0219E">
            <w:pPr>
              <w:widowControl w:val="0"/>
              <w:jc w:val="center"/>
              <w:rPr>
                <w:rFonts w:eastAsia="Arial" w:cs="Arial"/>
                <w:szCs w:val="24"/>
              </w:rPr>
            </w:pPr>
            <w:r>
              <w:rPr>
                <w:rFonts w:eastAsia="Arial" w:cs="Arial"/>
                <w:szCs w:val="24"/>
              </w:rPr>
              <w:t>0.329</w:t>
            </w:r>
          </w:p>
        </w:tc>
      </w:tr>
      <w:tr w:rsidR="007C6854" w14:paraId="4C0EECC5" w14:textId="77777777" w:rsidTr="00DA41CA">
        <w:trPr>
          <w:trHeight w:val="402"/>
        </w:trPr>
        <w:tc>
          <w:tcPr>
            <w:tcW w:w="3375" w:type="dxa"/>
            <w:vAlign w:val="center"/>
          </w:tcPr>
          <w:p w14:paraId="22764967" w14:textId="77777777" w:rsidR="007C6854" w:rsidRDefault="00E0219E">
            <w:pPr>
              <w:spacing w:line="259" w:lineRule="auto"/>
              <w:rPr>
                <w:rFonts w:eastAsia="Arial" w:cs="Arial"/>
                <w:szCs w:val="24"/>
              </w:rPr>
            </w:pPr>
            <w:r>
              <w:rPr>
                <w:rFonts w:eastAsia="Arial" w:cs="Arial"/>
                <w:szCs w:val="24"/>
              </w:rPr>
              <w:t>Male</w:t>
            </w:r>
          </w:p>
        </w:tc>
        <w:tc>
          <w:tcPr>
            <w:tcW w:w="1500" w:type="dxa"/>
            <w:vAlign w:val="center"/>
          </w:tcPr>
          <w:p w14:paraId="2EEAA87F" w14:textId="77777777" w:rsidR="007C6854" w:rsidRDefault="00E0219E">
            <w:pPr>
              <w:spacing w:line="259" w:lineRule="auto"/>
              <w:jc w:val="center"/>
              <w:rPr>
                <w:rFonts w:eastAsia="Arial" w:cs="Arial"/>
                <w:szCs w:val="24"/>
              </w:rPr>
            </w:pPr>
            <w:r>
              <w:rPr>
                <w:rFonts w:eastAsia="Arial" w:cs="Arial"/>
                <w:szCs w:val="24"/>
              </w:rPr>
              <w:t>1.42</w:t>
            </w:r>
          </w:p>
        </w:tc>
        <w:tc>
          <w:tcPr>
            <w:tcW w:w="3090" w:type="dxa"/>
            <w:vAlign w:val="center"/>
          </w:tcPr>
          <w:p w14:paraId="7B4ECCD3" w14:textId="77777777" w:rsidR="007C6854" w:rsidRDefault="00E0219E">
            <w:pPr>
              <w:spacing w:line="259" w:lineRule="auto"/>
              <w:jc w:val="center"/>
              <w:rPr>
                <w:rFonts w:eastAsia="Arial" w:cs="Arial"/>
                <w:szCs w:val="24"/>
              </w:rPr>
            </w:pPr>
            <w:r>
              <w:rPr>
                <w:rFonts w:eastAsia="Arial" w:cs="Arial"/>
                <w:szCs w:val="24"/>
              </w:rPr>
              <w:t>0.705 to 2.86</w:t>
            </w:r>
          </w:p>
        </w:tc>
        <w:tc>
          <w:tcPr>
            <w:tcW w:w="1320" w:type="dxa"/>
            <w:vMerge/>
            <w:vAlign w:val="center"/>
          </w:tcPr>
          <w:p w14:paraId="1914BFCD" w14:textId="77777777" w:rsidR="007C6854" w:rsidRDefault="007C6854">
            <w:pPr>
              <w:widowControl w:val="0"/>
              <w:pBdr>
                <w:top w:val="nil"/>
                <w:left w:val="nil"/>
                <w:bottom w:val="nil"/>
                <w:right w:val="nil"/>
                <w:between w:val="nil"/>
              </w:pBdr>
              <w:spacing w:line="276" w:lineRule="auto"/>
              <w:rPr>
                <w:rFonts w:eastAsia="Arial" w:cs="Arial"/>
                <w:szCs w:val="24"/>
              </w:rPr>
            </w:pPr>
          </w:p>
        </w:tc>
      </w:tr>
      <w:tr w:rsidR="007C6854" w14:paraId="00786EC7" w14:textId="77777777" w:rsidTr="00DA41CA">
        <w:trPr>
          <w:trHeight w:val="240"/>
        </w:trPr>
        <w:tc>
          <w:tcPr>
            <w:tcW w:w="3375" w:type="dxa"/>
            <w:vAlign w:val="center"/>
          </w:tcPr>
          <w:p w14:paraId="739E1E7A" w14:textId="77777777" w:rsidR="007C6854" w:rsidRDefault="00E0219E">
            <w:pPr>
              <w:spacing w:line="259" w:lineRule="auto"/>
              <w:rPr>
                <w:rFonts w:eastAsia="Arial" w:cs="Arial"/>
                <w:szCs w:val="24"/>
              </w:rPr>
            </w:pPr>
            <w:r>
              <w:rPr>
                <w:rFonts w:eastAsia="Arial" w:cs="Arial"/>
                <w:szCs w:val="24"/>
              </w:rPr>
              <w:t>Individuals with high educational status</w:t>
            </w:r>
          </w:p>
        </w:tc>
        <w:tc>
          <w:tcPr>
            <w:tcW w:w="1500" w:type="dxa"/>
            <w:vAlign w:val="center"/>
          </w:tcPr>
          <w:p w14:paraId="14041127" w14:textId="77777777" w:rsidR="007C6854" w:rsidRDefault="00E0219E">
            <w:pPr>
              <w:spacing w:line="259" w:lineRule="auto"/>
              <w:jc w:val="center"/>
              <w:rPr>
                <w:rFonts w:eastAsia="Arial" w:cs="Arial"/>
                <w:szCs w:val="24"/>
              </w:rPr>
            </w:pPr>
            <w:r>
              <w:rPr>
                <w:rFonts w:eastAsia="Arial" w:cs="Arial"/>
                <w:szCs w:val="24"/>
              </w:rPr>
              <w:t>0.1438</w:t>
            </w:r>
          </w:p>
        </w:tc>
        <w:tc>
          <w:tcPr>
            <w:tcW w:w="3090" w:type="dxa"/>
            <w:vAlign w:val="center"/>
          </w:tcPr>
          <w:p w14:paraId="7B12CF1E" w14:textId="77777777" w:rsidR="007C6854" w:rsidRDefault="00E0219E">
            <w:pPr>
              <w:jc w:val="center"/>
              <w:rPr>
                <w:rFonts w:eastAsia="Arial" w:cs="Arial"/>
                <w:szCs w:val="24"/>
              </w:rPr>
            </w:pPr>
            <w:r>
              <w:rPr>
                <w:rFonts w:eastAsia="Arial" w:cs="Arial"/>
                <w:szCs w:val="24"/>
              </w:rPr>
              <w:t>0.07 to 0.296</w:t>
            </w:r>
          </w:p>
        </w:tc>
        <w:tc>
          <w:tcPr>
            <w:tcW w:w="1320" w:type="dxa"/>
            <w:vMerge w:val="restart"/>
            <w:vAlign w:val="center"/>
          </w:tcPr>
          <w:p w14:paraId="1BA0BCD1" w14:textId="77777777" w:rsidR="007C6854" w:rsidRDefault="00E0219E">
            <w:pPr>
              <w:spacing w:line="259" w:lineRule="auto"/>
              <w:jc w:val="center"/>
              <w:rPr>
                <w:rFonts w:eastAsia="Arial" w:cs="Arial"/>
                <w:szCs w:val="24"/>
              </w:rPr>
            </w:pPr>
            <w:r>
              <w:rPr>
                <w:rFonts w:eastAsia="Arial" w:cs="Arial"/>
                <w:szCs w:val="24"/>
              </w:rPr>
              <w:t>0.0000*</w:t>
            </w:r>
          </w:p>
        </w:tc>
      </w:tr>
      <w:tr w:rsidR="007C6854" w14:paraId="1F57E6F1" w14:textId="77777777" w:rsidTr="00DA41CA">
        <w:trPr>
          <w:trHeight w:val="240"/>
        </w:trPr>
        <w:tc>
          <w:tcPr>
            <w:tcW w:w="3375" w:type="dxa"/>
            <w:vAlign w:val="center"/>
          </w:tcPr>
          <w:p w14:paraId="273E7B65" w14:textId="77777777" w:rsidR="007C6854" w:rsidRDefault="00E0219E">
            <w:pPr>
              <w:spacing w:line="259" w:lineRule="auto"/>
              <w:rPr>
                <w:rFonts w:eastAsia="Arial" w:cs="Arial"/>
                <w:szCs w:val="24"/>
              </w:rPr>
            </w:pPr>
            <w:r>
              <w:rPr>
                <w:rFonts w:eastAsia="Arial" w:cs="Arial"/>
                <w:szCs w:val="24"/>
              </w:rPr>
              <w:t>Individuals with low educational status</w:t>
            </w:r>
          </w:p>
        </w:tc>
        <w:tc>
          <w:tcPr>
            <w:tcW w:w="1500" w:type="dxa"/>
            <w:vAlign w:val="center"/>
          </w:tcPr>
          <w:p w14:paraId="2310A6E3" w14:textId="77777777" w:rsidR="007C6854" w:rsidRDefault="00E0219E">
            <w:pPr>
              <w:jc w:val="center"/>
              <w:rPr>
                <w:rFonts w:eastAsia="Arial" w:cs="Arial"/>
                <w:szCs w:val="24"/>
              </w:rPr>
            </w:pPr>
            <w:r>
              <w:rPr>
                <w:rFonts w:eastAsia="Arial" w:cs="Arial"/>
                <w:szCs w:val="24"/>
              </w:rPr>
              <w:t>6.95</w:t>
            </w:r>
          </w:p>
        </w:tc>
        <w:tc>
          <w:tcPr>
            <w:tcW w:w="3090" w:type="dxa"/>
            <w:vAlign w:val="center"/>
          </w:tcPr>
          <w:p w14:paraId="50DF2599" w14:textId="77777777" w:rsidR="007C6854" w:rsidRDefault="00E0219E">
            <w:pPr>
              <w:spacing w:line="259" w:lineRule="auto"/>
              <w:jc w:val="center"/>
              <w:rPr>
                <w:rFonts w:eastAsia="Arial" w:cs="Arial"/>
                <w:szCs w:val="24"/>
              </w:rPr>
            </w:pPr>
            <w:r>
              <w:rPr>
                <w:rFonts w:eastAsia="Arial" w:cs="Arial"/>
                <w:szCs w:val="24"/>
              </w:rPr>
              <w:t xml:space="preserve">  3.379 to 14.3</w:t>
            </w:r>
          </w:p>
        </w:tc>
        <w:tc>
          <w:tcPr>
            <w:tcW w:w="1320" w:type="dxa"/>
            <w:vMerge/>
            <w:vAlign w:val="center"/>
          </w:tcPr>
          <w:p w14:paraId="1BB23996" w14:textId="77777777" w:rsidR="007C6854" w:rsidRDefault="007C6854">
            <w:pPr>
              <w:widowControl w:val="0"/>
              <w:pBdr>
                <w:top w:val="nil"/>
                <w:left w:val="nil"/>
                <w:bottom w:val="nil"/>
                <w:right w:val="nil"/>
                <w:between w:val="nil"/>
              </w:pBdr>
              <w:spacing w:line="276" w:lineRule="auto"/>
              <w:rPr>
                <w:rFonts w:eastAsia="Arial" w:cs="Arial"/>
                <w:szCs w:val="24"/>
              </w:rPr>
            </w:pPr>
          </w:p>
        </w:tc>
      </w:tr>
      <w:tr w:rsidR="007C6854" w14:paraId="26230EA4" w14:textId="77777777" w:rsidTr="00DA41CA">
        <w:trPr>
          <w:trHeight w:val="240"/>
        </w:trPr>
        <w:tc>
          <w:tcPr>
            <w:tcW w:w="3375" w:type="dxa"/>
            <w:vAlign w:val="center"/>
          </w:tcPr>
          <w:p w14:paraId="0A436EEA" w14:textId="77777777" w:rsidR="007C6854" w:rsidRDefault="00E0219E">
            <w:pPr>
              <w:spacing w:line="259" w:lineRule="auto"/>
              <w:rPr>
                <w:rFonts w:eastAsia="Arial" w:cs="Arial"/>
                <w:szCs w:val="24"/>
              </w:rPr>
            </w:pPr>
            <w:r>
              <w:rPr>
                <w:rFonts w:eastAsia="Arial" w:cs="Arial"/>
                <w:szCs w:val="24"/>
              </w:rPr>
              <w:t>Employed individual</w:t>
            </w:r>
          </w:p>
        </w:tc>
        <w:tc>
          <w:tcPr>
            <w:tcW w:w="1500" w:type="dxa"/>
            <w:vAlign w:val="center"/>
          </w:tcPr>
          <w:p w14:paraId="5802C5CC" w14:textId="77777777" w:rsidR="007C6854" w:rsidRDefault="00E0219E">
            <w:pPr>
              <w:spacing w:line="259" w:lineRule="auto"/>
              <w:jc w:val="center"/>
              <w:rPr>
                <w:rFonts w:eastAsia="Arial" w:cs="Arial"/>
                <w:szCs w:val="24"/>
              </w:rPr>
            </w:pPr>
            <w:r>
              <w:rPr>
                <w:rFonts w:eastAsia="Arial" w:cs="Arial"/>
                <w:szCs w:val="24"/>
              </w:rPr>
              <w:t>2.36</w:t>
            </w:r>
          </w:p>
        </w:tc>
        <w:tc>
          <w:tcPr>
            <w:tcW w:w="3090" w:type="dxa"/>
            <w:vAlign w:val="center"/>
          </w:tcPr>
          <w:p w14:paraId="7D6B0530" w14:textId="77777777" w:rsidR="007C6854" w:rsidRDefault="00E0219E">
            <w:pPr>
              <w:spacing w:line="288" w:lineRule="auto"/>
              <w:jc w:val="center"/>
              <w:rPr>
                <w:rFonts w:eastAsia="Arial" w:cs="Arial"/>
                <w:sz w:val="28"/>
                <w:szCs w:val="28"/>
              </w:rPr>
            </w:pPr>
            <w:r>
              <w:rPr>
                <w:rFonts w:eastAsia="Arial" w:cs="Arial"/>
                <w:szCs w:val="24"/>
                <w:highlight w:val="white"/>
              </w:rPr>
              <w:t>1.19 to 4.68</w:t>
            </w:r>
          </w:p>
        </w:tc>
        <w:tc>
          <w:tcPr>
            <w:tcW w:w="1320" w:type="dxa"/>
            <w:vMerge w:val="restart"/>
            <w:vAlign w:val="center"/>
          </w:tcPr>
          <w:p w14:paraId="0DB2F9BA" w14:textId="77777777" w:rsidR="007C6854" w:rsidRDefault="00E0219E">
            <w:pPr>
              <w:spacing w:line="259" w:lineRule="auto"/>
              <w:jc w:val="center"/>
              <w:rPr>
                <w:rFonts w:eastAsia="Arial" w:cs="Arial"/>
                <w:szCs w:val="24"/>
              </w:rPr>
            </w:pPr>
            <w:r>
              <w:rPr>
                <w:rFonts w:eastAsia="Arial" w:cs="Arial"/>
                <w:szCs w:val="24"/>
              </w:rPr>
              <w:t>0.0129*</w:t>
            </w:r>
          </w:p>
        </w:tc>
      </w:tr>
      <w:tr w:rsidR="007C6854" w14:paraId="4D0237E1" w14:textId="77777777" w:rsidTr="00DA41CA">
        <w:trPr>
          <w:trHeight w:val="240"/>
        </w:trPr>
        <w:tc>
          <w:tcPr>
            <w:tcW w:w="3375" w:type="dxa"/>
            <w:vAlign w:val="center"/>
          </w:tcPr>
          <w:p w14:paraId="29F57AA7" w14:textId="77777777" w:rsidR="007C6854" w:rsidRDefault="00E0219E">
            <w:pPr>
              <w:spacing w:line="259" w:lineRule="auto"/>
              <w:rPr>
                <w:rFonts w:eastAsia="Arial" w:cs="Arial"/>
                <w:szCs w:val="24"/>
              </w:rPr>
            </w:pPr>
            <w:r>
              <w:rPr>
                <w:rFonts w:eastAsia="Arial" w:cs="Arial"/>
                <w:szCs w:val="24"/>
              </w:rPr>
              <w:t>Unemployed individuals</w:t>
            </w:r>
          </w:p>
        </w:tc>
        <w:tc>
          <w:tcPr>
            <w:tcW w:w="1500" w:type="dxa"/>
            <w:vAlign w:val="center"/>
          </w:tcPr>
          <w:p w14:paraId="496F20AC" w14:textId="77777777" w:rsidR="007C6854" w:rsidRDefault="00E0219E">
            <w:pPr>
              <w:spacing w:line="288" w:lineRule="auto"/>
              <w:jc w:val="center"/>
              <w:rPr>
                <w:rFonts w:eastAsia="Arial" w:cs="Arial"/>
                <w:szCs w:val="24"/>
              </w:rPr>
            </w:pPr>
            <w:r>
              <w:rPr>
                <w:rFonts w:eastAsia="Arial" w:cs="Arial"/>
                <w:szCs w:val="24"/>
              </w:rPr>
              <w:t>0.423</w:t>
            </w:r>
          </w:p>
        </w:tc>
        <w:tc>
          <w:tcPr>
            <w:tcW w:w="3090" w:type="dxa"/>
            <w:vAlign w:val="center"/>
          </w:tcPr>
          <w:p w14:paraId="474555AE" w14:textId="77777777" w:rsidR="007C6854" w:rsidRDefault="00E0219E">
            <w:pPr>
              <w:jc w:val="center"/>
              <w:rPr>
                <w:rFonts w:eastAsia="Arial" w:cs="Arial"/>
                <w:szCs w:val="24"/>
              </w:rPr>
            </w:pPr>
            <w:r>
              <w:rPr>
                <w:rFonts w:eastAsia="Arial" w:cs="Arial"/>
                <w:szCs w:val="24"/>
              </w:rPr>
              <w:t>0.21345 to 0.84</w:t>
            </w:r>
          </w:p>
        </w:tc>
        <w:tc>
          <w:tcPr>
            <w:tcW w:w="1320" w:type="dxa"/>
            <w:vMerge/>
            <w:vAlign w:val="center"/>
          </w:tcPr>
          <w:p w14:paraId="49F4BCF7" w14:textId="77777777" w:rsidR="007C6854" w:rsidRDefault="007C6854">
            <w:pPr>
              <w:widowControl w:val="0"/>
              <w:pBdr>
                <w:top w:val="nil"/>
                <w:left w:val="nil"/>
                <w:bottom w:val="nil"/>
                <w:right w:val="nil"/>
                <w:between w:val="nil"/>
              </w:pBdr>
              <w:spacing w:line="276" w:lineRule="auto"/>
              <w:rPr>
                <w:rFonts w:eastAsia="Arial" w:cs="Arial"/>
                <w:szCs w:val="24"/>
              </w:rPr>
            </w:pPr>
          </w:p>
        </w:tc>
      </w:tr>
      <w:tr w:rsidR="007C6854" w14:paraId="166B944D" w14:textId="77777777" w:rsidTr="00DA41CA">
        <w:tc>
          <w:tcPr>
            <w:tcW w:w="3375" w:type="dxa"/>
            <w:vAlign w:val="center"/>
          </w:tcPr>
          <w:p w14:paraId="69269F02" w14:textId="77777777" w:rsidR="007C6854" w:rsidRDefault="00E0219E">
            <w:pPr>
              <w:spacing w:line="259" w:lineRule="auto"/>
              <w:rPr>
                <w:rFonts w:eastAsia="Arial" w:cs="Arial"/>
                <w:szCs w:val="24"/>
              </w:rPr>
            </w:pPr>
            <w:r>
              <w:rPr>
                <w:rFonts w:eastAsia="Arial" w:cs="Arial"/>
                <w:szCs w:val="24"/>
              </w:rPr>
              <w:t>Respondents without health insurance</w:t>
            </w:r>
          </w:p>
        </w:tc>
        <w:tc>
          <w:tcPr>
            <w:tcW w:w="1500" w:type="dxa"/>
            <w:vAlign w:val="center"/>
          </w:tcPr>
          <w:p w14:paraId="09AEFBA0" w14:textId="77777777" w:rsidR="007C6854" w:rsidRDefault="00E0219E">
            <w:pPr>
              <w:spacing w:line="259" w:lineRule="auto"/>
              <w:jc w:val="center"/>
              <w:rPr>
                <w:rFonts w:eastAsia="Arial" w:cs="Arial"/>
                <w:szCs w:val="24"/>
              </w:rPr>
            </w:pPr>
            <w:r>
              <w:rPr>
                <w:rFonts w:eastAsia="Arial" w:cs="Arial"/>
                <w:szCs w:val="24"/>
              </w:rPr>
              <w:t>1.69</w:t>
            </w:r>
          </w:p>
        </w:tc>
        <w:tc>
          <w:tcPr>
            <w:tcW w:w="3090" w:type="dxa"/>
            <w:vAlign w:val="center"/>
          </w:tcPr>
          <w:p w14:paraId="18F7F22F" w14:textId="77777777" w:rsidR="007C6854" w:rsidRDefault="00E0219E">
            <w:pPr>
              <w:spacing w:line="259" w:lineRule="auto"/>
              <w:jc w:val="center"/>
              <w:rPr>
                <w:rFonts w:eastAsia="Arial" w:cs="Arial"/>
                <w:szCs w:val="24"/>
              </w:rPr>
            </w:pPr>
            <w:r>
              <w:rPr>
                <w:rFonts w:eastAsia="Arial" w:cs="Arial"/>
                <w:szCs w:val="24"/>
              </w:rPr>
              <w:t xml:space="preserve">  0.6259 to 4.57</w:t>
            </w:r>
          </w:p>
        </w:tc>
        <w:tc>
          <w:tcPr>
            <w:tcW w:w="1320" w:type="dxa"/>
            <w:vAlign w:val="center"/>
          </w:tcPr>
          <w:p w14:paraId="7B12AC5E" w14:textId="77777777" w:rsidR="007C6854" w:rsidRDefault="00E0219E">
            <w:pPr>
              <w:spacing w:line="259" w:lineRule="auto"/>
              <w:jc w:val="center"/>
              <w:rPr>
                <w:rFonts w:eastAsia="Arial" w:cs="Arial"/>
                <w:szCs w:val="24"/>
              </w:rPr>
            </w:pPr>
            <w:r>
              <w:rPr>
                <w:rFonts w:eastAsia="Arial" w:cs="Arial"/>
                <w:szCs w:val="24"/>
              </w:rPr>
              <w:t>0.302</w:t>
            </w:r>
          </w:p>
        </w:tc>
      </w:tr>
      <w:tr w:rsidR="007C6854" w14:paraId="529C38CD" w14:textId="77777777" w:rsidTr="00DA41CA">
        <w:tc>
          <w:tcPr>
            <w:tcW w:w="3375" w:type="dxa"/>
            <w:vAlign w:val="center"/>
          </w:tcPr>
          <w:p w14:paraId="38251515" w14:textId="77777777" w:rsidR="007C6854" w:rsidRDefault="00E0219E">
            <w:pPr>
              <w:spacing w:line="259" w:lineRule="auto"/>
              <w:rPr>
                <w:rFonts w:eastAsia="Arial" w:cs="Arial"/>
                <w:szCs w:val="24"/>
              </w:rPr>
            </w:pPr>
            <w:r>
              <w:rPr>
                <w:rFonts w:eastAsia="Arial" w:cs="Arial"/>
                <w:szCs w:val="24"/>
              </w:rPr>
              <w:t xml:space="preserve">Respondents with health insurance </w:t>
            </w:r>
          </w:p>
        </w:tc>
        <w:tc>
          <w:tcPr>
            <w:tcW w:w="1500" w:type="dxa"/>
            <w:vAlign w:val="center"/>
          </w:tcPr>
          <w:p w14:paraId="01A68892" w14:textId="77777777" w:rsidR="007C6854" w:rsidRDefault="00E0219E">
            <w:pPr>
              <w:spacing w:line="259" w:lineRule="auto"/>
              <w:jc w:val="center"/>
              <w:rPr>
                <w:rFonts w:eastAsia="Arial" w:cs="Arial"/>
                <w:szCs w:val="24"/>
              </w:rPr>
            </w:pPr>
            <w:r>
              <w:rPr>
                <w:rFonts w:eastAsia="Arial" w:cs="Arial"/>
                <w:szCs w:val="24"/>
              </w:rPr>
              <w:t xml:space="preserve">  0.686</w:t>
            </w:r>
          </w:p>
        </w:tc>
        <w:tc>
          <w:tcPr>
            <w:tcW w:w="3090" w:type="dxa"/>
            <w:vAlign w:val="center"/>
          </w:tcPr>
          <w:p w14:paraId="6CD1F685" w14:textId="77777777" w:rsidR="007C6854" w:rsidRDefault="00E0219E">
            <w:pPr>
              <w:spacing w:line="259" w:lineRule="auto"/>
              <w:jc w:val="center"/>
              <w:rPr>
                <w:rFonts w:eastAsia="Arial" w:cs="Arial"/>
                <w:szCs w:val="24"/>
              </w:rPr>
            </w:pPr>
            <w:r>
              <w:rPr>
                <w:rFonts w:eastAsia="Arial" w:cs="Arial"/>
                <w:szCs w:val="24"/>
              </w:rPr>
              <w:t>0.263 to 1.79</w:t>
            </w:r>
          </w:p>
        </w:tc>
        <w:tc>
          <w:tcPr>
            <w:tcW w:w="1320" w:type="dxa"/>
            <w:vAlign w:val="center"/>
          </w:tcPr>
          <w:p w14:paraId="4DEB2FF9" w14:textId="77777777" w:rsidR="007C6854" w:rsidRDefault="00E0219E">
            <w:pPr>
              <w:spacing w:line="259" w:lineRule="auto"/>
              <w:jc w:val="center"/>
              <w:rPr>
                <w:rFonts w:eastAsia="Arial" w:cs="Arial"/>
                <w:szCs w:val="24"/>
              </w:rPr>
            </w:pPr>
            <w:r>
              <w:rPr>
                <w:rFonts w:eastAsia="Arial" w:cs="Arial"/>
                <w:szCs w:val="24"/>
              </w:rPr>
              <w:t>0.445</w:t>
            </w:r>
          </w:p>
        </w:tc>
      </w:tr>
      <w:tr w:rsidR="007C6854" w14:paraId="3E81BB67" w14:textId="77777777" w:rsidTr="00DA41CA">
        <w:trPr>
          <w:trHeight w:val="240"/>
        </w:trPr>
        <w:tc>
          <w:tcPr>
            <w:tcW w:w="3375" w:type="dxa"/>
            <w:vAlign w:val="center"/>
          </w:tcPr>
          <w:p w14:paraId="4E3BE60A" w14:textId="77777777" w:rsidR="007C6854" w:rsidRDefault="00E0219E">
            <w:pPr>
              <w:spacing w:line="259" w:lineRule="auto"/>
              <w:rPr>
                <w:rFonts w:eastAsia="Arial" w:cs="Arial"/>
                <w:szCs w:val="24"/>
              </w:rPr>
            </w:pPr>
            <w:r>
              <w:rPr>
                <w:rFonts w:eastAsia="Arial" w:cs="Arial"/>
                <w:szCs w:val="24"/>
              </w:rPr>
              <w:t>Respondents belonging to low- to high-income wealth status</w:t>
            </w:r>
          </w:p>
        </w:tc>
        <w:tc>
          <w:tcPr>
            <w:tcW w:w="1500" w:type="dxa"/>
            <w:vAlign w:val="center"/>
          </w:tcPr>
          <w:p w14:paraId="6AF4F81B" w14:textId="77777777" w:rsidR="007C6854" w:rsidRDefault="00E0219E">
            <w:pPr>
              <w:spacing w:line="259" w:lineRule="auto"/>
              <w:jc w:val="center"/>
              <w:rPr>
                <w:rFonts w:eastAsia="Arial" w:cs="Arial"/>
                <w:szCs w:val="24"/>
              </w:rPr>
            </w:pPr>
            <w:r>
              <w:rPr>
                <w:rFonts w:eastAsia="Arial" w:cs="Arial"/>
                <w:szCs w:val="24"/>
              </w:rPr>
              <w:t>0.537</w:t>
            </w:r>
          </w:p>
        </w:tc>
        <w:tc>
          <w:tcPr>
            <w:tcW w:w="3090" w:type="dxa"/>
            <w:vAlign w:val="center"/>
          </w:tcPr>
          <w:p w14:paraId="52DF01EB" w14:textId="77777777" w:rsidR="007C6854" w:rsidRDefault="00E0219E">
            <w:pPr>
              <w:spacing w:line="259" w:lineRule="auto"/>
              <w:jc w:val="center"/>
              <w:rPr>
                <w:rFonts w:eastAsia="Arial" w:cs="Arial"/>
                <w:szCs w:val="24"/>
              </w:rPr>
            </w:pPr>
            <w:r>
              <w:rPr>
                <w:rFonts w:eastAsia="Arial" w:cs="Arial"/>
                <w:szCs w:val="24"/>
              </w:rPr>
              <w:t>0.2652 to 1.09</w:t>
            </w:r>
          </w:p>
        </w:tc>
        <w:tc>
          <w:tcPr>
            <w:tcW w:w="1320" w:type="dxa"/>
            <w:vMerge w:val="restart"/>
            <w:tcBorders>
              <w:bottom w:val="single" w:sz="4" w:space="0" w:color="auto"/>
            </w:tcBorders>
            <w:vAlign w:val="center"/>
          </w:tcPr>
          <w:p w14:paraId="5059739B" w14:textId="77777777" w:rsidR="007C6854" w:rsidRDefault="007C6854">
            <w:pPr>
              <w:spacing w:line="259" w:lineRule="auto"/>
              <w:jc w:val="center"/>
              <w:rPr>
                <w:rFonts w:eastAsia="Arial" w:cs="Arial"/>
                <w:szCs w:val="24"/>
              </w:rPr>
            </w:pPr>
          </w:p>
          <w:p w14:paraId="12B4D5FB" w14:textId="77777777" w:rsidR="007C6854" w:rsidRDefault="00E0219E">
            <w:pPr>
              <w:widowControl w:val="0"/>
              <w:jc w:val="center"/>
              <w:rPr>
                <w:rFonts w:eastAsia="Arial" w:cs="Arial"/>
                <w:szCs w:val="24"/>
              </w:rPr>
            </w:pPr>
            <w:r>
              <w:rPr>
                <w:rFonts w:eastAsia="Arial" w:cs="Arial"/>
                <w:szCs w:val="24"/>
              </w:rPr>
              <w:t>0.0848</w:t>
            </w:r>
          </w:p>
        </w:tc>
      </w:tr>
      <w:tr w:rsidR="007C6854" w14:paraId="67B1844C" w14:textId="77777777" w:rsidTr="00DA41CA">
        <w:trPr>
          <w:trHeight w:val="240"/>
        </w:trPr>
        <w:tc>
          <w:tcPr>
            <w:tcW w:w="3375" w:type="dxa"/>
            <w:tcBorders>
              <w:bottom w:val="single" w:sz="4" w:space="0" w:color="auto"/>
            </w:tcBorders>
            <w:vAlign w:val="center"/>
          </w:tcPr>
          <w:p w14:paraId="11FF2142" w14:textId="77777777" w:rsidR="007C6854" w:rsidRDefault="00E0219E">
            <w:pPr>
              <w:spacing w:line="259" w:lineRule="auto"/>
              <w:rPr>
                <w:rFonts w:eastAsia="Arial" w:cs="Arial"/>
                <w:szCs w:val="24"/>
              </w:rPr>
            </w:pPr>
            <w:r>
              <w:rPr>
                <w:rFonts w:eastAsia="Arial" w:cs="Arial"/>
                <w:szCs w:val="24"/>
              </w:rPr>
              <w:t>Respondents in Poor Income wealth</w:t>
            </w:r>
          </w:p>
        </w:tc>
        <w:tc>
          <w:tcPr>
            <w:tcW w:w="1500" w:type="dxa"/>
            <w:tcBorders>
              <w:bottom w:val="single" w:sz="4" w:space="0" w:color="auto"/>
            </w:tcBorders>
            <w:vAlign w:val="center"/>
          </w:tcPr>
          <w:p w14:paraId="03AB955B" w14:textId="77777777" w:rsidR="007C6854" w:rsidRDefault="00E0219E">
            <w:pPr>
              <w:spacing w:line="259" w:lineRule="auto"/>
              <w:jc w:val="center"/>
              <w:rPr>
                <w:rFonts w:eastAsia="Arial" w:cs="Arial"/>
                <w:szCs w:val="24"/>
              </w:rPr>
            </w:pPr>
            <w:r>
              <w:rPr>
                <w:rFonts w:eastAsia="Arial" w:cs="Arial"/>
                <w:szCs w:val="24"/>
              </w:rPr>
              <w:t>1.86</w:t>
            </w:r>
          </w:p>
        </w:tc>
        <w:tc>
          <w:tcPr>
            <w:tcW w:w="3090" w:type="dxa"/>
            <w:tcBorders>
              <w:bottom w:val="single" w:sz="4" w:space="0" w:color="auto"/>
            </w:tcBorders>
            <w:vAlign w:val="center"/>
          </w:tcPr>
          <w:p w14:paraId="688D7642" w14:textId="77777777" w:rsidR="007C6854" w:rsidRDefault="00E0219E">
            <w:pPr>
              <w:spacing w:line="259" w:lineRule="auto"/>
              <w:jc w:val="center"/>
              <w:rPr>
                <w:rFonts w:eastAsia="Arial" w:cs="Arial"/>
                <w:szCs w:val="24"/>
              </w:rPr>
            </w:pPr>
            <w:r>
              <w:rPr>
                <w:rFonts w:eastAsia="Arial" w:cs="Arial"/>
                <w:szCs w:val="24"/>
              </w:rPr>
              <w:t>0.9189 to 3.77</w:t>
            </w:r>
          </w:p>
        </w:tc>
        <w:tc>
          <w:tcPr>
            <w:tcW w:w="1320" w:type="dxa"/>
            <w:vMerge/>
            <w:tcBorders>
              <w:bottom w:val="single" w:sz="4" w:space="0" w:color="auto"/>
            </w:tcBorders>
            <w:vAlign w:val="center"/>
          </w:tcPr>
          <w:p w14:paraId="15FEB6A5" w14:textId="77777777" w:rsidR="007C6854" w:rsidRDefault="007C6854">
            <w:pPr>
              <w:widowControl w:val="0"/>
              <w:pBdr>
                <w:top w:val="nil"/>
                <w:left w:val="nil"/>
                <w:bottom w:val="nil"/>
                <w:right w:val="nil"/>
                <w:between w:val="nil"/>
              </w:pBdr>
              <w:spacing w:line="276" w:lineRule="auto"/>
              <w:rPr>
                <w:rFonts w:eastAsia="Arial" w:cs="Arial"/>
                <w:szCs w:val="24"/>
              </w:rPr>
            </w:pPr>
          </w:p>
        </w:tc>
      </w:tr>
    </w:tbl>
    <w:p w14:paraId="1FA8CAA1" w14:textId="77777777" w:rsidR="00DA41CA" w:rsidRDefault="00DA41CA">
      <w:pPr>
        <w:spacing w:after="0" w:line="259" w:lineRule="auto"/>
        <w:rPr>
          <w:rFonts w:eastAsia="Arial" w:cs="Arial"/>
          <w:i/>
          <w:szCs w:val="24"/>
        </w:rPr>
      </w:pPr>
    </w:p>
    <w:p w14:paraId="202D45D5" w14:textId="292F8908" w:rsidR="007C6854" w:rsidRDefault="00E0219E">
      <w:pPr>
        <w:spacing w:after="0" w:line="259" w:lineRule="auto"/>
        <w:rPr>
          <w:rFonts w:eastAsia="Arial" w:cs="Arial"/>
          <w:b/>
          <w:szCs w:val="24"/>
        </w:rPr>
      </w:pPr>
      <w:r>
        <w:rPr>
          <w:rFonts w:eastAsia="Arial" w:cs="Arial"/>
          <w:i/>
          <w:szCs w:val="24"/>
        </w:rPr>
        <w:t>*Statistically Significant at p&lt;0.05</w:t>
      </w:r>
    </w:p>
    <w:p w14:paraId="03DCB747" w14:textId="77777777" w:rsidR="007C6854" w:rsidRDefault="00E0219E">
      <w:pPr>
        <w:spacing w:after="160" w:line="259" w:lineRule="auto"/>
        <w:jc w:val="center"/>
        <w:rPr>
          <w:rFonts w:eastAsia="Arial" w:cs="Arial"/>
          <w:b/>
          <w:szCs w:val="24"/>
        </w:rPr>
      </w:pPr>
      <w:r>
        <w:rPr>
          <w:rFonts w:eastAsia="Arial" w:cs="Arial"/>
          <w:b/>
          <w:szCs w:val="24"/>
        </w:rPr>
        <w:br/>
      </w:r>
      <w:r>
        <w:br w:type="page"/>
      </w:r>
    </w:p>
    <w:p w14:paraId="456FC96D" w14:textId="3F21FA5B" w:rsidR="007C6854" w:rsidRDefault="00F362B2" w:rsidP="00F362B2">
      <w:pPr>
        <w:pStyle w:val="Heading1"/>
        <w:spacing w:line="240" w:lineRule="auto"/>
        <w:jc w:val="center"/>
        <w:rPr>
          <w:rFonts w:eastAsia="Arial" w:cs="Arial"/>
          <w:sz w:val="24"/>
          <w:szCs w:val="24"/>
        </w:rPr>
      </w:pPr>
      <w:bookmarkStart w:id="63" w:name="_heading=h.2dlolyb" w:colFirst="0" w:colLast="0"/>
      <w:bookmarkEnd w:id="63"/>
      <w:r>
        <w:rPr>
          <w:rFonts w:eastAsia="Arial" w:cs="Arial"/>
          <w:sz w:val="24"/>
          <w:szCs w:val="24"/>
        </w:rPr>
        <w:lastRenderedPageBreak/>
        <w:t>Chapter</w:t>
      </w:r>
      <w:r w:rsidR="00E0219E">
        <w:rPr>
          <w:rFonts w:eastAsia="Arial" w:cs="Arial"/>
          <w:sz w:val="24"/>
          <w:szCs w:val="24"/>
        </w:rPr>
        <w:t xml:space="preserve"> V:</w:t>
      </w:r>
    </w:p>
    <w:p w14:paraId="6C8F41FF" w14:textId="77777777" w:rsidR="007C6854" w:rsidRDefault="00E0219E" w:rsidP="00F362B2">
      <w:pPr>
        <w:pStyle w:val="Heading1"/>
        <w:spacing w:line="240" w:lineRule="auto"/>
        <w:jc w:val="center"/>
        <w:rPr>
          <w:rFonts w:eastAsia="Arial" w:cs="Arial"/>
          <w:sz w:val="24"/>
          <w:szCs w:val="24"/>
        </w:rPr>
      </w:pPr>
      <w:bookmarkStart w:id="64" w:name="_heading=h.sqyw64" w:colFirst="0" w:colLast="0"/>
      <w:bookmarkEnd w:id="64"/>
      <w:r>
        <w:rPr>
          <w:rFonts w:eastAsia="Arial" w:cs="Arial"/>
          <w:sz w:val="24"/>
          <w:szCs w:val="24"/>
        </w:rPr>
        <w:t>CONCLUSION AND RECOMMENDATIONS</w:t>
      </w:r>
    </w:p>
    <w:p w14:paraId="4EE3C6F3" w14:textId="77777777" w:rsidR="007C6854" w:rsidRPr="00E95D0C" w:rsidRDefault="007C6854" w:rsidP="00862045">
      <w:pPr>
        <w:spacing w:line="480" w:lineRule="auto"/>
        <w:rPr>
          <w:lang w:val="en-PH"/>
        </w:rPr>
      </w:pPr>
    </w:p>
    <w:p w14:paraId="2B0C25FB" w14:textId="687B8986" w:rsidR="00F362B2" w:rsidRDefault="00E0219E" w:rsidP="00F362B2">
      <w:pPr>
        <w:pBdr>
          <w:top w:val="nil"/>
          <w:left w:val="nil"/>
          <w:bottom w:val="nil"/>
          <w:right w:val="nil"/>
          <w:between w:val="nil"/>
        </w:pBdr>
        <w:spacing w:after="160" w:line="480" w:lineRule="auto"/>
        <w:ind w:firstLine="720"/>
        <w:jc w:val="both"/>
        <w:rPr>
          <w:rFonts w:eastAsia="Arial" w:cs="Arial"/>
          <w:szCs w:val="24"/>
        </w:rPr>
      </w:pPr>
      <w:r>
        <w:rPr>
          <w:rFonts w:eastAsia="Arial" w:cs="Arial"/>
          <w:color w:val="212121"/>
          <w:szCs w:val="24"/>
          <w:highlight w:val="white"/>
        </w:rPr>
        <w:t xml:space="preserve">Overall, the study established a correlation between health literacy and hypertension among urban poor settlers in the study population. The study also suggests that hypertension could be high in urban poor communities like the community of </w:t>
      </w:r>
      <w:proofErr w:type="spellStart"/>
      <w:r>
        <w:rPr>
          <w:rFonts w:eastAsia="Arial" w:cs="Arial"/>
          <w:color w:val="212121"/>
          <w:szCs w:val="24"/>
          <w:highlight w:val="white"/>
        </w:rPr>
        <w:t>Bukuhan</w:t>
      </w:r>
      <w:proofErr w:type="spellEnd"/>
      <w:r>
        <w:rPr>
          <w:rFonts w:eastAsia="Arial" w:cs="Arial"/>
          <w:color w:val="212121"/>
          <w:szCs w:val="24"/>
          <w:highlight w:val="white"/>
        </w:rPr>
        <w:t xml:space="preserve"> in Santa Ana, Pateros. More so, the study emphasizes the importance of understanding the role of health literacy in the prevention and control of hypertension. </w:t>
      </w:r>
      <w:r>
        <w:rPr>
          <w:rFonts w:eastAsia="Arial" w:cs="Arial"/>
          <w:color w:val="000000"/>
          <w:szCs w:val="24"/>
        </w:rPr>
        <w:t xml:space="preserve">The risk of an </w:t>
      </w:r>
      <w:r>
        <w:rPr>
          <w:rFonts w:eastAsia="Arial" w:cs="Arial"/>
          <w:szCs w:val="24"/>
        </w:rPr>
        <w:t>individual getting</w:t>
      </w:r>
      <w:r>
        <w:rPr>
          <w:rFonts w:eastAsia="Arial" w:cs="Arial"/>
          <w:color w:val="000000"/>
          <w:szCs w:val="24"/>
        </w:rPr>
        <w:t xml:space="preserve"> hypertension depends on how well he understands his health issues and needs</w:t>
      </w:r>
      <w:r>
        <w:rPr>
          <w:rFonts w:eastAsia="Arial" w:cs="Arial"/>
          <w:szCs w:val="24"/>
        </w:rPr>
        <w:t>, underscoring</w:t>
      </w:r>
      <w:r>
        <w:rPr>
          <w:rFonts w:eastAsia="Arial" w:cs="Arial"/>
          <w:color w:val="000000"/>
          <w:szCs w:val="24"/>
        </w:rPr>
        <w:t xml:space="preserve"> </w:t>
      </w:r>
      <w:r>
        <w:rPr>
          <w:rFonts w:eastAsia="Arial" w:cs="Arial"/>
          <w:szCs w:val="24"/>
        </w:rPr>
        <w:t>the importance of raising awareness about h</w:t>
      </w:r>
      <w:r>
        <w:rPr>
          <w:rFonts w:eastAsia="Arial" w:cs="Arial"/>
          <w:color w:val="000000"/>
          <w:szCs w:val="24"/>
        </w:rPr>
        <w:t xml:space="preserve">ypertension prevention and </w:t>
      </w:r>
      <w:r>
        <w:rPr>
          <w:rFonts w:eastAsia="Arial" w:cs="Arial"/>
          <w:szCs w:val="24"/>
        </w:rPr>
        <w:t>control. The COVID-19 pandemic affects an individual's perception of and care for themselves. However, the result of this research reflects that the pandemic has changed the community's attitude towards health-seeking behavior, maybe because of the fear of seeking consultation at a healthcare facility or of being identified as having COVID-19 disease. In general, the increasing concern about hypertension and health literacy is timely because the two health outcomes under investigation are attributed</w:t>
      </w:r>
      <w:r>
        <w:rPr>
          <w:rFonts w:eastAsia="Arial" w:cs="Arial"/>
          <w:color w:val="000000"/>
          <w:szCs w:val="24"/>
        </w:rPr>
        <w:t xml:space="preserve"> </w:t>
      </w:r>
      <w:r>
        <w:rPr>
          <w:rFonts w:eastAsia="Arial" w:cs="Arial"/>
          <w:szCs w:val="24"/>
        </w:rPr>
        <w:t>to a multifactorial</w:t>
      </w:r>
      <w:r>
        <w:rPr>
          <w:rFonts w:eastAsia="Arial" w:cs="Arial"/>
          <w:color w:val="000000"/>
          <w:szCs w:val="24"/>
        </w:rPr>
        <w:t xml:space="preserve"> cause</w:t>
      </w:r>
      <w:r>
        <w:rPr>
          <w:rFonts w:eastAsia="Arial" w:cs="Arial"/>
          <w:szCs w:val="24"/>
        </w:rPr>
        <w:t>. On that basis, it is critical to comprehend and recognize the influence of socio-demographic factors on the health of an individual.</w:t>
      </w:r>
      <w:r>
        <w:rPr>
          <w:rFonts w:eastAsia="Arial" w:cs="Arial"/>
          <w:color w:val="000000"/>
          <w:szCs w:val="24"/>
        </w:rPr>
        <w:t xml:space="preserve"> So, whenever hypertension is </w:t>
      </w:r>
      <w:r>
        <w:rPr>
          <w:rFonts w:eastAsia="Arial" w:cs="Arial"/>
          <w:szCs w:val="24"/>
        </w:rPr>
        <w:t>discussed,</w:t>
      </w:r>
      <w:r>
        <w:rPr>
          <w:rFonts w:eastAsia="Arial" w:cs="Arial"/>
          <w:color w:val="000000"/>
          <w:szCs w:val="24"/>
        </w:rPr>
        <w:t xml:space="preserve"> the research </w:t>
      </w:r>
      <w:r>
        <w:rPr>
          <w:rFonts w:eastAsia="Arial" w:cs="Arial"/>
          <w:szCs w:val="24"/>
        </w:rPr>
        <w:t>suggests</w:t>
      </w:r>
      <w:r>
        <w:rPr>
          <w:rFonts w:eastAsia="Arial" w:cs="Arial"/>
          <w:color w:val="000000"/>
          <w:szCs w:val="24"/>
        </w:rPr>
        <w:t xml:space="preserve"> </w:t>
      </w:r>
      <w:r>
        <w:rPr>
          <w:rFonts w:eastAsia="Arial" w:cs="Arial"/>
          <w:szCs w:val="24"/>
        </w:rPr>
        <w:t>taking</w:t>
      </w:r>
      <w:r>
        <w:rPr>
          <w:rFonts w:eastAsia="Arial" w:cs="Arial"/>
          <w:color w:val="000000"/>
          <w:szCs w:val="24"/>
        </w:rPr>
        <w:t xml:space="preserve"> into consideration health literacy</w:t>
      </w:r>
      <w:r>
        <w:rPr>
          <w:rFonts w:eastAsia="Arial" w:cs="Arial"/>
          <w:szCs w:val="24"/>
        </w:rPr>
        <w:t xml:space="preserve"> issues and not only focusing on the individual risk factors associated with hypertension, which include smoking status, alcohol consumption, an unhealthy diet, and sedentary living. The World Health Organization provides a clear statement on the prevention of hypertension. These include early assessment of risk factors and early screening, following an integrated approach (WHO, 2020). In addition, health literacy is becoming </w:t>
      </w:r>
      <w:r>
        <w:rPr>
          <w:rFonts w:eastAsia="Arial" w:cs="Arial"/>
          <w:szCs w:val="24"/>
        </w:rPr>
        <w:lastRenderedPageBreak/>
        <w:t xml:space="preserve">a reality in the 21st century and maintaining excellent health literacy is important in controlling hypertension in the community, considering the three health literacy domains addressed by this study (Don </w:t>
      </w:r>
      <w:proofErr w:type="spellStart"/>
      <w:r>
        <w:rPr>
          <w:rFonts w:eastAsia="Arial" w:cs="Arial"/>
          <w:szCs w:val="24"/>
        </w:rPr>
        <w:t>Nutbeam</w:t>
      </w:r>
      <w:proofErr w:type="spellEnd"/>
      <w:r>
        <w:rPr>
          <w:rFonts w:eastAsia="Arial" w:cs="Arial"/>
          <w:szCs w:val="24"/>
        </w:rPr>
        <w:t xml:space="preserve">, 2000; Scott C. Ratzan, 2001). </w:t>
      </w:r>
    </w:p>
    <w:p w14:paraId="502B5EF6" w14:textId="77777777" w:rsidR="007C6854" w:rsidRDefault="00E0219E" w:rsidP="00F362B2">
      <w:pPr>
        <w:pStyle w:val="Heading2"/>
        <w:spacing w:line="480" w:lineRule="auto"/>
        <w:jc w:val="center"/>
      </w:pPr>
      <w:bookmarkStart w:id="65" w:name="_heading=h.3cqmetx" w:colFirst="0" w:colLast="0"/>
      <w:bookmarkEnd w:id="65"/>
      <w:r>
        <w:rPr>
          <w:rFonts w:eastAsia="Arial" w:cs="Arial"/>
          <w:sz w:val="24"/>
          <w:szCs w:val="24"/>
        </w:rPr>
        <w:t>Recommendations</w:t>
      </w:r>
    </w:p>
    <w:p w14:paraId="2AE6DA83" w14:textId="77777777" w:rsidR="007C6854" w:rsidRDefault="00E0219E" w:rsidP="00862045">
      <w:pPr>
        <w:pStyle w:val="Heading3"/>
        <w:spacing w:line="480" w:lineRule="auto"/>
      </w:pPr>
      <w:bookmarkStart w:id="66" w:name="_heading=h.1rvwp1q" w:colFirst="0" w:colLast="0"/>
      <w:bookmarkEnd w:id="66"/>
      <w:r>
        <w:rPr>
          <w:rFonts w:eastAsia="Arial" w:cs="Arial"/>
          <w:sz w:val="24"/>
          <w:szCs w:val="24"/>
        </w:rPr>
        <w:t>Department of Health</w:t>
      </w:r>
    </w:p>
    <w:p w14:paraId="75599094" w14:textId="77777777" w:rsidR="007C6854" w:rsidRDefault="00E0219E" w:rsidP="00862045">
      <w:pPr>
        <w:numPr>
          <w:ilvl w:val="0"/>
          <w:numId w:val="2"/>
        </w:numPr>
        <w:pBdr>
          <w:top w:val="nil"/>
          <w:left w:val="nil"/>
          <w:bottom w:val="nil"/>
          <w:right w:val="nil"/>
          <w:between w:val="nil"/>
        </w:pBdr>
        <w:spacing w:after="0" w:line="480" w:lineRule="auto"/>
        <w:jc w:val="both"/>
        <w:rPr>
          <w:rFonts w:eastAsia="Arial" w:cs="Arial"/>
          <w:szCs w:val="24"/>
        </w:rPr>
      </w:pPr>
      <w:r>
        <w:rPr>
          <w:rFonts w:eastAsia="Arial" w:cs="Arial"/>
          <w:szCs w:val="24"/>
        </w:rPr>
        <w:t xml:space="preserve">To the </w:t>
      </w:r>
      <w:r>
        <w:rPr>
          <w:rFonts w:eastAsia="Arial" w:cs="Arial"/>
          <w:i/>
          <w:szCs w:val="24"/>
        </w:rPr>
        <w:t>Disease Prevention and Control Bureau</w:t>
      </w:r>
      <w:r>
        <w:rPr>
          <w:rFonts w:eastAsia="Arial" w:cs="Arial"/>
          <w:szCs w:val="24"/>
        </w:rPr>
        <w:t>, to review and implement the implementation of the administrative order pertaining to the package of essential noncommunicable diseases in managing hypertension for primary care facilities, particularly on the early detection, risk assessment, and management of patients with hypertension. Also, it is high time for the Department of Health to strengthen the country’s NCD multi-sectoral alliance or partnership.</w:t>
      </w:r>
    </w:p>
    <w:p w14:paraId="080C786D" w14:textId="77777777" w:rsidR="007C6854" w:rsidRDefault="00E0219E" w:rsidP="00862045">
      <w:pPr>
        <w:numPr>
          <w:ilvl w:val="0"/>
          <w:numId w:val="2"/>
        </w:numPr>
        <w:pBdr>
          <w:top w:val="nil"/>
          <w:left w:val="nil"/>
          <w:bottom w:val="nil"/>
          <w:right w:val="nil"/>
          <w:between w:val="nil"/>
        </w:pBdr>
        <w:spacing w:after="0" w:line="480" w:lineRule="auto"/>
        <w:jc w:val="both"/>
        <w:rPr>
          <w:rFonts w:eastAsia="Arial" w:cs="Arial"/>
          <w:szCs w:val="24"/>
        </w:rPr>
      </w:pPr>
      <w:r>
        <w:rPr>
          <w:rFonts w:eastAsia="Arial" w:cs="Arial"/>
          <w:szCs w:val="24"/>
        </w:rPr>
        <w:t xml:space="preserve">To the </w:t>
      </w:r>
      <w:r>
        <w:rPr>
          <w:rFonts w:eastAsia="Arial" w:cs="Arial"/>
          <w:i/>
          <w:szCs w:val="24"/>
        </w:rPr>
        <w:t>Health Promotion Bureau</w:t>
      </w:r>
      <w:r>
        <w:rPr>
          <w:rFonts w:eastAsia="Arial" w:cs="Arial"/>
          <w:szCs w:val="24"/>
        </w:rPr>
        <w:t>, to strengthen community-based health promotion campaigns and health education efforts on healthy lifestyles focusing on risk factor prevention, risk assessment, and seeking early consultation. It can also be beneficial if the developed materials target high-risk individuals, e.g., women, elderly, and employed individuals.</w:t>
      </w:r>
    </w:p>
    <w:p w14:paraId="6174AE69" w14:textId="0DB77E36" w:rsidR="007C6854" w:rsidRDefault="00E0219E" w:rsidP="00862045">
      <w:pPr>
        <w:numPr>
          <w:ilvl w:val="0"/>
          <w:numId w:val="2"/>
        </w:numPr>
        <w:pBdr>
          <w:top w:val="nil"/>
          <w:left w:val="nil"/>
          <w:bottom w:val="nil"/>
          <w:right w:val="nil"/>
          <w:between w:val="nil"/>
        </w:pBdr>
        <w:spacing w:after="0" w:line="480" w:lineRule="auto"/>
        <w:jc w:val="both"/>
        <w:rPr>
          <w:rFonts w:eastAsia="Arial" w:cs="Arial"/>
          <w:szCs w:val="24"/>
        </w:rPr>
      </w:pPr>
      <w:r>
        <w:rPr>
          <w:rFonts w:eastAsia="Arial" w:cs="Arial"/>
          <w:szCs w:val="24"/>
        </w:rPr>
        <w:t xml:space="preserve">To the </w:t>
      </w:r>
      <w:r>
        <w:rPr>
          <w:rFonts w:eastAsia="Arial" w:cs="Arial"/>
          <w:i/>
          <w:szCs w:val="24"/>
        </w:rPr>
        <w:t>Philippine Health Insurance Corporation (PhilHealth)</w:t>
      </w:r>
      <w:r>
        <w:rPr>
          <w:rFonts w:eastAsia="Arial" w:cs="Arial"/>
          <w:szCs w:val="24"/>
        </w:rPr>
        <w:t xml:space="preserve">, </w:t>
      </w:r>
      <w:r w:rsidR="006D1740">
        <w:rPr>
          <w:rFonts w:eastAsia="Arial" w:cs="Arial"/>
          <w:szCs w:val="24"/>
        </w:rPr>
        <w:t>t</w:t>
      </w:r>
      <w:r w:rsidR="006D1740" w:rsidRPr="006D1740">
        <w:rPr>
          <w:rFonts w:eastAsia="Arial" w:cs="Arial"/>
          <w:szCs w:val="24"/>
        </w:rPr>
        <w:t>o enhance the primary health care package, it is imperative to review and make improvements. This includes incorporating access to health materials, health counseling, and ensuring availability of quality and affordable medication for hypertensive clients. It is particularly crucial to focus on unprivileged individuals and those who are employed in sectors where research indicates a high prevalence of hypertension.</w:t>
      </w:r>
    </w:p>
    <w:p w14:paraId="5453D08E" w14:textId="77777777" w:rsidR="007C6854" w:rsidRDefault="00E0219E" w:rsidP="00862045">
      <w:pPr>
        <w:numPr>
          <w:ilvl w:val="0"/>
          <w:numId w:val="2"/>
        </w:numPr>
        <w:pBdr>
          <w:top w:val="nil"/>
          <w:left w:val="nil"/>
          <w:bottom w:val="nil"/>
          <w:right w:val="nil"/>
          <w:between w:val="nil"/>
        </w:pBdr>
        <w:spacing w:after="160" w:line="480" w:lineRule="auto"/>
        <w:jc w:val="both"/>
        <w:rPr>
          <w:rFonts w:eastAsia="Arial" w:cs="Arial"/>
          <w:szCs w:val="24"/>
        </w:rPr>
      </w:pPr>
      <w:r>
        <w:rPr>
          <w:rFonts w:eastAsia="Arial" w:cs="Arial"/>
          <w:szCs w:val="24"/>
        </w:rPr>
        <w:lastRenderedPageBreak/>
        <w:t xml:space="preserve">To the </w:t>
      </w:r>
      <w:r>
        <w:rPr>
          <w:rFonts w:eastAsia="Arial" w:cs="Arial"/>
          <w:i/>
          <w:szCs w:val="24"/>
        </w:rPr>
        <w:t xml:space="preserve">Center for Health Development </w:t>
      </w:r>
      <w:r>
        <w:rPr>
          <w:rFonts w:eastAsia="Arial" w:cs="Arial"/>
          <w:szCs w:val="24"/>
        </w:rPr>
        <w:t>in Metro Manila, guide the local health department in the implementation of the package of essential noncommunicable diseases for hypertension, especially in conducting community-based and workplace risk assessment activities.</w:t>
      </w:r>
    </w:p>
    <w:p w14:paraId="2E74AC55" w14:textId="77777777" w:rsidR="007C6854" w:rsidRDefault="00E0219E" w:rsidP="00862045">
      <w:pPr>
        <w:pStyle w:val="Heading3"/>
        <w:spacing w:line="480" w:lineRule="auto"/>
      </w:pPr>
      <w:bookmarkStart w:id="67" w:name="_heading=h.4bvk7pj" w:colFirst="0" w:colLast="0"/>
      <w:bookmarkEnd w:id="67"/>
      <w:r>
        <w:rPr>
          <w:rFonts w:eastAsia="Arial" w:cs="Arial"/>
          <w:sz w:val="24"/>
          <w:szCs w:val="24"/>
        </w:rPr>
        <w:t>Department of Education and Commission on Higher Education</w:t>
      </w:r>
    </w:p>
    <w:p w14:paraId="4D03FD10" w14:textId="005A43F9" w:rsidR="007C6854" w:rsidRDefault="00E0219E" w:rsidP="00862045">
      <w:pPr>
        <w:numPr>
          <w:ilvl w:val="0"/>
          <w:numId w:val="9"/>
        </w:numPr>
        <w:pBdr>
          <w:top w:val="nil"/>
          <w:left w:val="nil"/>
          <w:bottom w:val="nil"/>
          <w:right w:val="nil"/>
          <w:between w:val="nil"/>
        </w:pBdr>
        <w:spacing w:after="0" w:line="480" w:lineRule="auto"/>
        <w:jc w:val="both"/>
        <w:rPr>
          <w:rFonts w:eastAsia="Arial" w:cs="Arial"/>
          <w:szCs w:val="24"/>
        </w:rPr>
      </w:pPr>
      <w:r>
        <w:rPr>
          <w:rFonts w:eastAsia="Arial" w:cs="Arial"/>
          <w:szCs w:val="24"/>
        </w:rPr>
        <w:t xml:space="preserve">To the </w:t>
      </w:r>
      <w:r>
        <w:rPr>
          <w:rFonts w:eastAsia="Arial" w:cs="Arial"/>
          <w:i/>
          <w:szCs w:val="24"/>
        </w:rPr>
        <w:t>Department of Education</w:t>
      </w:r>
      <w:r>
        <w:rPr>
          <w:rFonts w:eastAsia="Arial" w:cs="Arial"/>
          <w:szCs w:val="24"/>
        </w:rPr>
        <w:t xml:space="preserve">, </w:t>
      </w:r>
      <w:r w:rsidR="00BD7563">
        <w:rPr>
          <w:rFonts w:eastAsia="Arial" w:cs="Arial"/>
          <w:szCs w:val="24"/>
        </w:rPr>
        <w:t xml:space="preserve">to </w:t>
      </w:r>
      <w:r>
        <w:rPr>
          <w:rFonts w:eastAsia="Arial" w:cs="Arial"/>
          <w:szCs w:val="24"/>
        </w:rPr>
        <w:t>include in the health education subject the prevention and control of hypertension, including risk factor prevention and modification awareness, for all students starting in Grades 1 to 12.</w:t>
      </w:r>
    </w:p>
    <w:p w14:paraId="2D1033E4" w14:textId="04EC4B94" w:rsidR="007C6854" w:rsidRDefault="00E0219E" w:rsidP="00862045">
      <w:pPr>
        <w:numPr>
          <w:ilvl w:val="0"/>
          <w:numId w:val="9"/>
        </w:numPr>
        <w:pBdr>
          <w:top w:val="nil"/>
          <w:left w:val="nil"/>
          <w:bottom w:val="nil"/>
          <w:right w:val="nil"/>
          <w:between w:val="nil"/>
        </w:pBdr>
        <w:spacing w:after="160" w:line="480" w:lineRule="auto"/>
        <w:jc w:val="both"/>
        <w:rPr>
          <w:rFonts w:eastAsia="Arial" w:cs="Arial"/>
          <w:szCs w:val="24"/>
        </w:rPr>
      </w:pPr>
      <w:r>
        <w:rPr>
          <w:rFonts w:eastAsia="Arial" w:cs="Arial"/>
          <w:szCs w:val="24"/>
        </w:rPr>
        <w:t xml:space="preserve">The </w:t>
      </w:r>
      <w:r>
        <w:rPr>
          <w:rFonts w:eastAsia="Arial" w:cs="Arial"/>
          <w:i/>
          <w:szCs w:val="24"/>
        </w:rPr>
        <w:t>Commission on Higher Education</w:t>
      </w:r>
      <w:r w:rsidR="00BD7563" w:rsidRPr="00BD7563">
        <w:rPr>
          <w:rFonts w:eastAsia="Arial" w:cs="Arial"/>
          <w:i/>
          <w:szCs w:val="24"/>
        </w:rPr>
        <w:t>,</w:t>
      </w:r>
      <w:r w:rsidR="00BD7563" w:rsidRPr="00BD7563">
        <w:rPr>
          <w:rFonts w:eastAsia="Arial" w:cs="Arial"/>
          <w:iCs/>
          <w:szCs w:val="24"/>
        </w:rPr>
        <w:t xml:space="preserve"> to</w:t>
      </w:r>
      <w:r>
        <w:rPr>
          <w:rFonts w:eastAsia="Arial" w:cs="Arial"/>
          <w:szCs w:val="24"/>
        </w:rPr>
        <w:t xml:space="preserve"> encourages academic institutions to review and strengthen their Health Professional Education or Inter-professional Education module, focusing on improving community-based health care networks that will improve the health literacy of the community and empower our community health workforce.</w:t>
      </w:r>
    </w:p>
    <w:p w14:paraId="61A38CF0" w14:textId="77777777" w:rsidR="007C6854" w:rsidRDefault="00E0219E" w:rsidP="00862045">
      <w:pPr>
        <w:pStyle w:val="Heading3"/>
        <w:spacing w:line="480" w:lineRule="auto"/>
      </w:pPr>
      <w:bookmarkStart w:id="68" w:name="_heading=h.2r0uhxc" w:colFirst="0" w:colLast="0"/>
      <w:bookmarkEnd w:id="68"/>
      <w:r>
        <w:rPr>
          <w:rFonts w:eastAsia="Arial" w:cs="Arial"/>
          <w:sz w:val="24"/>
          <w:szCs w:val="24"/>
        </w:rPr>
        <w:t>Municipality of Pateros, Health Department</w:t>
      </w:r>
    </w:p>
    <w:p w14:paraId="5A62CE98" w14:textId="77777777" w:rsidR="007C6854" w:rsidRDefault="00E0219E" w:rsidP="00862045">
      <w:pPr>
        <w:numPr>
          <w:ilvl w:val="0"/>
          <w:numId w:val="31"/>
        </w:numPr>
        <w:pBdr>
          <w:top w:val="nil"/>
          <w:left w:val="nil"/>
          <w:bottom w:val="nil"/>
          <w:right w:val="nil"/>
          <w:between w:val="nil"/>
        </w:pBdr>
        <w:spacing w:after="0" w:line="480" w:lineRule="auto"/>
        <w:jc w:val="both"/>
        <w:rPr>
          <w:rFonts w:eastAsia="Arial" w:cs="Arial"/>
          <w:szCs w:val="24"/>
        </w:rPr>
      </w:pPr>
      <w:r>
        <w:rPr>
          <w:rFonts w:eastAsia="Arial" w:cs="Arial"/>
          <w:szCs w:val="24"/>
        </w:rPr>
        <w:t xml:space="preserve">Since the health emergency caused by the COVID-19 pandemic had been lifted, engage the community in healthy lifestyle awareness, focusing on prevention and control of hypertension in the community of </w:t>
      </w:r>
      <w:proofErr w:type="spellStart"/>
      <w:r>
        <w:rPr>
          <w:rFonts w:eastAsia="Arial" w:cs="Arial"/>
          <w:szCs w:val="24"/>
        </w:rPr>
        <w:t>Bukuhan</w:t>
      </w:r>
      <w:proofErr w:type="spellEnd"/>
      <w:r>
        <w:rPr>
          <w:rFonts w:eastAsia="Arial" w:cs="Arial"/>
          <w:szCs w:val="24"/>
        </w:rPr>
        <w:t>, e.g.</w:t>
      </w:r>
    </w:p>
    <w:p w14:paraId="1B9C7D48" w14:textId="77777777" w:rsidR="007C6854" w:rsidRDefault="00E0219E" w:rsidP="00862045">
      <w:pPr>
        <w:numPr>
          <w:ilvl w:val="1"/>
          <w:numId w:val="31"/>
        </w:numPr>
        <w:pBdr>
          <w:top w:val="nil"/>
          <w:left w:val="nil"/>
          <w:bottom w:val="nil"/>
          <w:right w:val="nil"/>
          <w:between w:val="nil"/>
        </w:pBdr>
        <w:spacing w:after="0" w:line="480" w:lineRule="auto"/>
        <w:jc w:val="both"/>
        <w:rPr>
          <w:rFonts w:eastAsia="Arial" w:cs="Arial"/>
          <w:szCs w:val="24"/>
        </w:rPr>
      </w:pPr>
      <w:r>
        <w:rPr>
          <w:rFonts w:eastAsia="Arial" w:cs="Arial"/>
          <w:szCs w:val="24"/>
        </w:rPr>
        <w:t>Developing targeted health promotion strategies on the following</w:t>
      </w:r>
    </w:p>
    <w:p w14:paraId="5D7EE163" w14:textId="77777777" w:rsidR="007C6854" w:rsidRDefault="00E0219E" w:rsidP="00862045">
      <w:pPr>
        <w:numPr>
          <w:ilvl w:val="2"/>
          <w:numId w:val="31"/>
        </w:numPr>
        <w:pBdr>
          <w:top w:val="nil"/>
          <w:left w:val="nil"/>
          <w:bottom w:val="nil"/>
          <w:right w:val="nil"/>
          <w:between w:val="nil"/>
        </w:pBdr>
        <w:spacing w:after="0" w:line="480" w:lineRule="auto"/>
        <w:jc w:val="both"/>
        <w:rPr>
          <w:rFonts w:eastAsia="Arial" w:cs="Arial"/>
          <w:szCs w:val="24"/>
        </w:rPr>
      </w:pPr>
      <w:r>
        <w:rPr>
          <w:rFonts w:eastAsia="Arial" w:cs="Arial"/>
          <w:szCs w:val="24"/>
        </w:rPr>
        <w:t xml:space="preserve">Women and the Elderly: Promotion of individual lifestyle modification activities that will reduce the risk or acceleration of hypertension among individuals, that </w:t>
      </w:r>
      <w:proofErr w:type="gramStart"/>
      <w:r>
        <w:rPr>
          <w:rFonts w:eastAsia="Arial" w:cs="Arial"/>
          <w:szCs w:val="24"/>
        </w:rPr>
        <w:t>includes:</w:t>
      </w:r>
      <w:proofErr w:type="gramEnd"/>
      <w:r>
        <w:rPr>
          <w:rFonts w:eastAsia="Arial" w:cs="Arial"/>
          <w:szCs w:val="24"/>
        </w:rPr>
        <w:t xml:space="preserve"> promotion of healthy diet (low sodium intake and low fat diet); increasing physical activity; and body weight watch or monitoring.</w:t>
      </w:r>
    </w:p>
    <w:p w14:paraId="67996F93" w14:textId="77777777" w:rsidR="007C6854" w:rsidRDefault="00E0219E" w:rsidP="00862045">
      <w:pPr>
        <w:numPr>
          <w:ilvl w:val="2"/>
          <w:numId w:val="31"/>
        </w:numPr>
        <w:pBdr>
          <w:top w:val="nil"/>
          <w:left w:val="nil"/>
          <w:bottom w:val="nil"/>
          <w:right w:val="nil"/>
          <w:between w:val="nil"/>
        </w:pBdr>
        <w:spacing w:after="0" w:line="480" w:lineRule="auto"/>
        <w:jc w:val="both"/>
        <w:rPr>
          <w:rFonts w:eastAsia="Arial" w:cs="Arial"/>
          <w:szCs w:val="24"/>
        </w:rPr>
      </w:pPr>
      <w:r>
        <w:rPr>
          <w:rFonts w:eastAsia="Arial" w:cs="Arial"/>
          <w:szCs w:val="24"/>
        </w:rPr>
        <w:t>Workplace healthy lifestyle campaign involving</w:t>
      </w:r>
    </w:p>
    <w:p w14:paraId="045A47BA" w14:textId="77777777" w:rsidR="007C6854" w:rsidRDefault="00E0219E" w:rsidP="00862045">
      <w:pPr>
        <w:numPr>
          <w:ilvl w:val="3"/>
          <w:numId w:val="31"/>
        </w:numPr>
        <w:pBdr>
          <w:top w:val="nil"/>
          <w:left w:val="nil"/>
          <w:bottom w:val="nil"/>
          <w:right w:val="nil"/>
          <w:between w:val="nil"/>
        </w:pBdr>
        <w:spacing w:after="0" w:line="480" w:lineRule="auto"/>
        <w:jc w:val="both"/>
        <w:rPr>
          <w:rFonts w:eastAsia="Arial" w:cs="Arial"/>
          <w:szCs w:val="24"/>
        </w:rPr>
      </w:pPr>
      <w:r>
        <w:rPr>
          <w:rFonts w:eastAsia="Arial" w:cs="Arial"/>
          <w:szCs w:val="24"/>
        </w:rPr>
        <w:lastRenderedPageBreak/>
        <w:t>Serving vegetables and fruits in the canteen or encouraging food chains to serve healthy foods</w:t>
      </w:r>
    </w:p>
    <w:p w14:paraId="167E5E93" w14:textId="77777777" w:rsidR="007C6854" w:rsidRDefault="00E0219E" w:rsidP="00862045">
      <w:pPr>
        <w:numPr>
          <w:ilvl w:val="3"/>
          <w:numId w:val="31"/>
        </w:numPr>
        <w:pBdr>
          <w:top w:val="nil"/>
          <w:left w:val="nil"/>
          <w:bottom w:val="nil"/>
          <w:right w:val="nil"/>
          <w:between w:val="nil"/>
        </w:pBdr>
        <w:spacing w:after="0" w:line="480" w:lineRule="auto"/>
        <w:jc w:val="both"/>
        <w:rPr>
          <w:rFonts w:eastAsia="Arial" w:cs="Arial"/>
          <w:szCs w:val="24"/>
        </w:rPr>
      </w:pPr>
      <w:r>
        <w:rPr>
          <w:rFonts w:eastAsia="Arial" w:cs="Arial"/>
          <w:szCs w:val="24"/>
        </w:rPr>
        <w:t>Promoting physical activities or encouraging employees to organize sportsfest activity</w:t>
      </w:r>
    </w:p>
    <w:p w14:paraId="08FEE321" w14:textId="77777777" w:rsidR="007C6854" w:rsidRDefault="00E0219E" w:rsidP="00862045">
      <w:pPr>
        <w:numPr>
          <w:ilvl w:val="3"/>
          <w:numId w:val="31"/>
        </w:numPr>
        <w:pBdr>
          <w:top w:val="nil"/>
          <w:left w:val="nil"/>
          <w:bottom w:val="nil"/>
          <w:right w:val="nil"/>
          <w:between w:val="nil"/>
        </w:pBdr>
        <w:spacing w:after="0" w:line="480" w:lineRule="auto"/>
        <w:jc w:val="both"/>
        <w:rPr>
          <w:rFonts w:eastAsia="Arial" w:cs="Arial"/>
          <w:szCs w:val="24"/>
        </w:rPr>
      </w:pPr>
      <w:r>
        <w:rPr>
          <w:rFonts w:eastAsia="Arial" w:cs="Arial"/>
          <w:szCs w:val="24"/>
        </w:rPr>
        <w:t>Conduct risk assessment activities in the workplace to detect and monitor early onset of hypertension among employed individuals.</w:t>
      </w:r>
    </w:p>
    <w:p w14:paraId="355C2588" w14:textId="77777777" w:rsidR="007C6854" w:rsidRDefault="00E0219E" w:rsidP="00862045">
      <w:pPr>
        <w:numPr>
          <w:ilvl w:val="1"/>
          <w:numId w:val="31"/>
        </w:numPr>
        <w:pBdr>
          <w:top w:val="nil"/>
          <w:left w:val="nil"/>
          <w:bottom w:val="nil"/>
          <w:right w:val="nil"/>
          <w:between w:val="nil"/>
        </w:pBdr>
        <w:spacing w:after="0" w:line="480" w:lineRule="auto"/>
        <w:jc w:val="both"/>
        <w:rPr>
          <w:rFonts w:eastAsia="Arial" w:cs="Arial"/>
          <w:szCs w:val="24"/>
        </w:rPr>
      </w:pPr>
      <w:r>
        <w:rPr>
          <w:rFonts w:eastAsia="Arial" w:cs="Arial"/>
          <w:szCs w:val="24"/>
        </w:rPr>
        <w:t>Investing in health education strategies that will increase basic, functional, and communicative or interactive health literacy, for example:</w:t>
      </w:r>
    </w:p>
    <w:p w14:paraId="2B18A341" w14:textId="065F0639" w:rsidR="007C6854" w:rsidRDefault="00E0219E" w:rsidP="00862045">
      <w:pPr>
        <w:numPr>
          <w:ilvl w:val="2"/>
          <w:numId w:val="31"/>
        </w:numPr>
        <w:pBdr>
          <w:top w:val="nil"/>
          <w:left w:val="nil"/>
          <w:bottom w:val="nil"/>
          <w:right w:val="nil"/>
          <w:between w:val="nil"/>
        </w:pBdr>
        <w:spacing w:after="0" w:line="480" w:lineRule="auto"/>
        <w:jc w:val="both"/>
        <w:rPr>
          <w:rFonts w:eastAsia="Arial" w:cs="Arial"/>
          <w:szCs w:val="24"/>
        </w:rPr>
      </w:pPr>
      <w:r>
        <w:rPr>
          <w:rFonts w:eastAsia="Arial" w:cs="Arial"/>
          <w:szCs w:val="24"/>
        </w:rPr>
        <w:t xml:space="preserve">In developing life skills that are conducive to individual and community health in the context of hypertension, </w:t>
      </w:r>
      <w:r w:rsidR="006D1740">
        <w:rPr>
          <w:rFonts w:eastAsia="Arial" w:cs="Arial"/>
          <w:szCs w:val="24"/>
        </w:rPr>
        <w:t>i</w:t>
      </w:r>
      <w:r w:rsidR="006D1740" w:rsidRPr="006D1740">
        <w:rPr>
          <w:rFonts w:eastAsia="Arial" w:cs="Arial"/>
          <w:szCs w:val="24"/>
        </w:rPr>
        <w:t xml:space="preserve">t is crucial to instill the significance of participating in physical activity, maintaining a healthy body weight, effectively managing stress, and faithfully adhering to anti-hypertensive </w:t>
      </w:r>
      <w:proofErr w:type="gramStart"/>
      <w:r w:rsidR="006D1740" w:rsidRPr="006D1740">
        <w:rPr>
          <w:rFonts w:eastAsia="Arial" w:cs="Arial"/>
          <w:szCs w:val="24"/>
        </w:rPr>
        <w:t>medications.</w:t>
      </w:r>
      <w:r>
        <w:rPr>
          <w:rFonts w:eastAsia="Arial" w:cs="Arial"/>
          <w:szCs w:val="24"/>
        </w:rPr>
        <w:t>.</w:t>
      </w:r>
      <w:proofErr w:type="gramEnd"/>
    </w:p>
    <w:p w14:paraId="6B3BCE13" w14:textId="77777777" w:rsidR="007C6854" w:rsidRDefault="00E0219E" w:rsidP="00862045">
      <w:pPr>
        <w:numPr>
          <w:ilvl w:val="2"/>
          <w:numId w:val="31"/>
        </w:numPr>
        <w:pBdr>
          <w:top w:val="nil"/>
          <w:left w:val="nil"/>
          <w:bottom w:val="nil"/>
          <w:right w:val="nil"/>
          <w:between w:val="nil"/>
        </w:pBdr>
        <w:spacing w:after="0" w:line="480" w:lineRule="auto"/>
        <w:jc w:val="both"/>
        <w:rPr>
          <w:rFonts w:eastAsia="Arial" w:cs="Arial"/>
          <w:szCs w:val="24"/>
        </w:rPr>
      </w:pPr>
      <w:r>
        <w:rPr>
          <w:rFonts w:eastAsia="Arial" w:cs="Arial"/>
          <w:szCs w:val="24"/>
        </w:rPr>
        <w:t xml:space="preserve">Investing in the health provider-patient relationship orientation as part of the workforce's continuous professional education </w:t>
      </w:r>
    </w:p>
    <w:p w14:paraId="705DAA75" w14:textId="77777777" w:rsidR="007C6854" w:rsidRDefault="00E0219E" w:rsidP="00862045">
      <w:pPr>
        <w:numPr>
          <w:ilvl w:val="2"/>
          <w:numId w:val="31"/>
        </w:numPr>
        <w:pBdr>
          <w:top w:val="nil"/>
          <w:left w:val="nil"/>
          <w:bottom w:val="nil"/>
          <w:right w:val="nil"/>
          <w:between w:val="nil"/>
        </w:pBdr>
        <w:spacing w:after="0" w:line="480" w:lineRule="auto"/>
        <w:jc w:val="both"/>
        <w:rPr>
          <w:rFonts w:eastAsia="Arial" w:cs="Arial"/>
          <w:szCs w:val="24"/>
        </w:rPr>
      </w:pPr>
      <w:r>
        <w:rPr>
          <w:rFonts w:eastAsia="Arial" w:cs="Arial"/>
          <w:szCs w:val="24"/>
        </w:rPr>
        <w:t>Orient the health workforce, including barangay health workers, on the package of essential noncommunicable diseases for hypertension, particularly on the use of the risk assessment form.</w:t>
      </w:r>
    </w:p>
    <w:p w14:paraId="54613893" w14:textId="77777777" w:rsidR="007C6854" w:rsidRDefault="00E0219E" w:rsidP="00862045">
      <w:pPr>
        <w:numPr>
          <w:ilvl w:val="0"/>
          <w:numId w:val="31"/>
        </w:numPr>
        <w:pBdr>
          <w:top w:val="nil"/>
          <w:left w:val="nil"/>
          <w:bottom w:val="nil"/>
          <w:right w:val="nil"/>
          <w:between w:val="nil"/>
        </w:pBdr>
        <w:spacing w:after="0" w:line="480" w:lineRule="auto"/>
        <w:jc w:val="both"/>
        <w:rPr>
          <w:rFonts w:eastAsia="Arial" w:cs="Arial"/>
          <w:szCs w:val="24"/>
        </w:rPr>
      </w:pPr>
      <w:r>
        <w:rPr>
          <w:rFonts w:eastAsia="Arial" w:cs="Arial"/>
          <w:szCs w:val="24"/>
        </w:rPr>
        <w:t xml:space="preserve">To update the hypertension registry of the municipality to be able to list all hypertensive individuals, particularly in the community of </w:t>
      </w:r>
      <w:proofErr w:type="spellStart"/>
      <w:r>
        <w:rPr>
          <w:rFonts w:eastAsia="Arial" w:cs="Arial"/>
          <w:szCs w:val="24"/>
        </w:rPr>
        <w:t>Bukuhan</w:t>
      </w:r>
      <w:proofErr w:type="spellEnd"/>
      <w:r>
        <w:rPr>
          <w:rFonts w:eastAsia="Arial" w:cs="Arial"/>
          <w:szCs w:val="24"/>
        </w:rPr>
        <w:t>.</w:t>
      </w:r>
    </w:p>
    <w:p w14:paraId="30C432CC" w14:textId="77777777" w:rsidR="007C6854" w:rsidRDefault="00E0219E" w:rsidP="00F362B2">
      <w:pPr>
        <w:numPr>
          <w:ilvl w:val="0"/>
          <w:numId w:val="31"/>
        </w:numPr>
        <w:pBdr>
          <w:top w:val="nil"/>
          <w:left w:val="nil"/>
          <w:bottom w:val="nil"/>
          <w:right w:val="nil"/>
          <w:between w:val="nil"/>
        </w:pBdr>
        <w:spacing w:after="160" w:line="480" w:lineRule="auto"/>
        <w:jc w:val="both"/>
        <w:rPr>
          <w:rFonts w:eastAsia="Arial" w:cs="Arial"/>
          <w:szCs w:val="24"/>
        </w:rPr>
      </w:pPr>
      <w:r>
        <w:rPr>
          <w:rFonts w:eastAsia="Arial" w:cs="Arial"/>
          <w:szCs w:val="24"/>
        </w:rPr>
        <w:t>To continue maintaining high health insurance coverage, especially among urban poor communities.</w:t>
      </w:r>
    </w:p>
    <w:p w14:paraId="5DC2B1F4" w14:textId="244DF9C1" w:rsidR="007C6854" w:rsidRPr="00F362B2" w:rsidRDefault="00E0219E" w:rsidP="00F362B2">
      <w:pPr>
        <w:pStyle w:val="Heading3"/>
        <w:spacing w:line="480" w:lineRule="auto"/>
        <w:rPr>
          <w:rFonts w:eastAsia="Arial" w:cs="Arial"/>
          <w:sz w:val="24"/>
          <w:szCs w:val="24"/>
        </w:rPr>
      </w:pPr>
      <w:bookmarkStart w:id="69" w:name="_heading=h.1664s55" w:colFirst="0" w:colLast="0"/>
      <w:bookmarkEnd w:id="69"/>
      <w:r>
        <w:rPr>
          <w:rFonts w:eastAsia="Arial" w:cs="Arial"/>
          <w:sz w:val="24"/>
          <w:szCs w:val="24"/>
        </w:rPr>
        <w:lastRenderedPageBreak/>
        <w:t>Future Researchers</w:t>
      </w:r>
    </w:p>
    <w:p w14:paraId="1131D874" w14:textId="77777777" w:rsidR="007C6854" w:rsidRDefault="00E0219E" w:rsidP="00F362B2">
      <w:pPr>
        <w:numPr>
          <w:ilvl w:val="0"/>
          <w:numId w:val="5"/>
        </w:numPr>
        <w:spacing w:after="160" w:line="480" w:lineRule="auto"/>
        <w:jc w:val="both"/>
        <w:rPr>
          <w:rFonts w:eastAsia="Arial" w:cs="Arial"/>
          <w:szCs w:val="24"/>
        </w:rPr>
      </w:pPr>
      <w:r>
        <w:rPr>
          <w:rFonts w:eastAsia="Arial" w:cs="Arial"/>
          <w:szCs w:val="24"/>
        </w:rPr>
        <w:t>To improve research questionnaire design, particularly in exploring critical health literacy questions, as this research finds weaknesses and needs more information.</w:t>
      </w:r>
    </w:p>
    <w:p w14:paraId="40498274" w14:textId="77777777" w:rsidR="007C6854" w:rsidRDefault="00E0219E" w:rsidP="00862045">
      <w:pPr>
        <w:numPr>
          <w:ilvl w:val="0"/>
          <w:numId w:val="5"/>
        </w:numPr>
        <w:spacing w:after="160" w:line="480" w:lineRule="auto"/>
        <w:jc w:val="both"/>
        <w:rPr>
          <w:rFonts w:eastAsia="Arial" w:cs="Arial"/>
          <w:szCs w:val="24"/>
        </w:rPr>
      </w:pPr>
      <w:r>
        <w:rPr>
          <w:rFonts w:eastAsia="Arial" w:cs="Arial"/>
          <w:szCs w:val="24"/>
        </w:rPr>
        <w:t>To take into consideration in the study design method both quantitative and qualitative approaches to evaluate health literacy skills and to offer convincing evidence for investing in health programs designed to improve health literacy (Deborah Chin, 2011).</w:t>
      </w:r>
    </w:p>
    <w:p w14:paraId="5F1E6B57" w14:textId="77777777" w:rsidR="007C6854" w:rsidRDefault="007C6854">
      <w:pPr>
        <w:rPr>
          <w:rFonts w:eastAsia="Arial" w:cs="Arial"/>
        </w:rPr>
      </w:pPr>
    </w:p>
    <w:p w14:paraId="2D08C239" w14:textId="77777777" w:rsidR="007C6854" w:rsidRDefault="00E0219E">
      <w:pPr>
        <w:spacing w:after="160" w:line="259" w:lineRule="auto"/>
        <w:rPr>
          <w:rFonts w:eastAsia="Arial" w:cs="Arial"/>
          <w:b/>
          <w:szCs w:val="24"/>
        </w:rPr>
      </w:pPr>
      <w:r>
        <w:br w:type="page"/>
      </w:r>
    </w:p>
    <w:p w14:paraId="440FC179" w14:textId="77777777" w:rsidR="007C6854" w:rsidRDefault="00E0219E" w:rsidP="001F291B">
      <w:pPr>
        <w:pStyle w:val="Heading1"/>
        <w:spacing w:line="480" w:lineRule="auto"/>
        <w:jc w:val="center"/>
        <w:rPr>
          <w:rFonts w:eastAsia="Arial" w:cs="Arial"/>
          <w:sz w:val="24"/>
          <w:szCs w:val="24"/>
        </w:rPr>
      </w:pPr>
      <w:bookmarkStart w:id="70" w:name="_heading=h.3q5sasy" w:colFirst="0" w:colLast="0"/>
      <w:bookmarkEnd w:id="70"/>
      <w:r>
        <w:rPr>
          <w:rFonts w:eastAsia="Arial" w:cs="Arial"/>
          <w:sz w:val="24"/>
          <w:szCs w:val="24"/>
        </w:rPr>
        <w:lastRenderedPageBreak/>
        <w:t>REFERENCES</w:t>
      </w:r>
    </w:p>
    <w:p w14:paraId="6AEAECC8" w14:textId="5F666E26" w:rsidR="001F0252" w:rsidRDefault="001F0252" w:rsidP="00FD5DC4">
      <w:pPr>
        <w:spacing w:after="240" w:line="240" w:lineRule="auto"/>
        <w:ind w:left="480" w:hanging="720"/>
        <w:jc w:val="both"/>
        <w:rPr>
          <w:rFonts w:eastAsia="Arial"/>
          <w:szCs w:val="24"/>
        </w:rPr>
      </w:pPr>
      <w:r w:rsidRPr="001F0252">
        <w:rPr>
          <w:rFonts w:eastAsia="Arial"/>
          <w:szCs w:val="24"/>
        </w:rPr>
        <w:t xml:space="preserve">Aaby, A. et. al. (2017). Health Literacy is associated with health behavior and self-reported health: A large population-based study in individuals with cardiovascular disease. </w:t>
      </w:r>
      <w:proofErr w:type="spellStart"/>
      <w:r w:rsidRPr="001F0252">
        <w:rPr>
          <w:rFonts w:eastAsia="Arial"/>
          <w:szCs w:val="24"/>
        </w:rPr>
        <w:t>Eur</w:t>
      </w:r>
      <w:proofErr w:type="spellEnd"/>
      <w:r w:rsidRPr="001F0252">
        <w:rPr>
          <w:rFonts w:eastAsia="Arial"/>
          <w:szCs w:val="24"/>
        </w:rPr>
        <w:t xml:space="preserve"> J Prev </w:t>
      </w:r>
      <w:proofErr w:type="spellStart"/>
      <w:r w:rsidRPr="001F0252">
        <w:rPr>
          <w:rFonts w:eastAsia="Arial"/>
          <w:szCs w:val="24"/>
        </w:rPr>
        <w:t>Cardiol</w:t>
      </w:r>
      <w:proofErr w:type="spellEnd"/>
      <w:r w:rsidRPr="001F0252">
        <w:rPr>
          <w:rFonts w:eastAsia="Arial"/>
          <w:szCs w:val="24"/>
        </w:rPr>
        <w:t xml:space="preserve">. 2017 Nov; 24(17): 1880-1888. Accessed from: </w:t>
      </w:r>
      <w:proofErr w:type="gramStart"/>
      <w:r w:rsidRPr="001F0252">
        <w:rPr>
          <w:rFonts w:eastAsia="Arial"/>
          <w:szCs w:val="24"/>
        </w:rPr>
        <w:t>https://www.ncbi.nlm.nih.gov/pmc/articles/PMC5680908/</w:t>
      </w:r>
      <w:proofErr w:type="gramEnd"/>
    </w:p>
    <w:p w14:paraId="21532738" w14:textId="13096817" w:rsidR="007C6854" w:rsidRPr="001F291B" w:rsidRDefault="00E0219E" w:rsidP="00FD5DC4">
      <w:pPr>
        <w:spacing w:after="240" w:line="240" w:lineRule="auto"/>
        <w:ind w:left="480" w:hanging="720"/>
        <w:jc w:val="both"/>
        <w:rPr>
          <w:rFonts w:eastAsia="Arial"/>
          <w:szCs w:val="24"/>
        </w:rPr>
      </w:pPr>
      <w:r w:rsidRPr="001F291B">
        <w:rPr>
          <w:rFonts w:eastAsia="Arial"/>
          <w:szCs w:val="24"/>
        </w:rPr>
        <w:t xml:space="preserve">Aaron O’Neil (2023). Urbanization in the Philippines 2021. Accessed from: </w:t>
      </w:r>
      <w:hyperlink r:id="rId43">
        <w:r w:rsidRPr="001F291B">
          <w:rPr>
            <w:rFonts w:eastAsia="Arial"/>
            <w:szCs w:val="24"/>
          </w:rPr>
          <w:t>https://www.statista.com/statistics/455910/urbanization-in-philippines/</w:t>
        </w:r>
      </w:hyperlink>
      <w:r w:rsidRPr="001F291B">
        <w:rPr>
          <w:rFonts w:eastAsia="Arial"/>
          <w:szCs w:val="24"/>
        </w:rPr>
        <w:t xml:space="preserve"> </w:t>
      </w:r>
    </w:p>
    <w:p w14:paraId="0E1465AA" w14:textId="77777777" w:rsidR="007C6854" w:rsidRPr="001F291B" w:rsidRDefault="00E0219E" w:rsidP="00FD5DC4">
      <w:pPr>
        <w:spacing w:after="240" w:line="240" w:lineRule="auto"/>
        <w:ind w:left="480" w:hanging="720"/>
        <w:jc w:val="both"/>
        <w:rPr>
          <w:rFonts w:eastAsia="Arial"/>
          <w:szCs w:val="24"/>
        </w:rPr>
      </w:pPr>
      <w:r w:rsidRPr="001F291B">
        <w:rPr>
          <w:rFonts w:eastAsia="Arial"/>
          <w:szCs w:val="24"/>
          <w:highlight w:val="white"/>
        </w:rPr>
        <w:t xml:space="preserve">Abdel-Latif MMM. The enigma of health literacy and COVID-19 pandemic. Public Health. 2020 Aug; 185:95-96. </w:t>
      </w:r>
      <w:proofErr w:type="spellStart"/>
      <w:r w:rsidRPr="001F291B">
        <w:rPr>
          <w:rFonts w:eastAsia="Arial"/>
          <w:szCs w:val="24"/>
          <w:highlight w:val="white"/>
        </w:rPr>
        <w:t>doi</w:t>
      </w:r>
      <w:proofErr w:type="spellEnd"/>
      <w:r w:rsidRPr="001F291B">
        <w:rPr>
          <w:rFonts w:eastAsia="Arial"/>
          <w:szCs w:val="24"/>
          <w:highlight w:val="white"/>
        </w:rPr>
        <w:t xml:space="preserve">: 10.1016/j.puhe.2020.06.030. </w:t>
      </w:r>
      <w:proofErr w:type="spellStart"/>
      <w:r w:rsidRPr="001F291B">
        <w:rPr>
          <w:rFonts w:eastAsia="Arial"/>
          <w:szCs w:val="24"/>
          <w:highlight w:val="white"/>
        </w:rPr>
        <w:t>Epub</w:t>
      </w:r>
      <w:proofErr w:type="spellEnd"/>
      <w:r w:rsidRPr="001F291B">
        <w:rPr>
          <w:rFonts w:eastAsia="Arial"/>
          <w:szCs w:val="24"/>
          <w:highlight w:val="white"/>
        </w:rPr>
        <w:t xml:space="preserve"> 2020 Jun 19. PMID: 32593054; PMCID: PMC7303647. Accessed from: </w:t>
      </w:r>
      <w:hyperlink r:id="rId44">
        <w:r w:rsidRPr="001F291B">
          <w:rPr>
            <w:rFonts w:eastAsia="Arial"/>
            <w:szCs w:val="24"/>
            <w:highlight w:val="white"/>
          </w:rPr>
          <w:t>https://www.ncbi.nlm.nih.gov/pmc/articles/PMC7303647/</w:t>
        </w:r>
      </w:hyperlink>
      <w:r w:rsidRPr="001F291B">
        <w:rPr>
          <w:rFonts w:eastAsia="Arial"/>
          <w:szCs w:val="24"/>
          <w:highlight w:val="white"/>
        </w:rPr>
        <w:t xml:space="preserve"> </w:t>
      </w:r>
    </w:p>
    <w:p w14:paraId="3F8CE7D3" w14:textId="77777777" w:rsidR="007C6854" w:rsidRPr="001F291B" w:rsidRDefault="00E0219E" w:rsidP="00FD5DC4">
      <w:pPr>
        <w:spacing w:after="240" w:line="240" w:lineRule="auto"/>
        <w:ind w:left="480" w:hanging="720"/>
        <w:jc w:val="both"/>
        <w:rPr>
          <w:rFonts w:eastAsia="Arial"/>
          <w:szCs w:val="24"/>
          <w:highlight w:val="white"/>
        </w:rPr>
      </w:pPr>
      <w:r w:rsidRPr="001F291B">
        <w:rPr>
          <w:rFonts w:eastAsia="Arial"/>
          <w:szCs w:val="24"/>
        </w:rPr>
        <w:t>Altin, S.V., Finke, I., Kautz-Freimuth, S. et al. (2014). The evolution of health literacy assessment tools: a systematic review. BMC Public Health 14, 1207 (2014). https://doi.org/10.1186/1471-2458-14-1207</w:t>
      </w:r>
    </w:p>
    <w:p w14:paraId="1BA664EB" w14:textId="77777777" w:rsidR="007C6854" w:rsidRPr="001F291B" w:rsidRDefault="00E0219E" w:rsidP="00FD5DC4">
      <w:pPr>
        <w:spacing w:after="240" w:line="240" w:lineRule="auto"/>
        <w:ind w:left="480" w:hanging="720"/>
        <w:jc w:val="both"/>
        <w:rPr>
          <w:rFonts w:eastAsia="Arial"/>
          <w:szCs w:val="24"/>
          <w:highlight w:val="white"/>
        </w:rPr>
      </w:pPr>
      <w:proofErr w:type="spellStart"/>
      <w:r w:rsidRPr="001F291B">
        <w:rPr>
          <w:rFonts w:eastAsia="Arial"/>
          <w:szCs w:val="24"/>
          <w:highlight w:val="white"/>
        </w:rPr>
        <w:t>Andiwijaya</w:t>
      </w:r>
      <w:proofErr w:type="spellEnd"/>
      <w:r w:rsidRPr="001F291B">
        <w:rPr>
          <w:rFonts w:eastAsia="Arial"/>
          <w:szCs w:val="24"/>
          <w:highlight w:val="white"/>
        </w:rPr>
        <w:t xml:space="preserve">, F. R., </w:t>
      </w:r>
      <w:proofErr w:type="spellStart"/>
      <w:r w:rsidRPr="001F291B">
        <w:rPr>
          <w:rFonts w:eastAsia="Arial"/>
          <w:szCs w:val="24"/>
          <w:highlight w:val="white"/>
        </w:rPr>
        <w:t>Kadriyan</w:t>
      </w:r>
      <w:proofErr w:type="spellEnd"/>
      <w:r w:rsidRPr="001F291B">
        <w:rPr>
          <w:rFonts w:eastAsia="Arial"/>
          <w:szCs w:val="24"/>
          <w:highlight w:val="white"/>
        </w:rPr>
        <w:t xml:space="preserve">, H., &amp; </w:t>
      </w:r>
      <w:proofErr w:type="spellStart"/>
      <w:r w:rsidRPr="001F291B">
        <w:rPr>
          <w:rFonts w:eastAsia="Arial"/>
          <w:szCs w:val="24"/>
          <w:highlight w:val="white"/>
        </w:rPr>
        <w:t>Syamsun</w:t>
      </w:r>
      <w:proofErr w:type="spellEnd"/>
      <w:r w:rsidRPr="001F291B">
        <w:rPr>
          <w:rFonts w:eastAsia="Arial"/>
          <w:szCs w:val="24"/>
          <w:highlight w:val="white"/>
        </w:rPr>
        <w:t xml:space="preserve">, A. (2021). Education Level as predictor for health literacy levels in a rural community health </w:t>
      </w:r>
      <w:proofErr w:type="spellStart"/>
      <w:r w:rsidRPr="001F291B">
        <w:rPr>
          <w:rFonts w:eastAsia="Arial"/>
          <w:szCs w:val="24"/>
          <w:highlight w:val="white"/>
        </w:rPr>
        <w:t>centre</w:t>
      </w:r>
      <w:proofErr w:type="spellEnd"/>
      <w:r w:rsidRPr="001F291B">
        <w:rPr>
          <w:rFonts w:eastAsia="Arial"/>
          <w:szCs w:val="24"/>
          <w:highlight w:val="white"/>
        </w:rPr>
        <w:t>, A cross-sectional study. Advances in Health Sciences Research, volume 46. Accessed from:</w:t>
      </w:r>
      <w:hyperlink r:id="rId45">
        <w:r w:rsidRPr="001F291B">
          <w:rPr>
            <w:rFonts w:eastAsia="Arial"/>
            <w:szCs w:val="24"/>
            <w:highlight w:val="white"/>
          </w:rPr>
          <w:t xml:space="preserve"> https://www.atlantis-press.com/article/125970594.pdf</w:t>
        </w:r>
      </w:hyperlink>
    </w:p>
    <w:p w14:paraId="597A47FD" w14:textId="77777777" w:rsidR="007C6854" w:rsidRPr="001F291B" w:rsidRDefault="00E0219E" w:rsidP="00FD5DC4">
      <w:pPr>
        <w:spacing w:after="240" w:line="240" w:lineRule="auto"/>
        <w:ind w:left="480" w:hanging="720"/>
        <w:jc w:val="both"/>
        <w:rPr>
          <w:rFonts w:eastAsia="Arial"/>
          <w:szCs w:val="24"/>
        </w:rPr>
      </w:pPr>
      <w:r w:rsidRPr="001F291B">
        <w:rPr>
          <w:rFonts w:eastAsia="Arial"/>
          <w:szCs w:val="24"/>
          <w:highlight w:val="white"/>
        </w:rPr>
        <w:t>Agosto, H.G., Briones, M.V.A., &amp; Palatino, M.C. (2018). Correlates of Health Literacy among Filipinos aged 50-70 years old belonging to low-income families in selected community. Accessed from:</w:t>
      </w:r>
      <w:hyperlink r:id="rId46">
        <w:r w:rsidRPr="001F291B">
          <w:rPr>
            <w:rFonts w:eastAsia="Arial"/>
            <w:szCs w:val="24"/>
            <w:highlight w:val="white"/>
          </w:rPr>
          <w:t xml:space="preserve"> https://actamedicaphilippina.upm.edu.ph/index.php/acta/article/download/397/358/</w:t>
        </w:r>
      </w:hyperlink>
    </w:p>
    <w:p w14:paraId="43288CBA"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Aizawa, T. &amp; Helble, M., 2016. Asian Development Bank Institute. January 2016. Accessed from: </w:t>
      </w:r>
      <w:hyperlink r:id="rId47">
        <w:r w:rsidRPr="001F291B">
          <w:rPr>
            <w:rFonts w:eastAsia="Arial"/>
            <w:szCs w:val="24"/>
          </w:rPr>
          <w:t>www.adb.org/sites/default/files/publication/179758/adbi-wp556.pdf</w:t>
        </w:r>
      </w:hyperlink>
      <w:r w:rsidRPr="001F291B">
        <w:rPr>
          <w:rFonts w:eastAsia="Arial"/>
          <w:szCs w:val="24"/>
        </w:rPr>
        <w:t xml:space="preserve"> </w:t>
      </w:r>
    </w:p>
    <w:p w14:paraId="05AB90EB"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highlight w:val="white"/>
        </w:rPr>
      </w:pPr>
      <w:proofErr w:type="spellStart"/>
      <w:r w:rsidRPr="001F291B">
        <w:rPr>
          <w:rFonts w:eastAsia="Arial"/>
          <w:szCs w:val="24"/>
        </w:rPr>
        <w:t>Angkurawaranon</w:t>
      </w:r>
      <w:proofErr w:type="spellEnd"/>
      <w:r w:rsidRPr="001F291B">
        <w:rPr>
          <w:rFonts w:eastAsia="Arial"/>
          <w:szCs w:val="24"/>
        </w:rPr>
        <w:t xml:space="preserve">, C, </w:t>
      </w:r>
      <w:r w:rsidRPr="001F291B">
        <w:rPr>
          <w:rFonts w:eastAsia="Arial"/>
          <w:i/>
          <w:szCs w:val="24"/>
        </w:rPr>
        <w:t>et al</w:t>
      </w:r>
      <w:r w:rsidRPr="001F291B">
        <w:rPr>
          <w:rFonts w:eastAsia="Arial"/>
          <w:szCs w:val="24"/>
        </w:rPr>
        <w:t xml:space="preserve"> (2014). Urbanization and Non-communicable Disease in Southeast Asia: a review of current evidence. </w:t>
      </w:r>
      <w:hyperlink r:id="rId48">
        <w:r w:rsidRPr="001F291B">
          <w:rPr>
            <w:rFonts w:eastAsia="Arial"/>
            <w:szCs w:val="24"/>
            <w:highlight w:val="white"/>
          </w:rPr>
          <w:t>Public Health.</w:t>
        </w:r>
      </w:hyperlink>
      <w:r w:rsidRPr="001F291B">
        <w:rPr>
          <w:rFonts w:eastAsia="Arial"/>
          <w:szCs w:val="24"/>
          <w:highlight w:val="white"/>
        </w:rPr>
        <w:t xml:space="preserve"> 2014 Oct;128(10):886-95. DOI: 10.1016/j.puhe.2014.08.003. </w:t>
      </w:r>
      <w:proofErr w:type="spellStart"/>
      <w:r w:rsidRPr="001F291B">
        <w:rPr>
          <w:rFonts w:eastAsia="Arial"/>
          <w:szCs w:val="24"/>
          <w:highlight w:val="white"/>
        </w:rPr>
        <w:t>Epub</w:t>
      </w:r>
      <w:proofErr w:type="spellEnd"/>
      <w:r w:rsidRPr="001F291B">
        <w:rPr>
          <w:rFonts w:eastAsia="Arial"/>
          <w:szCs w:val="24"/>
          <w:highlight w:val="white"/>
        </w:rPr>
        <w:t xml:space="preserve"> 2014 Oct 13. Retrieved from: </w:t>
      </w:r>
      <w:hyperlink r:id="rId49">
        <w:r w:rsidRPr="001F291B">
          <w:rPr>
            <w:rFonts w:eastAsia="Arial"/>
            <w:szCs w:val="24"/>
            <w:highlight w:val="white"/>
          </w:rPr>
          <w:t>https://www.sciencedirect.com/science/article/pii/S0033350614001954?via%3Dihub</w:t>
        </w:r>
      </w:hyperlink>
    </w:p>
    <w:p w14:paraId="21E33694" w14:textId="77777777" w:rsidR="007C6854" w:rsidRPr="001F291B" w:rsidRDefault="00E0219E" w:rsidP="00FD5DC4">
      <w:pPr>
        <w:spacing w:after="240" w:line="240" w:lineRule="auto"/>
        <w:ind w:left="480" w:hanging="720"/>
        <w:jc w:val="both"/>
        <w:rPr>
          <w:rFonts w:eastAsia="Arial"/>
          <w:szCs w:val="24"/>
          <w:highlight w:val="white"/>
        </w:rPr>
      </w:pPr>
      <w:r w:rsidRPr="001F291B">
        <w:rPr>
          <w:rFonts w:eastAsia="Arial"/>
          <w:szCs w:val="24"/>
          <w:highlight w:val="white"/>
        </w:rPr>
        <w:t xml:space="preserve">Artemios G Karagiannidis, Marieta P </w:t>
      </w:r>
      <w:proofErr w:type="spellStart"/>
      <w:r w:rsidRPr="001F291B">
        <w:rPr>
          <w:rFonts w:eastAsia="Arial"/>
          <w:szCs w:val="24"/>
          <w:highlight w:val="white"/>
        </w:rPr>
        <w:t>Theodorakopoulou</w:t>
      </w:r>
      <w:proofErr w:type="spellEnd"/>
      <w:r w:rsidRPr="001F291B">
        <w:rPr>
          <w:rFonts w:eastAsia="Arial"/>
          <w:szCs w:val="24"/>
          <w:highlight w:val="white"/>
        </w:rPr>
        <w:t xml:space="preserve">, Charles J Ferro, Alberto Ortiz, Maria Jose Soler, Jean-Michel Halimi, Andrzej </w:t>
      </w:r>
      <w:proofErr w:type="spellStart"/>
      <w:r w:rsidRPr="001F291B">
        <w:rPr>
          <w:rFonts w:eastAsia="Arial"/>
          <w:szCs w:val="24"/>
          <w:highlight w:val="white"/>
        </w:rPr>
        <w:t>Januszewicz</w:t>
      </w:r>
      <w:proofErr w:type="spellEnd"/>
      <w:r w:rsidRPr="001F291B">
        <w:rPr>
          <w:rFonts w:eastAsia="Arial"/>
          <w:szCs w:val="24"/>
          <w:highlight w:val="white"/>
        </w:rPr>
        <w:t xml:space="preserve">, Alexandre </w:t>
      </w:r>
      <w:proofErr w:type="spellStart"/>
      <w:r w:rsidRPr="001F291B">
        <w:rPr>
          <w:rFonts w:eastAsia="Arial"/>
          <w:szCs w:val="24"/>
          <w:highlight w:val="white"/>
        </w:rPr>
        <w:t>Persu</w:t>
      </w:r>
      <w:proofErr w:type="spellEnd"/>
      <w:r w:rsidRPr="001F291B">
        <w:rPr>
          <w:rFonts w:eastAsia="Arial"/>
          <w:szCs w:val="24"/>
          <w:highlight w:val="white"/>
        </w:rPr>
        <w:t xml:space="preserve">, Reinhold Kreutz, Pantelis </w:t>
      </w:r>
      <w:proofErr w:type="spellStart"/>
      <w:r w:rsidRPr="001F291B">
        <w:rPr>
          <w:rFonts w:eastAsia="Arial"/>
          <w:szCs w:val="24"/>
          <w:highlight w:val="white"/>
        </w:rPr>
        <w:t>Sarafidis</w:t>
      </w:r>
      <w:proofErr w:type="spellEnd"/>
      <w:r w:rsidRPr="001F291B">
        <w:rPr>
          <w:rFonts w:eastAsia="Arial"/>
          <w:szCs w:val="24"/>
          <w:highlight w:val="white"/>
        </w:rPr>
        <w:t xml:space="preserve">, Impact of public restrictive measures on hypertension during the COVID-19 pandemic: existing evidence and long-term implications, </w:t>
      </w:r>
      <w:r w:rsidRPr="001F291B">
        <w:rPr>
          <w:rFonts w:eastAsia="Arial"/>
          <w:i/>
          <w:szCs w:val="24"/>
          <w:highlight w:val="white"/>
        </w:rPr>
        <w:t>Clinical Kidney Journal</w:t>
      </w:r>
      <w:r w:rsidRPr="001F291B">
        <w:rPr>
          <w:rFonts w:eastAsia="Arial"/>
          <w:szCs w:val="24"/>
          <w:highlight w:val="white"/>
        </w:rPr>
        <w:t xml:space="preserve">, Volume 16, Issue 4, April 2023, Pages 619–634, </w:t>
      </w:r>
      <w:hyperlink r:id="rId50">
        <w:r w:rsidRPr="001F291B">
          <w:rPr>
            <w:rFonts w:eastAsia="Arial"/>
            <w:szCs w:val="24"/>
            <w:highlight w:val="white"/>
          </w:rPr>
          <w:t>https://doi.org/10.1093/ckj/sfac235</w:t>
        </w:r>
      </w:hyperlink>
      <w:r w:rsidRPr="001F291B">
        <w:rPr>
          <w:rFonts w:eastAsia="Arial"/>
          <w:szCs w:val="24"/>
        </w:rPr>
        <w:t xml:space="preserve"> . Accessed from: </w:t>
      </w:r>
      <w:hyperlink r:id="rId51">
        <w:r w:rsidRPr="001F291B">
          <w:rPr>
            <w:rFonts w:eastAsia="Arial"/>
            <w:szCs w:val="24"/>
          </w:rPr>
          <w:t>https://academic.oup.com/ckj/article/16/4/619/6779690</w:t>
        </w:r>
      </w:hyperlink>
      <w:r w:rsidRPr="001F291B">
        <w:rPr>
          <w:rFonts w:eastAsia="Arial"/>
          <w:szCs w:val="24"/>
        </w:rPr>
        <w:t xml:space="preserve"> </w:t>
      </w:r>
    </w:p>
    <w:p w14:paraId="24B18FE1"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highlight w:val="white"/>
        </w:rPr>
        <w:lastRenderedPageBreak/>
        <w:t xml:space="preserve">Asayama, K., Ohkubo, T. &amp; Imai, Y. In-office and out-of-office blood pressure measurement. </w:t>
      </w:r>
      <w:r w:rsidRPr="001F291B">
        <w:rPr>
          <w:rFonts w:eastAsia="Arial"/>
          <w:i/>
          <w:szCs w:val="24"/>
          <w:highlight w:val="white"/>
        </w:rPr>
        <w:t xml:space="preserve">J Hum </w:t>
      </w:r>
      <w:proofErr w:type="spellStart"/>
      <w:r w:rsidRPr="001F291B">
        <w:rPr>
          <w:rFonts w:eastAsia="Arial"/>
          <w:i/>
          <w:szCs w:val="24"/>
          <w:highlight w:val="white"/>
        </w:rPr>
        <w:t>Hypertens</w:t>
      </w:r>
      <w:proofErr w:type="spellEnd"/>
      <w:r w:rsidRPr="001F291B">
        <w:rPr>
          <w:rFonts w:eastAsia="Arial"/>
          <w:szCs w:val="24"/>
          <w:highlight w:val="white"/>
        </w:rPr>
        <w:t xml:space="preserve"> (2021). </w:t>
      </w:r>
      <w:hyperlink r:id="rId52">
        <w:r w:rsidRPr="001F291B">
          <w:rPr>
            <w:rFonts w:eastAsia="Arial"/>
            <w:szCs w:val="24"/>
            <w:highlight w:val="white"/>
          </w:rPr>
          <w:t>https://doi.org/10.1038/s41371-021-00486-8</w:t>
        </w:r>
      </w:hyperlink>
      <w:r w:rsidRPr="001F291B">
        <w:rPr>
          <w:rFonts w:eastAsia="Arial"/>
          <w:szCs w:val="24"/>
          <w:highlight w:val="white"/>
        </w:rPr>
        <w:t xml:space="preserve"> </w:t>
      </w:r>
    </w:p>
    <w:p w14:paraId="4AE9627C"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highlight w:val="white"/>
        </w:rPr>
        <w:t xml:space="preserve">Asian Development Bank (ADB). 2014. </w:t>
      </w:r>
      <w:r w:rsidRPr="001F291B">
        <w:rPr>
          <w:rFonts w:eastAsia="Arial"/>
          <w:i/>
          <w:szCs w:val="24"/>
          <w:highlight w:val="white"/>
        </w:rPr>
        <w:t>Urban Poverty in Asia</w:t>
      </w:r>
      <w:r w:rsidRPr="001F291B">
        <w:rPr>
          <w:rFonts w:eastAsia="Arial"/>
          <w:szCs w:val="24"/>
          <w:highlight w:val="white"/>
        </w:rPr>
        <w:t>. © Asian Development Bank. http://hdl.handle.net/11540/3310. License: CC BY 3.0 IGO.</w:t>
      </w:r>
      <w:r w:rsidRPr="001F291B">
        <w:rPr>
          <w:rFonts w:eastAsia="Arial"/>
          <w:szCs w:val="24"/>
        </w:rPr>
        <w:t xml:space="preserve"> </w:t>
      </w:r>
    </w:p>
    <w:p w14:paraId="76740E47"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Batra, Neale, et al. (2021) The Epidemiologist R Handbook. Accessed from: </w:t>
      </w:r>
      <w:hyperlink r:id="rId53">
        <w:r w:rsidRPr="001F291B">
          <w:rPr>
            <w:rFonts w:eastAsia="Arial"/>
            <w:szCs w:val="24"/>
          </w:rPr>
          <w:t>https://epirhandbook.com/en/index.html</w:t>
        </w:r>
      </w:hyperlink>
      <w:r w:rsidRPr="001F291B">
        <w:rPr>
          <w:rFonts w:eastAsia="Arial"/>
          <w:szCs w:val="24"/>
        </w:rPr>
        <w:t xml:space="preserve"> </w:t>
      </w:r>
      <w:r w:rsidRPr="001F291B">
        <w:rPr>
          <w:rFonts w:eastAsia="Arial"/>
          <w:szCs w:val="24"/>
        </w:rPr>
        <w:tab/>
      </w:r>
    </w:p>
    <w:p w14:paraId="5D54B4D3"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proofErr w:type="spellStart"/>
      <w:r w:rsidRPr="001F291B">
        <w:rPr>
          <w:rFonts w:eastAsia="Arial"/>
          <w:szCs w:val="24"/>
        </w:rPr>
        <w:t>Bâ</w:t>
      </w:r>
      <w:proofErr w:type="spellEnd"/>
      <w:r w:rsidRPr="001F291B">
        <w:rPr>
          <w:rFonts w:eastAsia="Arial"/>
          <w:szCs w:val="24"/>
        </w:rPr>
        <w:t xml:space="preserve">, HO, </w:t>
      </w:r>
      <w:r w:rsidRPr="001F291B">
        <w:rPr>
          <w:rFonts w:eastAsia="Arial"/>
          <w:i/>
          <w:szCs w:val="24"/>
        </w:rPr>
        <w:t>et al</w:t>
      </w:r>
      <w:r w:rsidRPr="001F291B">
        <w:rPr>
          <w:rFonts w:eastAsia="Arial"/>
          <w:szCs w:val="24"/>
        </w:rPr>
        <w:t xml:space="preserve"> (2018). Hypertension and Associated Factors in Rural and Urban Areas Mali: Data from the STEP 2013 Survey. International Journal of Hypertension Volume 2018, Article ID 6959165, 7 pages. </w:t>
      </w:r>
      <w:hyperlink r:id="rId54">
        <w:r w:rsidRPr="001F291B">
          <w:rPr>
            <w:rFonts w:eastAsia="Arial"/>
            <w:szCs w:val="24"/>
          </w:rPr>
          <w:t>https://doi.org/10.1155/2018/6959165</w:t>
        </w:r>
      </w:hyperlink>
      <w:r w:rsidRPr="001F291B">
        <w:rPr>
          <w:rFonts w:eastAsia="Arial"/>
          <w:szCs w:val="24"/>
        </w:rPr>
        <w:t xml:space="preserve">. Retrieved from: </w:t>
      </w:r>
      <w:hyperlink r:id="rId55">
        <w:r w:rsidRPr="001F291B">
          <w:rPr>
            <w:rFonts w:eastAsia="Arial"/>
            <w:szCs w:val="24"/>
          </w:rPr>
          <w:t>https://www.hindawi.com/journals/ijhy/2018/6959165/</w:t>
        </w:r>
      </w:hyperlink>
    </w:p>
    <w:p w14:paraId="15A9E663"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David W. Baker, Julie A. </w:t>
      </w:r>
      <w:proofErr w:type="spellStart"/>
      <w:r w:rsidRPr="001F291B">
        <w:rPr>
          <w:rFonts w:eastAsia="Arial"/>
          <w:szCs w:val="24"/>
        </w:rPr>
        <w:t>Gazmararian</w:t>
      </w:r>
      <w:proofErr w:type="spellEnd"/>
      <w:r w:rsidRPr="001F291B">
        <w:rPr>
          <w:rFonts w:eastAsia="Arial"/>
          <w:szCs w:val="24"/>
        </w:rPr>
        <w:t xml:space="preserve">, Mark V. Williams, Tracy Scott, Ruth M. Parker, Diane Green, </w:t>
      </w:r>
      <w:proofErr w:type="spellStart"/>
      <w:r w:rsidRPr="001F291B">
        <w:rPr>
          <w:rFonts w:eastAsia="Arial"/>
          <w:szCs w:val="24"/>
        </w:rPr>
        <w:t>Junling</w:t>
      </w:r>
      <w:proofErr w:type="spellEnd"/>
      <w:r w:rsidRPr="001F291B">
        <w:rPr>
          <w:rFonts w:eastAsia="Arial"/>
          <w:szCs w:val="24"/>
        </w:rPr>
        <w:t xml:space="preserve"> Ren, and Jennifer Peel, 2002: </w:t>
      </w:r>
      <w:hyperlink r:id="rId56">
        <w:r w:rsidRPr="001F291B">
          <w:rPr>
            <w:rFonts w:eastAsia="Arial"/>
            <w:szCs w:val="24"/>
          </w:rPr>
          <w:t>Functional Health Literacy and the Risk of Hospital Admission Among Medicare Managed Care Enrollees</w:t>
        </w:r>
      </w:hyperlink>
      <w:r w:rsidRPr="001F291B">
        <w:rPr>
          <w:rFonts w:eastAsia="Arial"/>
          <w:szCs w:val="24"/>
        </w:rPr>
        <w:t xml:space="preserve"> American Journal of Public Health </w:t>
      </w:r>
      <w:r w:rsidRPr="001F291B">
        <w:rPr>
          <w:rFonts w:eastAsia="Arial"/>
          <w:b/>
          <w:szCs w:val="24"/>
        </w:rPr>
        <w:t>92</w:t>
      </w:r>
      <w:r w:rsidRPr="001F291B">
        <w:rPr>
          <w:rFonts w:eastAsia="Arial"/>
          <w:szCs w:val="24"/>
        </w:rPr>
        <w:t xml:space="preserve">, 1278_1283, </w:t>
      </w:r>
      <w:hyperlink r:id="rId57">
        <w:r w:rsidRPr="001F291B">
          <w:rPr>
            <w:rFonts w:eastAsia="Arial"/>
            <w:szCs w:val="24"/>
          </w:rPr>
          <w:t>https://doi.org/10.2105/AJPH.92.8.1278</w:t>
        </w:r>
      </w:hyperlink>
      <w:r w:rsidRPr="001F291B">
        <w:rPr>
          <w:rFonts w:eastAsia="Arial"/>
          <w:szCs w:val="24"/>
        </w:rPr>
        <w:t xml:space="preserve"> Accessed from: </w:t>
      </w:r>
      <w:hyperlink r:id="rId58">
        <w:r w:rsidRPr="001F291B">
          <w:rPr>
            <w:rFonts w:eastAsia="Arial"/>
            <w:szCs w:val="24"/>
          </w:rPr>
          <w:t>https://ajph.aphapublications.org/doi/10.2105/ajph.92.8.1278?url_ver=Z39.88-2003&amp;rfr_id=ori%3Arid%3Acrossref.org&amp;rfr_dat=cr_pub++0pubmed</w:t>
        </w:r>
      </w:hyperlink>
      <w:r w:rsidRPr="001F291B">
        <w:rPr>
          <w:rFonts w:eastAsia="Arial"/>
          <w:szCs w:val="24"/>
        </w:rPr>
        <w:t xml:space="preserve"> </w:t>
      </w:r>
    </w:p>
    <w:p w14:paraId="31F80E60"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proofErr w:type="spellStart"/>
      <w:r w:rsidRPr="001F291B">
        <w:rPr>
          <w:rFonts w:eastAsia="Arial"/>
          <w:szCs w:val="24"/>
        </w:rPr>
        <w:t>Baydu</w:t>
      </w:r>
      <w:proofErr w:type="spellEnd"/>
      <w:r w:rsidRPr="001F291B">
        <w:rPr>
          <w:rFonts w:eastAsia="Arial"/>
          <w:szCs w:val="24"/>
        </w:rPr>
        <w:t xml:space="preserve">, M.M., Kaplan, O., &amp; Bayar, A. (2013). Facing Influence of Poverty on Graduation Rates in Public High Schools. Accessed from: </w:t>
      </w:r>
      <w:hyperlink r:id="rId59">
        <w:r w:rsidRPr="001F291B">
          <w:rPr>
            <w:rFonts w:eastAsia="Arial"/>
            <w:szCs w:val="24"/>
          </w:rPr>
          <w:t>https://www.sciencedirect.com/science/article/pii/S187704281301608X</w:t>
        </w:r>
      </w:hyperlink>
      <w:r w:rsidRPr="001F291B">
        <w:rPr>
          <w:rFonts w:eastAsia="Arial"/>
          <w:szCs w:val="24"/>
        </w:rPr>
        <w:t xml:space="preserve"> </w:t>
      </w:r>
    </w:p>
    <w:p w14:paraId="144C4B60"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Bevans, R. (2022). Understanding Confidence Intervals | Easy Examples and Formulas. </w:t>
      </w:r>
      <w:proofErr w:type="spellStart"/>
      <w:r w:rsidRPr="001F291B">
        <w:rPr>
          <w:rFonts w:eastAsia="Arial"/>
          <w:szCs w:val="24"/>
        </w:rPr>
        <w:t>Scribbr</w:t>
      </w:r>
      <w:proofErr w:type="spellEnd"/>
      <w:r w:rsidRPr="001F291B">
        <w:rPr>
          <w:rFonts w:eastAsia="Arial"/>
          <w:szCs w:val="24"/>
        </w:rPr>
        <w:t xml:space="preserve">. Accessed from: </w:t>
      </w:r>
      <w:hyperlink r:id="rId60">
        <w:r w:rsidRPr="001F291B">
          <w:rPr>
            <w:rFonts w:eastAsia="Arial"/>
            <w:szCs w:val="24"/>
          </w:rPr>
          <w:t>https://www.scribbr.com/statistics/confidence-interval/</w:t>
        </w:r>
      </w:hyperlink>
      <w:r w:rsidRPr="001F291B">
        <w:rPr>
          <w:rFonts w:eastAsia="Arial"/>
          <w:szCs w:val="24"/>
        </w:rPr>
        <w:t xml:space="preserve"> </w:t>
      </w:r>
    </w:p>
    <w:p w14:paraId="4DF454D3"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highlight w:val="white"/>
        </w:rPr>
        <w:t xml:space="preserve">Cappelletti, E.R., Greco, A., </w:t>
      </w:r>
      <w:proofErr w:type="spellStart"/>
      <w:r w:rsidRPr="001F291B">
        <w:rPr>
          <w:rFonts w:eastAsia="Arial"/>
          <w:szCs w:val="24"/>
          <w:highlight w:val="white"/>
        </w:rPr>
        <w:t>Maloberti</w:t>
      </w:r>
      <w:proofErr w:type="spellEnd"/>
      <w:r w:rsidRPr="001F291B">
        <w:rPr>
          <w:rFonts w:eastAsia="Arial"/>
          <w:szCs w:val="24"/>
          <w:highlight w:val="white"/>
        </w:rPr>
        <w:t xml:space="preserve">, A. </w:t>
      </w:r>
      <w:r w:rsidRPr="001F291B">
        <w:rPr>
          <w:rFonts w:eastAsia="Arial"/>
          <w:i/>
          <w:szCs w:val="24"/>
          <w:highlight w:val="white"/>
        </w:rPr>
        <w:t>et al.</w:t>
      </w:r>
      <w:r w:rsidRPr="001F291B">
        <w:rPr>
          <w:rFonts w:eastAsia="Arial"/>
          <w:szCs w:val="24"/>
          <w:highlight w:val="white"/>
        </w:rPr>
        <w:t xml:space="preserve"> What hypertensive patients want to know [and from whom] about their disease: a two-year longitudinal study. </w:t>
      </w:r>
      <w:r w:rsidRPr="001F291B">
        <w:rPr>
          <w:rFonts w:eastAsia="Arial"/>
          <w:i/>
          <w:szCs w:val="24"/>
          <w:highlight w:val="white"/>
        </w:rPr>
        <w:t>BMC Public Health</w:t>
      </w:r>
      <w:r w:rsidRPr="001F291B">
        <w:rPr>
          <w:rFonts w:eastAsia="Arial"/>
          <w:szCs w:val="24"/>
          <w:highlight w:val="white"/>
        </w:rPr>
        <w:t xml:space="preserve"> 20, 308 (2020). </w:t>
      </w:r>
      <w:hyperlink r:id="rId61">
        <w:r w:rsidRPr="001F291B">
          <w:rPr>
            <w:rFonts w:eastAsia="Arial"/>
            <w:szCs w:val="24"/>
            <w:highlight w:val="white"/>
          </w:rPr>
          <w:t>https://doi.org/10.1186/s12889-020-8421-6</w:t>
        </w:r>
      </w:hyperlink>
      <w:r w:rsidRPr="001F291B">
        <w:rPr>
          <w:rFonts w:eastAsia="Arial"/>
          <w:szCs w:val="24"/>
          <w:highlight w:val="white"/>
        </w:rPr>
        <w:t xml:space="preserve"> . </w:t>
      </w:r>
    </w:p>
    <w:p w14:paraId="31671046"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Carter, D. (2019). R for Statistics in EPH. Accessed from: </w:t>
      </w:r>
      <w:hyperlink r:id="rId62">
        <w:r w:rsidRPr="001F291B">
          <w:rPr>
            <w:rFonts w:eastAsia="Arial"/>
            <w:szCs w:val="24"/>
          </w:rPr>
          <w:t>https://bookdown.org/danieljcarter/r4steph/</w:t>
        </w:r>
      </w:hyperlink>
      <w:r w:rsidRPr="001F291B">
        <w:rPr>
          <w:rFonts w:eastAsia="Arial"/>
          <w:szCs w:val="24"/>
        </w:rPr>
        <w:t xml:space="preserve"> </w:t>
      </w:r>
    </w:p>
    <w:p w14:paraId="59E81D4D"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Center for Disease Control and Prevention (CDC, 2022). Health Topics - High Blood Pressure. Accessed from: </w:t>
      </w:r>
      <w:hyperlink r:id="rId63" w:anchor=":~:text=High%20blood%20pressure%20costs%20the,of%20productivity%20from%20premature%20death">
        <w:r w:rsidRPr="001F291B">
          <w:rPr>
            <w:rFonts w:eastAsia="Arial"/>
            <w:szCs w:val="24"/>
          </w:rPr>
          <w:t>https://www.cdc.gov/policy/polaris/healthtopics/highbloodpressure/index.html#:~:text=High%20blood%20pressure%20costs%20the,of%20productivity%20from%20premature%20death</w:t>
        </w:r>
      </w:hyperlink>
      <w:r w:rsidRPr="001F291B">
        <w:rPr>
          <w:rFonts w:eastAsia="Arial"/>
          <w:szCs w:val="24"/>
        </w:rPr>
        <w:t xml:space="preserve">. </w:t>
      </w:r>
    </w:p>
    <w:p w14:paraId="38B904F0"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CDC, 2022. What is Health Literacy? Updated February 2022. Accessed from:</w:t>
      </w:r>
      <w:hyperlink r:id="rId64" w:anchor=":~:text=Personal%20health%20literacy%20is%20the,actions%20for%20themselves%20and%20others">
        <w:r w:rsidRPr="001F291B">
          <w:rPr>
            <w:rFonts w:eastAsia="Arial"/>
            <w:szCs w:val="24"/>
          </w:rPr>
          <w:t xml:space="preserve"> https://www.cdc.gov/healthliteracy/learn/index.html#:~:text=Personal%20health%20literacy%20is%20the,actions%20for%20themselves%20and%20others</w:t>
        </w:r>
      </w:hyperlink>
      <w:r w:rsidRPr="001F291B">
        <w:rPr>
          <w:rFonts w:eastAsia="Arial"/>
          <w:szCs w:val="24"/>
        </w:rPr>
        <w:t>.</w:t>
      </w:r>
    </w:p>
    <w:p w14:paraId="2CFF4F98"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CDC, n.d. National Center for Health Statistics. NHANES 2021-2022 Questionnaire Instruments. Retrieved from: </w:t>
      </w:r>
      <w:hyperlink r:id="rId65">
        <w:r w:rsidRPr="001F291B">
          <w:rPr>
            <w:rFonts w:eastAsia="Arial"/>
            <w:szCs w:val="24"/>
          </w:rPr>
          <w:t>https://wwwn.cdc.gov/Nchs/Data/Nhanes/2011-2012/Questionnaires/bpq.pdf</w:t>
        </w:r>
      </w:hyperlink>
      <w:r w:rsidRPr="001F291B">
        <w:rPr>
          <w:rFonts w:eastAsia="Arial"/>
          <w:szCs w:val="24"/>
        </w:rPr>
        <w:t xml:space="preserve"> </w:t>
      </w:r>
    </w:p>
    <w:p w14:paraId="599D3CFB"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highlight w:val="white"/>
        </w:rPr>
        <w:lastRenderedPageBreak/>
        <w:t xml:space="preserve">Chew QH, Wei KC, </w:t>
      </w:r>
      <w:proofErr w:type="spellStart"/>
      <w:r w:rsidRPr="001F291B">
        <w:rPr>
          <w:rFonts w:eastAsia="Arial"/>
          <w:szCs w:val="24"/>
          <w:highlight w:val="white"/>
        </w:rPr>
        <w:t>Vasoo</w:t>
      </w:r>
      <w:proofErr w:type="spellEnd"/>
      <w:r w:rsidRPr="001F291B">
        <w:rPr>
          <w:rFonts w:eastAsia="Arial"/>
          <w:szCs w:val="24"/>
          <w:highlight w:val="white"/>
        </w:rPr>
        <w:t xml:space="preserve"> S, Chua HC, Sim K. Narrative synthesis of psychological and coping responses towards emerging infectious disease outbreaks in the general population: practical considerations for the COVID-19 pandemic. Singapore Med J. 2020 Jul;61(7):350-356. </w:t>
      </w:r>
      <w:proofErr w:type="spellStart"/>
      <w:r w:rsidRPr="001F291B">
        <w:rPr>
          <w:rFonts w:eastAsia="Arial"/>
          <w:szCs w:val="24"/>
          <w:highlight w:val="white"/>
        </w:rPr>
        <w:t>doi</w:t>
      </w:r>
      <w:proofErr w:type="spellEnd"/>
      <w:r w:rsidRPr="001F291B">
        <w:rPr>
          <w:rFonts w:eastAsia="Arial"/>
          <w:szCs w:val="24"/>
          <w:highlight w:val="white"/>
        </w:rPr>
        <w:t xml:space="preserve">: 10.11622/smedj.2020046. </w:t>
      </w:r>
      <w:proofErr w:type="spellStart"/>
      <w:r w:rsidRPr="001F291B">
        <w:rPr>
          <w:rFonts w:eastAsia="Arial"/>
          <w:szCs w:val="24"/>
          <w:highlight w:val="white"/>
        </w:rPr>
        <w:t>Epub</w:t>
      </w:r>
      <w:proofErr w:type="spellEnd"/>
      <w:r w:rsidRPr="001F291B">
        <w:rPr>
          <w:rFonts w:eastAsia="Arial"/>
          <w:szCs w:val="24"/>
          <w:highlight w:val="white"/>
        </w:rPr>
        <w:t xml:space="preserve"> 2020 Apr 3. PMID: 32241071; PMCID: PMC7926608. Accessed from: ​​</w:t>
      </w:r>
      <w:hyperlink r:id="rId66">
        <w:r w:rsidRPr="001F291B">
          <w:rPr>
            <w:rFonts w:eastAsia="Arial"/>
            <w:szCs w:val="24"/>
            <w:highlight w:val="white"/>
          </w:rPr>
          <w:t>https://www.ncbi.nlm.nih.gov/pmc/articles/PMC7926608/</w:t>
        </w:r>
      </w:hyperlink>
      <w:r w:rsidRPr="001F291B">
        <w:rPr>
          <w:rFonts w:eastAsia="Arial"/>
          <w:szCs w:val="24"/>
          <w:highlight w:val="white"/>
        </w:rPr>
        <w:t xml:space="preserve"> </w:t>
      </w:r>
    </w:p>
    <w:p w14:paraId="00393CF5"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Claire Dennis S. Mapa (Mapa, 2021). Proportion of Poor Filipinos was recorded at 18.1 percent in 2021. Accessed from:</w:t>
      </w:r>
      <w:hyperlink r:id="rId67">
        <w:r w:rsidRPr="001F291B">
          <w:rPr>
            <w:rFonts w:eastAsia="Arial"/>
            <w:szCs w:val="24"/>
          </w:rPr>
          <w:t xml:space="preserve"> https://psa.gov.ph/poverty-press-releases/nid/167972</w:t>
        </w:r>
      </w:hyperlink>
    </w:p>
    <w:p w14:paraId="2EE43954"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shd w:val="clear" w:color="auto" w:fill="FCFCFC"/>
        </w:rPr>
      </w:pPr>
      <w:r w:rsidRPr="001F291B">
        <w:rPr>
          <w:rFonts w:eastAsia="Arial"/>
          <w:szCs w:val="24"/>
          <w:shd w:val="clear" w:color="auto" w:fill="FCFCFC"/>
        </w:rPr>
        <w:t xml:space="preserve">Commodore-Mensah, et al. (2021). Association between social determinants and hypertension, Stage 2 hypertension, and controlled blood pressure among men and women in the United States. American Journal of Hypertension, Volume 34, Issue 7, July 2021, Pages 707-717. </w:t>
      </w:r>
      <w:hyperlink r:id="rId68">
        <w:r w:rsidRPr="001F291B">
          <w:rPr>
            <w:rFonts w:eastAsia="Arial"/>
            <w:szCs w:val="24"/>
            <w:highlight w:val="white"/>
          </w:rPr>
          <w:t>https://doi.org/10.1093/ajh/hpab011</w:t>
        </w:r>
      </w:hyperlink>
      <w:r w:rsidRPr="001F291B">
        <w:rPr>
          <w:rFonts w:eastAsia="Arial"/>
          <w:szCs w:val="24"/>
          <w:shd w:val="clear" w:color="auto" w:fill="FCFCFC"/>
        </w:rPr>
        <w:t xml:space="preserve"> </w:t>
      </w:r>
    </w:p>
    <w:p w14:paraId="04781972"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shd w:val="clear" w:color="auto" w:fill="FCFCFC"/>
        </w:rPr>
        <w:t xml:space="preserve">Connelly, P.J., Currie, G. &amp; Delles, C. Sex Differences in the Prevalence, Outcomes and Management of Hypertension. </w:t>
      </w:r>
      <w:proofErr w:type="spellStart"/>
      <w:r w:rsidRPr="001F291B">
        <w:rPr>
          <w:rFonts w:eastAsia="Arial"/>
          <w:i/>
          <w:szCs w:val="24"/>
          <w:shd w:val="clear" w:color="auto" w:fill="FCFCFC"/>
        </w:rPr>
        <w:t>Curr</w:t>
      </w:r>
      <w:proofErr w:type="spellEnd"/>
      <w:r w:rsidRPr="001F291B">
        <w:rPr>
          <w:rFonts w:eastAsia="Arial"/>
          <w:i/>
          <w:szCs w:val="24"/>
          <w:shd w:val="clear" w:color="auto" w:fill="FCFCFC"/>
        </w:rPr>
        <w:t xml:space="preserve"> </w:t>
      </w:r>
      <w:proofErr w:type="spellStart"/>
      <w:r w:rsidRPr="001F291B">
        <w:rPr>
          <w:rFonts w:eastAsia="Arial"/>
          <w:i/>
          <w:szCs w:val="24"/>
          <w:shd w:val="clear" w:color="auto" w:fill="FCFCFC"/>
        </w:rPr>
        <w:t>Hypertens</w:t>
      </w:r>
      <w:proofErr w:type="spellEnd"/>
      <w:r w:rsidRPr="001F291B">
        <w:rPr>
          <w:rFonts w:eastAsia="Arial"/>
          <w:i/>
          <w:szCs w:val="24"/>
          <w:shd w:val="clear" w:color="auto" w:fill="FCFCFC"/>
        </w:rPr>
        <w:t xml:space="preserve"> Rep</w:t>
      </w:r>
      <w:r w:rsidRPr="001F291B">
        <w:rPr>
          <w:rFonts w:eastAsia="Arial"/>
          <w:szCs w:val="24"/>
          <w:shd w:val="clear" w:color="auto" w:fill="FCFCFC"/>
        </w:rPr>
        <w:t xml:space="preserve"> 24, 185–192 (2022). </w:t>
      </w:r>
      <w:hyperlink r:id="rId69">
        <w:r w:rsidRPr="001F291B">
          <w:rPr>
            <w:rFonts w:eastAsia="Arial"/>
            <w:szCs w:val="24"/>
            <w:shd w:val="clear" w:color="auto" w:fill="FCFCFC"/>
          </w:rPr>
          <w:t>https://doi.org/10.1007/s11906-022-01183-8</w:t>
        </w:r>
      </w:hyperlink>
      <w:r w:rsidRPr="001F291B">
        <w:rPr>
          <w:rFonts w:eastAsia="Arial"/>
          <w:szCs w:val="24"/>
          <w:shd w:val="clear" w:color="auto" w:fill="FCFCFC"/>
        </w:rPr>
        <w:t xml:space="preserve">. Accessed from: </w:t>
      </w:r>
      <w:hyperlink r:id="rId70" w:anchor="citeas">
        <w:r w:rsidRPr="001F291B">
          <w:rPr>
            <w:rFonts w:eastAsia="Arial"/>
            <w:szCs w:val="24"/>
            <w:shd w:val="clear" w:color="auto" w:fill="FCFCFC"/>
          </w:rPr>
          <w:t>https://link.springer.com/article/10.1007/s11906-022-01183-8#citeas</w:t>
        </w:r>
      </w:hyperlink>
      <w:r w:rsidRPr="001F291B">
        <w:rPr>
          <w:rFonts w:eastAsia="Arial"/>
          <w:szCs w:val="24"/>
          <w:shd w:val="clear" w:color="auto" w:fill="FCFCFC"/>
        </w:rPr>
        <w:t xml:space="preserve"> </w:t>
      </w:r>
    </w:p>
    <w:p w14:paraId="0E74E8AF"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Congressional Policy &amp; Budget Research Department (CPBRD), 2022. Demographic Profile of Poor Households in the Philippines. House of Representatives, March 2022. Accessed from: </w:t>
      </w:r>
      <w:hyperlink r:id="rId71">
        <w:r w:rsidRPr="001F291B">
          <w:rPr>
            <w:rFonts w:eastAsia="Arial"/>
            <w:szCs w:val="24"/>
          </w:rPr>
          <w:t>https://cpbrd.congress.gov.ph/images/PDF%20Attachments/Facts%20in%20Figures/FF2022-20_Demographic_Profile_of_Poor_Households_in_the_Philippines.pdf</w:t>
        </w:r>
      </w:hyperlink>
      <w:r w:rsidRPr="001F291B">
        <w:rPr>
          <w:rFonts w:eastAsia="Arial"/>
          <w:szCs w:val="24"/>
        </w:rPr>
        <w:t xml:space="preserve"> </w:t>
      </w:r>
    </w:p>
    <w:p w14:paraId="360F32E1"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Cristobal, L. (2015). Literacy in the Philippines: The Stories Behind the Numbers. International Literacy Association. Accessed from: </w:t>
      </w:r>
      <w:hyperlink r:id="rId72">
        <w:r w:rsidRPr="001F291B">
          <w:rPr>
            <w:rFonts w:eastAsia="Arial"/>
            <w:szCs w:val="24"/>
          </w:rPr>
          <w:t>https://www.literacyworldwide.org/blog/literacy-daily/2015/08/06/literacy-in-the-philippines-the-stories-behind-the-numbers</w:t>
        </w:r>
      </w:hyperlink>
      <w:r w:rsidRPr="001F291B">
        <w:rPr>
          <w:rFonts w:eastAsia="Arial"/>
          <w:szCs w:val="24"/>
        </w:rPr>
        <w:t xml:space="preserve"> </w:t>
      </w:r>
    </w:p>
    <w:p w14:paraId="001FA926"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highlight w:val="white"/>
        </w:rPr>
      </w:pPr>
      <w:proofErr w:type="spellStart"/>
      <w:r w:rsidRPr="001F291B">
        <w:rPr>
          <w:rFonts w:eastAsia="Arial"/>
          <w:szCs w:val="24"/>
        </w:rPr>
        <w:t>Daştan</w:t>
      </w:r>
      <w:proofErr w:type="spellEnd"/>
      <w:r w:rsidRPr="001F291B">
        <w:rPr>
          <w:rFonts w:eastAsia="Arial"/>
          <w:szCs w:val="24"/>
        </w:rPr>
        <w:t xml:space="preserve"> I., </w:t>
      </w:r>
      <w:r w:rsidRPr="001F291B">
        <w:rPr>
          <w:rFonts w:eastAsia="Arial"/>
          <w:i/>
          <w:szCs w:val="24"/>
        </w:rPr>
        <w:t>et al.</w:t>
      </w:r>
      <w:r w:rsidRPr="001F291B">
        <w:rPr>
          <w:rFonts w:eastAsia="Arial"/>
          <w:szCs w:val="24"/>
        </w:rPr>
        <w:t xml:space="preserve"> (2017). Urban and Rural differences in hypertension risk factors in Turkey. </w:t>
      </w:r>
      <w:r w:rsidRPr="001F291B">
        <w:rPr>
          <w:rFonts w:eastAsia="Arial"/>
          <w:szCs w:val="24"/>
          <w:highlight w:val="white"/>
        </w:rPr>
        <w:t xml:space="preserve">Anatol J </w:t>
      </w:r>
      <w:proofErr w:type="spellStart"/>
      <w:r w:rsidRPr="001F291B">
        <w:rPr>
          <w:rFonts w:eastAsia="Arial"/>
          <w:szCs w:val="24"/>
          <w:highlight w:val="white"/>
        </w:rPr>
        <w:t>Cardiol</w:t>
      </w:r>
      <w:proofErr w:type="spellEnd"/>
      <w:r w:rsidRPr="001F291B">
        <w:rPr>
          <w:rFonts w:eastAsia="Arial"/>
          <w:szCs w:val="24"/>
          <w:highlight w:val="white"/>
        </w:rPr>
        <w:t xml:space="preserve">. 2017 Jul; 18(1): 39–47. </w:t>
      </w:r>
      <w:hyperlink r:id="rId73">
        <w:r w:rsidRPr="001F291B">
          <w:rPr>
            <w:rFonts w:eastAsia="Arial"/>
            <w:szCs w:val="24"/>
            <w:highlight w:val="white"/>
          </w:rPr>
          <w:t xml:space="preserve">Anatol J </w:t>
        </w:r>
        <w:proofErr w:type="spellStart"/>
        <w:r w:rsidRPr="001F291B">
          <w:rPr>
            <w:rFonts w:eastAsia="Arial"/>
            <w:szCs w:val="24"/>
            <w:highlight w:val="white"/>
          </w:rPr>
          <w:t>Cardiol</w:t>
        </w:r>
        <w:proofErr w:type="spellEnd"/>
      </w:hyperlink>
      <w:r w:rsidRPr="001F291B">
        <w:rPr>
          <w:rFonts w:eastAsia="Arial"/>
          <w:szCs w:val="24"/>
          <w:highlight w:val="white"/>
        </w:rPr>
        <w:t xml:space="preserve">. 2017 Jul; 18(1): 39–47. Published online 2017 Apr 19. </w:t>
      </w:r>
      <w:proofErr w:type="spellStart"/>
      <w:r w:rsidRPr="001F291B">
        <w:rPr>
          <w:rFonts w:eastAsia="Arial"/>
          <w:szCs w:val="24"/>
          <w:highlight w:val="white"/>
        </w:rPr>
        <w:t>doi</w:t>
      </w:r>
      <w:proofErr w:type="spellEnd"/>
      <w:r w:rsidRPr="001F291B">
        <w:rPr>
          <w:rFonts w:eastAsia="Arial"/>
          <w:szCs w:val="24"/>
          <w:highlight w:val="white"/>
        </w:rPr>
        <w:t xml:space="preserve">: </w:t>
      </w:r>
      <w:hyperlink r:id="rId74">
        <w:r w:rsidRPr="001F291B">
          <w:rPr>
            <w:rFonts w:eastAsia="Arial"/>
            <w:szCs w:val="24"/>
            <w:highlight w:val="white"/>
          </w:rPr>
          <w:t>10.14744/AnatolJCardiol.2017.7452</w:t>
        </w:r>
      </w:hyperlink>
    </w:p>
    <w:p w14:paraId="59A8CE40"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Deborah Chin (2011). Critical health literacy: A review and critical analysis </w:t>
      </w:r>
      <w:r w:rsidRPr="001F291B">
        <w:rPr>
          <w:rFonts w:eastAsia="Arial"/>
          <w:i/>
          <w:szCs w:val="24"/>
        </w:rPr>
        <w:t>(Abstract)</w:t>
      </w:r>
      <w:r w:rsidRPr="001F291B">
        <w:rPr>
          <w:rFonts w:eastAsia="Arial"/>
          <w:szCs w:val="24"/>
        </w:rPr>
        <w:t xml:space="preserve">. Accessed from: </w:t>
      </w:r>
      <w:hyperlink r:id="rId75">
        <w:r w:rsidRPr="001F291B">
          <w:rPr>
            <w:rFonts w:eastAsia="Arial"/>
            <w:szCs w:val="24"/>
          </w:rPr>
          <w:t>https://www.sciencedirect.com/science/article/abs/pii/S0277953611002401</w:t>
        </w:r>
      </w:hyperlink>
      <w:r w:rsidRPr="001F291B">
        <w:rPr>
          <w:rFonts w:eastAsia="Arial"/>
          <w:szCs w:val="24"/>
        </w:rPr>
        <w:t xml:space="preserve"> </w:t>
      </w:r>
    </w:p>
    <w:p w14:paraId="3BFD56FA"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proofErr w:type="spellStart"/>
      <w:r w:rsidRPr="001F291B">
        <w:rPr>
          <w:rFonts w:eastAsia="Arial"/>
          <w:szCs w:val="24"/>
        </w:rPr>
        <w:t>Denuwara</w:t>
      </w:r>
      <w:proofErr w:type="spellEnd"/>
      <w:r w:rsidRPr="001F291B">
        <w:rPr>
          <w:rFonts w:eastAsia="Arial"/>
          <w:szCs w:val="24"/>
        </w:rPr>
        <w:t xml:space="preserve">, H.M.B.H. and Gunawardena, N.S. (2017). Level of health literacy and factors associated with it among </w:t>
      </w:r>
      <w:proofErr w:type="gramStart"/>
      <w:r w:rsidRPr="001F291B">
        <w:rPr>
          <w:rFonts w:eastAsia="Arial"/>
          <w:szCs w:val="24"/>
        </w:rPr>
        <w:t>school teachers</w:t>
      </w:r>
      <w:proofErr w:type="gramEnd"/>
      <w:r w:rsidRPr="001F291B">
        <w:rPr>
          <w:rFonts w:eastAsia="Arial"/>
          <w:szCs w:val="24"/>
        </w:rPr>
        <w:t xml:space="preserve"> in an education zone in Colombo, Sri Lanka. BMC Public Health. 2017; 17:631. Published online 2017 Jul 6. </w:t>
      </w:r>
      <w:proofErr w:type="spellStart"/>
      <w:r w:rsidRPr="001F291B">
        <w:rPr>
          <w:rFonts w:eastAsia="Arial"/>
          <w:szCs w:val="24"/>
        </w:rPr>
        <w:t>doi</w:t>
      </w:r>
      <w:proofErr w:type="spellEnd"/>
      <w:r w:rsidRPr="001F291B">
        <w:rPr>
          <w:rFonts w:eastAsia="Arial"/>
          <w:szCs w:val="24"/>
        </w:rPr>
        <w:t xml:space="preserve">: 10.1186/s12889-017-4543-x.  Retrieved from: </w:t>
      </w:r>
      <w:hyperlink r:id="rId76">
        <w:r w:rsidRPr="001F291B">
          <w:rPr>
            <w:rFonts w:eastAsia="Arial"/>
            <w:szCs w:val="24"/>
          </w:rPr>
          <w:t>https://www.ncbi.nlm.nih.gov/pmc/articles/PMC5500949/</w:t>
        </w:r>
      </w:hyperlink>
      <w:r w:rsidRPr="001F291B">
        <w:rPr>
          <w:rFonts w:eastAsia="Arial"/>
          <w:szCs w:val="24"/>
        </w:rPr>
        <w:t xml:space="preserve"> </w:t>
      </w:r>
    </w:p>
    <w:p w14:paraId="00FE8200"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highlight w:val="white"/>
        </w:rPr>
        <w:t>Department of Health (DOH, 2012). Administrative Order No. 2012-0029: Implementing guidelines on the institutionalization of Philippine package of essential NCD intervention (</w:t>
      </w:r>
      <w:proofErr w:type="spellStart"/>
      <w:r w:rsidRPr="001F291B">
        <w:rPr>
          <w:rFonts w:eastAsia="Arial"/>
          <w:szCs w:val="24"/>
          <w:highlight w:val="white"/>
        </w:rPr>
        <w:t>PhilPEN</w:t>
      </w:r>
      <w:proofErr w:type="spellEnd"/>
      <w:r w:rsidRPr="001F291B">
        <w:rPr>
          <w:rFonts w:eastAsia="Arial"/>
          <w:szCs w:val="24"/>
          <w:highlight w:val="white"/>
        </w:rPr>
        <w:t xml:space="preserve">) on the integrated management of hypertension and </w:t>
      </w:r>
      <w:r w:rsidRPr="001F291B">
        <w:rPr>
          <w:rFonts w:eastAsia="Arial"/>
          <w:szCs w:val="24"/>
          <w:highlight w:val="white"/>
        </w:rPr>
        <w:lastRenderedPageBreak/>
        <w:t>diabetes for primary health care facilities. Accessed from:</w:t>
      </w:r>
      <w:hyperlink r:id="rId77">
        <w:r w:rsidRPr="001F291B">
          <w:rPr>
            <w:rFonts w:eastAsia="Arial"/>
            <w:szCs w:val="24"/>
            <w:highlight w:val="white"/>
          </w:rPr>
          <w:t xml:space="preserve"> https://extranet.who.int/ncdccs/Data/PHL_D1_PHIL%20PEN.pdf</w:t>
        </w:r>
      </w:hyperlink>
    </w:p>
    <w:p w14:paraId="3ECDF0EC"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Department of Health (DOH, 2019). The 2019 Philippine Health Statistics. Epidemiology Bureau, Department of Health. Accessed from: </w:t>
      </w:r>
      <w:hyperlink r:id="rId78">
        <w:r w:rsidRPr="001F291B">
          <w:rPr>
            <w:rFonts w:eastAsia="Arial"/>
            <w:szCs w:val="24"/>
          </w:rPr>
          <w:t>https://doh.gov.ph/sites/default/files/publications/2019PHS_Final_092121.pdf</w:t>
        </w:r>
      </w:hyperlink>
      <w:r w:rsidRPr="001F291B">
        <w:rPr>
          <w:rFonts w:eastAsia="Arial"/>
          <w:szCs w:val="24"/>
        </w:rPr>
        <w:t xml:space="preserve"> </w:t>
      </w:r>
    </w:p>
    <w:p w14:paraId="7DA06D0A"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Diaz, A.B.F., et.al. (2021). May Measurement Month 2019: an analysis of blood pressure screening results in the Philippines. European Heart Journal Supplements, Volume 23, Issue Supplement B, May 2021, pages B120-B123, </w:t>
      </w:r>
      <w:hyperlink r:id="rId79">
        <w:r w:rsidRPr="001F291B">
          <w:rPr>
            <w:rFonts w:eastAsia="Arial"/>
            <w:szCs w:val="24"/>
            <w:highlight w:val="white"/>
          </w:rPr>
          <w:t>https://doi.org/10.1093/eurheartj/suab061</w:t>
        </w:r>
      </w:hyperlink>
      <w:r w:rsidRPr="001F291B">
        <w:rPr>
          <w:rFonts w:eastAsia="Arial"/>
          <w:szCs w:val="24"/>
        </w:rPr>
        <w:t xml:space="preserve"> . Accessed on </w:t>
      </w:r>
      <w:hyperlink r:id="rId80">
        <w:r w:rsidRPr="001F291B">
          <w:rPr>
            <w:rFonts w:eastAsia="Arial"/>
            <w:szCs w:val="24"/>
          </w:rPr>
          <w:t>https://academic.oup.com/eurheartjsupp/article/23/Supplement_B/B120/6279139</w:t>
        </w:r>
      </w:hyperlink>
      <w:r w:rsidRPr="001F291B">
        <w:rPr>
          <w:rFonts w:eastAsia="Arial"/>
          <w:szCs w:val="24"/>
        </w:rPr>
        <w:t xml:space="preserve"> </w:t>
      </w:r>
    </w:p>
    <w:p w14:paraId="0E84261A"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highlight w:val="white"/>
        </w:rPr>
      </w:pPr>
      <w:r w:rsidRPr="001F291B">
        <w:rPr>
          <w:rFonts w:eastAsia="Arial"/>
          <w:szCs w:val="24"/>
        </w:rPr>
        <w:t xml:space="preserve">Dodson, S., Beauchamp, A., </w:t>
      </w:r>
      <w:proofErr w:type="spellStart"/>
      <w:r w:rsidRPr="001F291B">
        <w:rPr>
          <w:rFonts w:eastAsia="Arial"/>
          <w:szCs w:val="24"/>
        </w:rPr>
        <w:t>Batterham</w:t>
      </w:r>
      <w:proofErr w:type="spellEnd"/>
      <w:r w:rsidRPr="001F291B">
        <w:rPr>
          <w:rFonts w:eastAsia="Arial"/>
          <w:szCs w:val="24"/>
        </w:rPr>
        <w:t xml:space="preserve">, R.W., and Osborne, R.H. (2014). Information sheet 10: About the Health Literacy Questionnaire (HLQ). In Ophelia Toolkit: A step-by-step guide for identifying and responding to health literacy needs within local communities. Retrieved from </w:t>
      </w:r>
      <w:hyperlink r:id="rId81">
        <w:r w:rsidRPr="001F291B">
          <w:rPr>
            <w:rFonts w:eastAsia="Arial"/>
            <w:szCs w:val="24"/>
          </w:rPr>
          <w:t>http://citeseerx.ist.psu.edu/viewdoc/download?doi=10.1.1.726.6237&amp;rep=rep1&amp;type=pdf</w:t>
        </w:r>
      </w:hyperlink>
    </w:p>
    <w:p w14:paraId="7EB66485"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highlight w:val="white"/>
        </w:rPr>
      </w:pPr>
      <w:r w:rsidRPr="001F291B">
        <w:rPr>
          <w:rFonts w:eastAsia="Arial"/>
          <w:szCs w:val="24"/>
          <w:highlight w:val="white"/>
        </w:rPr>
        <w:t xml:space="preserve">Dogan, N., et. al. (2012). Hypertension Prevalence and risk factors among adult population in </w:t>
      </w:r>
      <w:proofErr w:type="spellStart"/>
      <w:r w:rsidRPr="001F291B">
        <w:rPr>
          <w:rFonts w:eastAsia="Arial"/>
          <w:szCs w:val="24"/>
          <w:highlight w:val="white"/>
        </w:rPr>
        <w:t>Afyonkarahisar</w:t>
      </w:r>
      <w:proofErr w:type="spellEnd"/>
      <w:r w:rsidRPr="001F291B">
        <w:rPr>
          <w:rFonts w:eastAsia="Arial"/>
          <w:szCs w:val="24"/>
          <w:highlight w:val="white"/>
        </w:rPr>
        <w:t xml:space="preserve"> region: </w:t>
      </w:r>
      <w:proofErr w:type="gramStart"/>
      <w:r w:rsidRPr="001F291B">
        <w:rPr>
          <w:rFonts w:eastAsia="Arial"/>
          <w:szCs w:val="24"/>
          <w:highlight w:val="white"/>
        </w:rPr>
        <w:t>a cross-sectional research</w:t>
      </w:r>
      <w:proofErr w:type="gramEnd"/>
      <w:r w:rsidRPr="001F291B">
        <w:rPr>
          <w:rFonts w:eastAsia="Arial"/>
          <w:szCs w:val="24"/>
          <w:highlight w:val="white"/>
        </w:rPr>
        <w:t xml:space="preserve">. Accessed from: </w:t>
      </w:r>
      <w:hyperlink r:id="rId82">
        <w:r w:rsidRPr="001F291B">
          <w:rPr>
            <w:rFonts w:eastAsia="Arial"/>
            <w:szCs w:val="24"/>
          </w:rPr>
          <w:t>https://pubmed.ncbi.nlm.nih.gov/22214743/</w:t>
        </w:r>
      </w:hyperlink>
      <w:r w:rsidRPr="001F291B">
        <w:rPr>
          <w:rFonts w:eastAsia="Arial"/>
          <w:szCs w:val="24"/>
        </w:rPr>
        <w:t xml:space="preserve"> </w:t>
      </w:r>
    </w:p>
    <w:p w14:paraId="363B418C"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Don </w:t>
      </w:r>
      <w:proofErr w:type="spellStart"/>
      <w:r w:rsidRPr="001F291B">
        <w:rPr>
          <w:rFonts w:eastAsia="Arial"/>
          <w:szCs w:val="24"/>
        </w:rPr>
        <w:t>Nutbeam</w:t>
      </w:r>
      <w:proofErr w:type="spellEnd"/>
      <w:r w:rsidRPr="001F291B">
        <w:rPr>
          <w:rFonts w:eastAsia="Arial"/>
          <w:szCs w:val="24"/>
        </w:rPr>
        <w:t xml:space="preserve"> (2000). Health Literacy as a public health goal: a challenge for contemporary health education and communication strategies into the 21</w:t>
      </w:r>
      <w:r w:rsidRPr="001F291B">
        <w:rPr>
          <w:rFonts w:eastAsia="Arial"/>
          <w:szCs w:val="24"/>
          <w:vertAlign w:val="superscript"/>
        </w:rPr>
        <w:t>st</w:t>
      </w:r>
      <w:r w:rsidRPr="001F291B">
        <w:rPr>
          <w:rFonts w:eastAsia="Arial"/>
          <w:szCs w:val="24"/>
        </w:rPr>
        <w:t xml:space="preserve"> century. Accessed from: </w:t>
      </w:r>
      <w:hyperlink r:id="rId83">
        <w:r w:rsidRPr="001F291B">
          <w:rPr>
            <w:rFonts w:eastAsia="Arial"/>
            <w:szCs w:val="24"/>
          </w:rPr>
          <w:t>https://academic.oup.com/heapro/article/15/3/259/551108</w:t>
        </w:r>
      </w:hyperlink>
      <w:r w:rsidRPr="001F291B">
        <w:rPr>
          <w:rFonts w:eastAsia="Arial"/>
          <w:szCs w:val="24"/>
        </w:rPr>
        <w:t xml:space="preserve"> </w:t>
      </w:r>
    </w:p>
    <w:p w14:paraId="1A4E5BD2"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highlight w:val="white"/>
        </w:rPr>
      </w:pPr>
      <w:r w:rsidRPr="001F291B">
        <w:rPr>
          <w:rFonts w:eastAsia="Arial"/>
          <w:szCs w:val="24"/>
        </w:rPr>
        <w:t xml:space="preserve">Don </w:t>
      </w:r>
      <w:proofErr w:type="spellStart"/>
      <w:r w:rsidRPr="001F291B">
        <w:rPr>
          <w:rFonts w:eastAsia="Arial"/>
          <w:szCs w:val="24"/>
        </w:rPr>
        <w:t>Nutbeam</w:t>
      </w:r>
      <w:proofErr w:type="spellEnd"/>
      <w:r w:rsidRPr="001F291B">
        <w:rPr>
          <w:rFonts w:eastAsia="Arial"/>
          <w:szCs w:val="24"/>
        </w:rPr>
        <w:t xml:space="preserve"> (2015). Defining, </w:t>
      </w:r>
      <w:proofErr w:type="gramStart"/>
      <w:r w:rsidRPr="001F291B">
        <w:rPr>
          <w:rFonts w:eastAsia="Arial"/>
          <w:szCs w:val="24"/>
        </w:rPr>
        <w:t>measuring</w:t>
      </w:r>
      <w:proofErr w:type="gramEnd"/>
      <w:r w:rsidRPr="001F291B">
        <w:rPr>
          <w:rFonts w:eastAsia="Arial"/>
          <w:szCs w:val="24"/>
        </w:rPr>
        <w:t xml:space="preserve"> and improving health literacy. Japan Society of Health Evaluation and Promotion, 2015 Volume 42 Issue 4 Pages 450-456. Accessed from: </w:t>
      </w:r>
      <w:hyperlink r:id="rId84">
        <w:r w:rsidRPr="001F291B">
          <w:rPr>
            <w:rFonts w:eastAsia="Arial"/>
            <w:szCs w:val="24"/>
          </w:rPr>
          <w:t>https://www.jstage.jst.go.jp/article/jhep/42/4/42_450/_article</w:t>
        </w:r>
      </w:hyperlink>
    </w:p>
    <w:p w14:paraId="4B255776"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highlight w:val="white"/>
        </w:rPr>
      </w:pPr>
      <w:r w:rsidRPr="001F291B">
        <w:rPr>
          <w:rFonts w:eastAsia="Arial"/>
          <w:szCs w:val="24"/>
          <w:highlight w:val="white"/>
        </w:rPr>
        <w:t xml:space="preserve">Du, S., </w:t>
      </w:r>
      <w:r w:rsidRPr="001F291B">
        <w:rPr>
          <w:rFonts w:eastAsia="Arial"/>
          <w:i/>
          <w:szCs w:val="24"/>
          <w:highlight w:val="white"/>
        </w:rPr>
        <w:t xml:space="preserve">et. al. </w:t>
      </w:r>
      <w:r w:rsidRPr="001F291B">
        <w:rPr>
          <w:rFonts w:eastAsia="Arial"/>
          <w:szCs w:val="24"/>
          <w:highlight w:val="white"/>
        </w:rPr>
        <w:t xml:space="preserve">(2018). Health Literacy and health outcomes in hypertension: An integrative review. International Journal of Nursing Sciences, Volume 5, Issue 3, 10 July 2018, Pages 301-309. Accessed from: </w:t>
      </w:r>
      <w:hyperlink r:id="rId85">
        <w:r w:rsidRPr="001F291B">
          <w:rPr>
            <w:rFonts w:eastAsia="Arial"/>
            <w:szCs w:val="24"/>
            <w:highlight w:val="white"/>
          </w:rPr>
          <w:t>https://www.sciencedirect.com/science/article/pii/S2352013217302971</w:t>
        </w:r>
      </w:hyperlink>
      <w:r w:rsidRPr="001F291B">
        <w:rPr>
          <w:rFonts w:eastAsia="Arial"/>
          <w:szCs w:val="24"/>
          <w:highlight w:val="white"/>
        </w:rPr>
        <w:t xml:space="preserve"> </w:t>
      </w:r>
    </w:p>
    <w:p w14:paraId="72993157"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highlight w:val="white"/>
        </w:rPr>
      </w:pPr>
      <w:r w:rsidRPr="001F291B">
        <w:rPr>
          <w:rFonts w:eastAsia="Arial"/>
          <w:szCs w:val="24"/>
          <w:highlight w:val="white"/>
        </w:rPr>
        <w:t xml:space="preserve">El Omari, S. and </w:t>
      </w:r>
      <w:proofErr w:type="spellStart"/>
      <w:r w:rsidRPr="001F291B">
        <w:rPr>
          <w:rFonts w:eastAsia="Arial"/>
          <w:szCs w:val="24"/>
          <w:highlight w:val="white"/>
        </w:rPr>
        <w:t>Karasneh</w:t>
      </w:r>
      <w:proofErr w:type="spellEnd"/>
      <w:r w:rsidRPr="001F291B">
        <w:rPr>
          <w:rFonts w:eastAsia="Arial"/>
          <w:szCs w:val="24"/>
          <w:highlight w:val="white"/>
        </w:rPr>
        <w:t xml:space="preserve">, M. (2021). Social health insurance in the Philippines: do the poor really benefit? </w:t>
      </w:r>
      <w:r w:rsidRPr="001F291B">
        <w:rPr>
          <w:rFonts w:eastAsia="Arial"/>
          <w:i/>
          <w:szCs w:val="24"/>
          <w:highlight w:val="white"/>
        </w:rPr>
        <w:t>J Econ Finan</w:t>
      </w:r>
      <w:r w:rsidRPr="001F291B">
        <w:rPr>
          <w:rFonts w:eastAsia="Arial"/>
          <w:szCs w:val="24"/>
          <w:highlight w:val="white"/>
        </w:rPr>
        <w:t xml:space="preserve"> 45, 171–187 (2021). </w:t>
      </w:r>
      <w:hyperlink r:id="rId86">
        <w:r w:rsidRPr="001F291B">
          <w:rPr>
            <w:rFonts w:eastAsia="Arial"/>
            <w:szCs w:val="24"/>
            <w:highlight w:val="white"/>
          </w:rPr>
          <w:t>https://doi.org/10.1007/s12197-020-09525-5</w:t>
        </w:r>
      </w:hyperlink>
      <w:r w:rsidRPr="001F291B">
        <w:rPr>
          <w:rFonts w:eastAsia="Arial"/>
          <w:szCs w:val="24"/>
          <w:highlight w:val="white"/>
        </w:rPr>
        <w:t xml:space="preserve"> </w:t>
      </w:r>
    </w:p>
    <w:p w14:paraId="7A06D0E3"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highlight w:val="white"/>
        </w:rPr>
      </w:pPr>
      <w:r w:rsidRPr="001F291B">
        <w:rPr>
          <w:rFonts w:eastAsia="Arial"/>
          <w:szCs w:val="24"/>
          <w:highlight w:val="white"/>
        </w:rPr>
        <w:t xml:space="preserve">Estimation and Sample Size Determination for Finite Populations. Accessed from: </w:t>
      </w:r>
      <w:hyperlink r:id="rId87">
        <w:r w:rsidRPr="001F291B">
          <w:rPr>
            <w:rFonts w:eastAsia="Arial"/>
            <w:szCs w:val="24"/>
          </w:rPr>
          <w:t>https://www.alnap.org/system/files/content/resource/files/main/finite.pdf</w:t>
        </w:r>
      </w:hyperlink>
      <w:r w:rsidRPr="001F291B">
        <w:rPr>
          <w:rFonts w:eastAsia="Arial"/>
          <w:szCs w:val="24"/>
        </w:rPr>
        <w:t xml:space="preserve">  </w:t>
      </w:r>
    </w:p>
    <w:p w14:paraId="72887F16"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highlight w:val="white"/>
        </w:rPr>
      </w:pPr>
      <w:r w:rsidRPr="001F291B">
        <w:rPr>
          <w:rFonts w:eastAsia="Arial"/>
          <w:szCs w:val="24"/>
          <w:highlight w:val="white"/>
        </w:rPr>
        <w:t xml:space="preserve">Feitosa, F.G.A.M., Feitosa, A.D.M., Paiva, A.M.G. </w:t>
      </w:r>
      <w:r w:rsidRPr="001F291B">
        <w:rPr>
          <w:rFonts w:eastAsia="Arial"/>
          <w:i/>
          <w:szCs w:val="24"/>
          <w:highlight w:val="white"/>
        </w:rPr>
        <w:t>et al.</w:t>
      </w:r>
      <w:r w:rsidRPr="001F291B">
        <w:rPr>
          <w:rFonts w:eastAsia="Arial"/>
          <w:szCs w:val="24"/>
          <w:highlight w:val="white"/>
        </w:rPr>
        <w:t xml:space="preserve"> Impact of the COVID-19 pandemic on blood pressure control: a nationwide home blood pressure monitoring study. </w:t>
      </w:r>
      <w:proofErr w:type="spellStart"/>
      <w:r w:rsidRPr="001F291B">
        <w:rPr>
          <w:rFonts w:eastAsia="Arial"/>
          <w:i/>
          <w:szCs w:val="24"/>
          <w:highlight w:val="white"/>
        </w:rPr>
        <w:t>Hypertens</w:t>
      </w:r>
      <w:proofErr w:type="spellEnd"/>
      <w:r w:rsidRPr="001F291B">
        <w:rPr>
          <w:rFonts w:eastAsia="Arial"/>
          <w:i/>
          <w:szCs w:val="24"/>
          <w:highlight w:val="white"/>
        </w:rPr>
        <w:t xml:space="preserve"> Res</w:t>
      </w:r>
      <w:r w:rsidRPr="001F291B">
        <w:rPr>
          <w:rFonts w:eastAsia="Arial"/>
          <w:szCs w:val="24"/>
          <w:highlight w:val="white"/>
        </w:rPr>
        <w:t xml:space="preserve"> 45, 364–368 (2022). </w:t>
      </w:r>
      <w:hyperlink r:id="rId88">
        <w:r w:rsidRPr="001F291B">
          <w:rPr>
            <w:rFonts w:eastAsia="Arial"/>
            <w:szCs w:val="24"/>
            <w:highlight w:val="white"/>
          </w:rPr>
          <w:t>https://doi.org/10.1038/s41440-021-00784-1</w:t>
        </w:r>
      </w:hyperlink>
      <w:r w:rsidRPr="001F291B">
        <w:rPr>
          <w:rFonts w:eastAsia="Arial"/>
          <w:szCs w:val="24"/>
          <w:highlight w:val="white"/>
        </w:rPr>
        <w:t xml:space="preserve"> . Accessed from: </w:t>
      </w:r>
      <w:hyperlink r:id="rId89">
        <w:r w:rsidRPr="001F291B">
          <w:rPr>
            <w:rFonts w:eastAsia="Arial"/>
            <w:szCs w:val="24"/>
            <w:highlight w:val="white"/>
          </w:rPr>
          <w:t>https://www.nature.com/articles/s41440-021-00784-1</w:t>
        </w:r>
      </w:hyperlink>
      <w:r w:rsidRPr="001F291B">
        <w:rPr>
          <w:rFonts w:eastAsia="Arial"/>
          <w:szCs w:val="24"/>
          <w:highlight w:val="white"/>
        </w:rPr>
        <w:t xml:space="preserve"> </w:t>
      </w:r>
    </w:p>
    <w:p w14:paraId="79805B1C"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highlight w:val="white"/>
        </w:rPr>
      </w:pPr>
      <w:r w:rsidRPr="001F291B">
        <w:rPr>
          <w:rFonts w:eastAsia="Arial"/>
          <w:szCs w:val="24"/>
          <w:highlight w:val="white"/>
        </w:rPr>
        <w:lastRenderedPageBreak/>
        <w:t>Field Health Services Information System (FHSIS, 2018). 2018 Annual Report. Department of Health. Manila</w:t>
      </w:r>
    </w:p>
    <w:p w14:paraId="4C344592"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highlight w:val="white"/>
        </w:rPr>
      </w:pPr>
      <w:r w:rsidRPr="001F291B">
        <w:rPr>
          <w:rFonts w:eastAsia="Arial"/>
          <w:szCs w:val="24"/>
          <w:highlight w:val="white"/>
        </w:rPr>
        <w:t xml:space="preserve">Food and Nutrition Research Institute (FNRI, 2018). 2018 Expanded National Nutrition Survey: Health and Nutritional Status of Filipino Adults, 20-59 years old. Accessed from: </w:t>
      </w:r>
      <w:hyperlink r:id="rId90">
        <w:r w:rsidRPr="001F291B">
          <w:rPr>
            <w:rFonts w:eastAsia="Arial"/>
            <w:szCs w:val="24"/>
            <w:highlight w:val="white"/>
          </w:rPr>
          <w:t>https://www.fnri.dost.gov.ph/images//sources/eNNS2018/Adults_and_Elderly.pdf</w:t>
        </w:r>
      </w:hyperlink>
      <w:r w:rsidRPr="001F291B">
        <w:rPr>
          <w:rFonts w:eastAsia="Arial"/>
          <w:szCs w:val="24"/>
          <w:highlight w:val="white"/>
        </w:rPr>
        <w:t xml:space="preserve"> </w:t>
      </w:r>
    </w:p>
    <w:p w14:paraId="0C5DCA62"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highlight w:val="white"/>
        </w:rPr>
        <w:t xml:space="preserve">Food and Nutrition Research Institute (FNRI, 2018). 2018 Expanded National Nutrition Survey: Health and Nutritional Status of Filipino Adults, 60 years old and above. Accessed from: </w:t>
      </w:r>
      <w:hyperlink r:id="rId91">
        <w:r w:rsidRPr="001F291B">
          <w:rPr>
            <w:rFonts w:eastAsia="Arial"/>
            <w:szCs w:val="24"/>
            <w:highlight w:val="white"/>
          </w:rPr>
          <w:t>https://www.fnri.dost.gov.ph/images//sources/eNNS2018/Adults_and_Elderly.pdf</w:t>
        </w:r>
      </w:hyperlink>
    </w:p>
    <w:p w14:paraId="0529CB00"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highlight w:val="white"/>
        </w:rPr>
      </w:pPr>
      <w:r w:rsidRPr="001F291B">
        <w:rPr>
          <w:rFonts w:eastAsia="Arial"/>
          <w:szCs w:val="24"/>
        </w:rPr>
        <w:t>Fryar C.D., et. al. (2017). Hypertension Prevalence and Control Among Adults: United States, 2015-2016. Accessed from:</w:t>
      </w:r>
      <w:hyperlink r:id="rId92">
        <w:r w:rsidRPr="001F291B">
          <w:rPr>
            <w:rFonts w:eastAsia="Arial"/>
            <w:szCs w:val="24"/>
          </w:rPr>
          <w:t xml:space="preserve"> https://www.cdc.gov/nchs/products/databriefs/db289.htm</w:t>
        </w:r>
      </w:hyperlink>
    </w:p>
    <w:p w14:paraId="2F5D77B9"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highlight w:val="white"/>
        </w:rPr>
      </w:pPr>
      <w:r w:rsidRPr="001F291B">
        <w:rPr>
          <w:rFonts w:eastAsia="Arial"/>
          <w:szCs w:val="24"/>
          <w:highlight w:val="white"/>
        </w:rPr>
        <w:t xml:space="preserve">Gai and Minniti (2015). Health Insurance, Job lock, and the Supply of Self-employment. Wiley Online Library. DOI: </w:t>
      </w:r>
      <w:hyperlink r:id="rId93">
        <w:r w:rsidRPr="001F291B">
          <w:rPr>
            <w:rFonts w:eastAsia="Arial"/>
            <w:szCs w:val="24"/>
            <w:highlight w:val="white"/>
          </w:rPr>
          <w:t>https://doi.org/10.1111/jsbm.12169</w:t>
        </w:r>
      </w:hyperlink>
      <w:r w:rsidRPr="001F291B">
        <w:rPr>
          <w:rFonts w:eastAsia="Arial"/>
          <w:szCs w:val="24"/>
          <w:highlight w:val="white"/>
        </w:rPr>
        <w:t xml:space="preserve">. </w:t>
      </w:r>
    </w:p>
    <w:p w14:paraId="2FC6BAF1"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highlight w:val="white"/>
        </w:rPr>
      </w:pPr>
      <w:r w:rsidRPr="001F291B">
        <w:rPr>
          <w:rFonts w:eastAsia="Arial"/>
          <w:szCs w:val="24"/>
          <w:highlight w:val="white"/>
        </w:rPr>
        <w:t xml:space="preserve">Garcia-Cordina, O., et al. (2019). Determinants of health literacy in the general population: results of the Catalan health survey. BMC Public Health. 2019 Aug 16; 19(1):1122. Accessed from: </w:t>
      </w:r>
      <w:hyperlink r:id="rId94">
        <w:r w:rsidRPr="001F291B">
          <w:rPr>
            <w:rFonts w:eastAsia="Arial"/>
            <w:szCs w:val="24"/>
            <w:highlight w:val="white"/>
          </w:rPr>
          <w:t>https://www.ncbi.nlm.nih.gov/pubmed/31420029</w:t>
        </w:r>
      </w:hyperlink>
      <w:r w:rsidRPr="001F291B">
        <w:rPr>
          <w:rFonts w:eastAsia="Arial"/>
          <w:szCs w:val="24"/>
          <w:highlight w:val="white"/>
        </w:rPr>
        <w:t xml:space="preserve"> </w:t>
      </w:r>
    </w:p>
    <w:p w14:paraId="75FE7502"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highlight w:val="white"/>
        </w:rPr>
      </w:pPr>
      <w:r w:rsidRPr="001F291B">
        <w:rPr>
          <w:rFonts w:eastAsia="Arial"/>
          <w:szCs w:val="24"/>
          <w:highlight w:val="white"/>
        </w:rPr>
        <w:t xml:space="preserve">Ghazi, L. et. al. (2022). Severe inpatient hypertension prevalence and blood pressure response to antihypertensive treatment. Published: 17 February 2022. </w:t>
      </w:r>
      <w:hyperlink r:id="rId95">
        <w:r w:rsidRPr="001F291B">
          <w:rPr>
            <w:rFonts w:eastAsia="Arial"/>
            <w:szCs w:val="24"/>
            <w:highlight w:val="white"/>
          </w:rPr>
          <w:t>https://doi.org/10.1111/jch.14431</w:t>
        </w:r>
      </w:hyperlink>
      <w:r w:rsidRPr="001F291B">
        <w:rPr>
          <w:rFonts w:eastAsia="Arial"/>
          <w:szCs w:val="24"/>
          <w:highlight w:val="white"/>
        </w:rPr>
        <w:t xml:space="preserve">. Accessed from: </w:t>
      </w:r>
      <w:hyperlink r:id="rId96">
        <w:r w:rsidRPr="001F291B">
          <w:rPr>
            <w:rFonts w:eastAsia="Arial"/>
            <w:szCs w:val="24"/>
            <w:highlight w:val="white"/>
          </w:rPr>
          <w:t>https://onlinelibrary.wiley.com/doi/10.1111/jch.14431</w:t>
        </w:r>
      </w:hyperlink>
      <w:r w:rsidRPr="001F291B">
        <w:rPr>
          <w:rFonts w:eastAsia="Arial"/>
          <w:szCs w:val="24"/>
          <w:highlight w:val="white"/>
        </w:rPr>
        <w:t xml:space="preserve"> </w:t>
      </w:r>
    </w:p>
    <w:p w14:paraId="3DDBB62D"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highlight w:val="white"/>
        </w:rPr>
      </w:pPr>
      <w:r w:rsidRPr="001F291B">
        <w:rPr>
          <w:rFonts w:eastAsia="Arial"/>
          <w:szCs w:val="24"/>
          <w:highlight w:val="white"/>
        </w:rPr>
        <w:t>Gotanda, H., et al. (2022). Changes in Blood Pressure Outcome Among Hypertensive Individuals during the COVID-19 Pandemic: A Time Series Analysis in Three US Healthcare Organizations. Accessed from:</w:t>
      </w:r>
      <w:hyperlink r:id="rId97">
        <w:r w:rsidRPr="001F291B">
          <w:rPr>
            <w:rFonts w:eastAsia="Arial"/>
            <w:szCs w:val="24"/>
            <w:highlight w:val="white"/>
          </w:rPr>
          <w:t>https://www.ahajournals.org/doi/10.1161/HYPERTENSIONAHA.122.19861</w:t>
        </w:r>
      </w:hyperlink>
      <w:r w:rsidRPr="001F291B">
        <w:rPr>
          <w:rFonts w:eastAsia="Arial"/>
          <w:szCs w:val="24"/>
          <w:highlight w:val="white"/>
        </w:rPr>
        <w:t xml:space="preserve">  </w:t>
      </w:r>
    </w:p>
    <w:p w14:paraId="30E8BE48"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highlight w:val="white"/>
        </w:rPr>
        <w:t xml:space="preserve">Gurven, M., et al (2012). Does Blood Pressure Inevitably Rise with Age? Hypertension. 2012; 60:25-33. Accessed from: </w:t>
      </w:r>
      <w:hyperlink r:id="rId98">
        <w:r w:rsidRPr="001F291B">
          <w:rPr>
            <w:rFonts w:eastAsia="Arial"/>
            <w:szCs w:val="24"/>
            <w:highlight w:val="white"/>
          </w:rPr>
          <w:t>https://doi.org/10.1161/HYPERTENSIONAHA.111.189100</w:t>
        </w:r>
      </w:hyperlink>
    </w:p>
    <w:p w14:paraId="6BD89324"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highlight w:val="white"/>
        </w:rPr>
      </w:pPr>
      <w:r w:rsidRPr="001F291B">
        <w:rPr>
          <w:rFonts w:eastAsia="Arial"/>
          <w:szCs w:val="24"/>
        </w:rPr>
        <w:t>Heijman, M., et. al. (2015). Functional, communicative, and critical health literacy of chronic disease patients and their importance for self-management. Accessed from:</w:t>
      </w:r>
      <w:hyperlink r:id="rId99">
        <w:r w:rsidRPr="001F291B">
          <w:rPr>
            <w:rFonts w:eastAsia="Arial"/>
            <w:szCs w:val="24"/>
          </w:rPr>
          <w:t xml:space="preserve"> https://www.sciencedirect.com/science/article/abs/pii/S0738399114004133?via%3Dihub</w:t>
        </w:r>
      </w:hyperlink>
    </w:p>
    <w:p w14:paraId="6E91B4C0"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highlight w:val="white"/>
        </w:rPr>
        <w:t xml:space="preserve">Health Policy Institute (HPI, n.d.). Low Health Literacy Skills Increase Annual Health Care Expenditures by USD 73 Billion. Accessed from: </w:t>
      </w:r>
      <w:hyperlink r:id="rId100">
        <w:r w:rsidRPr="001F291B">
          <w:rPr>
            <w:rFonts w:eastAsia="Arial"/>
            <w:szCs w:val="24"/>
          </w:rPr>
          <w:t>https://hpi.georgetown.edu/healthlit/</w:t>
        </w:r>
      </w:hyperlink>
      <w:r w:rsidRPr="001F291B">
        <w:rPr>
          <w:rFonts w:eastAsia="Arial"/>
          <w:szCs w:val="24"/>
        </w:rPr>
        <w:t xml:space="preserve"> </w:t>
      </w:r>
    </w:p>
    <w:p w14:paraId="66D02082"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Hickey, K. T. et. al. (2018). Low Health Literacy. Nurse </w:t>
      </w:r>
      <w:proofErr w:type="spellStart"/>
      <w:r w:rsidRPr="001F291B">
        <w:rPr>
          <w:rFonts w:eastAsia="Arial"/>
          <w:szCs w:val="24"/>
        </w:rPr>
        <w:t>Pract</w:t>
      </w:r>
      <w:proofErr w:type="spellEnd"/>
      <w:r w:rsidRPr="001F291B">
        <w:rPr>
          <w:rFonts w:eastAsia="Arial"/>
          <w:szCs w:val="24"/>
        </w:rPr>
        <w:t>. 2018 Aug; 43(8):49-55. Accessed from:</w:t>
      </w:r>
      <w:hyperlink r:id="rId101">
        <w:r w:rsidRPr="001F291B">
          <w:rPr>
            <w:rFonts w:eastAsia="Arial"/>
            <w:szCs w:val="24"/>
          </w:rPr>
          <w:t xml:space="preserve"> https://www.ncbi.nlm.nih.gov/pmc/articles/PMC6391993/</w:t>
        </w:r>
      </w:hyperlink>
    </w:p>
    <w:p w14:paraId="597C17AE"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lastRenderedPageBreak/>
        <w:t xml:space="preserve">HLS-EU Consortium (2012): Comparative Report of Health Literacy in Eight EU Member States. The European Health Literacy Survey HLS-EU (SECOND REVISED AND EXTENDED VERSION, DATE JULY 22TH , 2014), ONLINE PUBLICATION: </w:t>
      </w:r>
      <w:hyperlink r:id="rId102">
        <w:r w:rsidRPr="001F291B">
          <w:rPr>
            <w:rFonts w:eastAsia="Arial"/>
            <w:szCs w:val="24"/>
          </w:rPr>
          <w:t>HTTP://WWW.HEALTH-LITERACY.EU</w:t>
        </w:r>
      </w:hyperlink>
      <w:r w:rsidRPr="001F291B">
        <w:rPr>
          <w:rFonts w:eastAsia="Arial"/>
          <w:szCs w:val="24"/>
        </w:rPr>
        <w:t xml:space="preserve">  Retrieved from: </w:t>
      </w:r>
      <w:hyperlink r:id="rId103">
        <w:r w:rsidRPr="001F291B">
          <w:rPr>
            <w:rFonts w:eastAsia="Arial"/>
            <w:szCs w:val="24"/>
          </w:rPr>
          <w:t>https://cdn1.sph.harvard.edu/wp-content/uploads/sites/135/2015/09/neu_rev_hls-eu_report_2015_05_13_lit.pdf</w:t>
        </w:r>
      </w:hyperlink>
      <w:r w:rsidRPr="001F291B">
        <w:rPr>
          <w:rFonts w:eastAsia="Arial"/>
          <w:szCs w:val="24"/>
        </w:rPr>
        <w:t xml:space="preserve"> </w:t>
      </w:r>
    </w:p>
    <w:p w14:paraId="08A5631A"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highlight w:val="white"/>
        </w:rPr>
        <w:t xml:space="preserve">Hu D, Lou X, Meng N, Li Z, Teng Y, Zou Y, Wang F. Influence of age and gender on the epidemic of COVID-19: Evidence from 177 countries and territories-an exploratory, ecological study. Wien Klin </w:t>
      </w:r>
      <w:proofErr w:type="spellStart"/>
      <w:r w:rsidRPr="001F291B">
        <w:rPr>
          <w:rFonts w:eastAsia="Arial"/>
          <w:szCs w:val="24"/>
          <w:highlight w:val="white"/>
        </w:rPr>
        <w:t>Wochenschr</w:t>
      </w:r>
      <w:proofErr w:type="spellEnd"/>
      <w:r w:rsidRPr="001F291B">
        <w:rPr>
          <w:rFonts w:eastAsia="Arial"/>
          <w:szCs w:val="24"/>
          <w:highlight w:val="white"/>
        </w:rPr>
        <w:t xml:space="preserve">. 2021 Apr;133(7-8):321-330. </w:t>
      </w:r>
      <w:proofErr w:type="spellStart"/>
      <w:r w:rsidRPr="001F291B">
        <w:rPr>
          <w:rFonts w:eastAsia="Arial"/>
          <w:szCs w:val="24"/>
          <w:highlight w:val="white"/>
        </w:rPr>
        <w:t>doi</w:t>
      </w:r>
      <w:proofErr w:type="spellEnd"/>
      <w:r w:rsidRPr="001F291B">
        <w:rPr>
          <w:rFonts w:eastAsia="Arial"/>
          <w:szCs w:val="24"/>
          <w:highlight w:val="white"/>
        </w:rPr>
        <w:t xml:space="preserve">: 10.1007/s00508-021-01816-z. </w:t>
      </w:r>
      <w:proofErr w:type="spellStart"/>
      <w:r w:rsidRPr="001F291B">
        <w:rPr>
          <w:rFonts w:eastAsia="Arial"/>
          <w:szCs w:val="24"/>
          <w:highlight w:val="white"/>
        </w:rPr>
        <w:t>Epub</w:t>
      </w:r>
      <w:proofErr w:type="spellEnd"/>
      <w:r w:rsidRPr="001F291B">
        <w:rPr>
          <w:rFonts w:eastAsia="Arial"/>
          <w:szCs w:val="24"/>
          <w:highlight w:val="white"/>
        </w:rPr>
        <w:t xml:space="preserve"> 2021 Feb 5. PMID: 33547492; PMCID: PMC7864622. Accessed from: </w:t>
      </w:r>
      <w:hyperlink r:id="rId104">
        <w:r w:rsidRPr="001F291B">
          <w:rPr>
            <w:rFonts w:eastAsia="Arial"/>
            <w:szCs w:val="24"/>
            <w:highlight w:val="white"/>
          </w:rPr>
          <w:t>https://www.ncbi.nlm.nih.gov/pmc/articles/PMC7864622/</w:t>
        </w:r>
      </w:hyperlink>
      <w:r w:rsidRPr="001F291B">
        <w:rPr>
          <w:rFonts w:eastAsia="Arial"/>
          <w:szCs w:val="24"/>
          <w:highlight w:val="white"/>
        </w:rPr>
        <w:t xml:space="preserve"> </w:t>
      </w:r>
    </w:p>
    <w:p w14:paraId="4BD79DB5"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highlight w:val="white"/>
        </w:rPr>
      </w:pPr>
      <w:r w:rsidRPr="001F291B">
        <w:rPr>
          <w:rFonts w:eastAsia="Arial"/>
          <w:szCs w:val="24"/>
        </w:rPr>
        <w:t>Inoue, M., Takahashi, M. &amp; Kai, Ichiro (2013). Impact of communicative and critical health literacy on understanding of diabetes care and self-efficacy in diabetes management: a cross-sectional study of primary care in Japan. BMC Family Practice. Accessed from:</w:t>
      </w:r>
      <w:hyperlink r:id="rId105">
        <w:r w:rsidRPr="001F291B">
          <w:rPr>
            <w:rFonts w:eastAsia="Arial"/>
            <w:szCs w:val="24"/>
          </w:rPr>
          <w:t xml:space="preserve"> https://bmcprimcare.biomedcentral.com/articles/10.1186/1471-2296-14-40</w:t>
        </w:r>
      </w:hyperlink>
    </w:p>
    <w:p w14:paraId="29CA0A9D"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proofErr w:type="spellStart"/>
      <w:r w:rsidRPr="001F291B">
        <w:rPr>
          <w:rFonts w:eastAsia="Arial"/>
          <w:szCs w:val="24"/>
          <w:highlight w:val="white"/>
        </w:rPr>
        <w:t>Jaykaran</w:t>
      </w:r>
      <w:proofErr w:type="spellEnd"/>
      <w:r w:rsidRPr="001F291B">
        <w:rPr>
          <w:rFonts w:eastAsia="Arial"/>
          <w:szCs w:val="24"/>
          <w:highlight w:val="white"/>
        </w:rPr>
        <w:t xml:space="preserve"> Charan and Tamoghna Biswas (2013). How to Calculate Sample Size for Different Study Designs in Medical Research? </w:t>
      </w:r>
      <w:hyperlink r:id="rId106">
        <w:r w:rsidRPr="001F291B">
          <w:rPr>
            <w:rFonts w:eastAsia="Arial"/>
            <w:szCs w:val="24"/>
          </w:rPr>
          <w:t>Indian J Psychol Med</w:t>
        </w:r>
      </w:hyperlink>
      <w:r w:rsidRPr="001F291B">
        <w:rPr>
          <w:rFonts w:eastAsia="Arial"/>
          <w:szCs w:val="24"/>
        </w:rPr>
        <w:t>. 2013 Apr-Jun; 35(2): 121–126.doi: </w:t>
      </w:r>
      <w:hyperlink r:id="rId107">
        <w:r w:rsidRPr="001F291B">
          <w:rPr>
            <w:rFonts w:eastAsia="Arial"/>
            <w:szCs w:val="24"/>
          </w:rPr>
          <w:t>10.4103/0253-7176.116232</w:t>
        </w:r>
      </w:hyperlink>
      <w:r w:rsidRPr="001F291B">
        <w:rPr>
          <w:rFonts w:eastAsia="Arial"/>
          <w:szCs w:val="24"/>
        </w:rPr>
        <w:t xml:space="preserve">. Accessed from: </w:t>
      </w:r>
      <w:hyperlink r:id="rId108">
        <w:r w:rsidRPr="001F291B">
          <w:rPr>
            <w:rFonts w:eastAsia="Arial"/>
            <w:szCs w:val="24"/>
          </w:rPr>
          <w:t>https://www.ncbi.nlm.nih.gov/pmc/articles/PMC3775042/</w:t>
        </w:r>
      </w:hyperlink>
    </w:p>
    <w:p w14:paraId="4705E50D"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highlight w:val="white"/>
        </w:rPr>
        <w:t xml:space="preserve"> Jeong HJ, Lee WC. The level of collapse we are allowed: comparison of different response scales in safety attitudes questionnaire. </w:t>
      </w:r>
      <w:proofErr w:type="spellStart"/>
      <w:r w:rsidRPr="001F291B">
        <w:rPr>
          <w:rFonts w:eastAsia="Arial"/>
          <w:i/>
          <w:szCs w:val="24"/>
          <w:highlight w:val="white"/>
        </w:rPr>
        <w:t>Biom</w:t>
      </w:r>
      <w:proofErr w:type="spellEnd"/>
      <w:r w:rsidRPr="001F291B">
        <w:rPr>
          <w:rFonts w:eastAsia="Arial"/>
          <w:i/>
          <w:szCs w:val="24"/>
          <w:highlight w:val="white"/>
        </w:rPr>
        <w:t xml:space="preserve"> </w:t>
      </w:r>
      <w:proofErr w:type="spellStart"/>
      <w:r w:rsidRPr="001F291B">
        <w:rPr>
          <w:rFonts w:eastAsia="Arial"/>
          <w:i/>
          <w:szCs w:val="24"/>
          <w:highlight w:val="white"/>
        </w:rPr>
        <w:t>Biostat</w:t>
      </w:r>
      <w:proofErr w:type="spellEnd"/>
      <w:r w:rsidRPr="001F291B">
        <w:rPr>
          <w:rFonts w:eastAsia="Arial"/>
          <w:i/>
          <w:szCs w:val="24"/>
          <w:highlight w:val="white"/>
        </w:rPr>
        <w:t xml:space="preserve"> Int J</w:t>
      </w:r>
      <w:r w:rsidRPr="001F291B">
        <w:rPr>
          <w:rFonts w:eastAsia="Arial"/>
          <w:szCs w:val="24"/>
          <w:highlight w:val="white"/>
        </w:rPr>
        <w:t xml:space="preserve">. 2016;4(4):128-134. DOI: </w:t>
      </w:r>
      <w:hyperlink r:id="rId109">
        <w:r w:rsidRPr="001F291B">
          <w:rPr>
            <w:rFonts w:eastAsia="Arial"/>
            <w:szCs w:val="24"/>
            <w:highlight w:val="white"/>
          </w:rPr>
          <w:t>10.15406/bbij.2016.04.00100</w:t>
        </w:r>
      </w:hyperlink>
      <w:r w:rsidRPr="001F291B">
        <w:rPr>
          <w:rFonts w:eastAsia="Arial"/>
          <w:szCs w:val="24"/>
        </w:rPr>
        <w:t xml:space="preserve">. Accessed from: </w:t>
      </w:r>
      <w:hyperlink r:id="rId110">
        <w:r w:rsidRPr="001F291B">
          <w:rPr>
            <w:rFonts w:eastAsia="Arial"/>
            <w:szCs w:val="24"/>
          </w:rPr>
          <w:t>https://medcraveonline.com/BBIJ/the-level-of-collapse-we-are-allowed-comparison-of-different-response-scales-in-safety-attitudes-questionnaire.html</w:t>
        </w:r>
      </w:hyperlink>
      <w:r w:rsidRPr="001F291B">
        <w:rPr>
          <w:rFonts w:eastAsia="Arial"/>
          <w:szCs w:val="24"/>
        </w:rPr>
        <w:t xml:space="preserve"> </w:t>
      </w:r>
    </w:p>
    <w:p w14:paraId="48311085"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John Dudovskiy. Purposive Sampling. Retrieved from: </w:t>
      </w:r>
      <w:hyperlink r:id="rId111" w:anchor=":~:text=Purposive%20sampling%20(also%20known%20as,to%20participate%20in%20the%20study">
        <w:r w:rsidRPr="001F291B">
          <w:rPr>
            <w:rFonts w:eastAsia="Arial"/>
            <w:szCs w:val="24"/>
          </w:rPr>
          <w:t>https://research-methodology.net/sampling-in-primary-data-collection/purposive-sampling/#:~:text=Purposive%20sampling%20(also%20known%20as,to%20participate%20in%20the%20study</w:t>
        </w:r>
      </w:hyperlink>
      <w:r w:rsidRPr="001F291B">
        <w:rPr>
          <w:rFonts w:eastAsia="Arial"/>
          <w:szCs w:val="24"/>
        </w:rPr>
        <w:t xml:space="preserve">. </w:t>
      </w:r>
    </w:p>
    <w:p w14:paraId="1D538E44"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Johnston, R. et. al. (2018). Confounding and collinearity in regression analysis: a cautionary tale and an alternative procedure, illustrated by British voting </w:t>
      </w:r>
      <w:proofErr w:type="spellStart"/>
      <w:r w:rsidRPr="001F291B">
        <w:rPr>
          <w:rFonts w:eastAsia="Arial"/>
          <w:szCs w:val="24"/>
        </w:rPr>
        <w:t>behaviour</w:t>
      </w:r>
      <w:proofErr w:type="spellEnd"/>
      <w:r w:rsidRPr="001F291B">
        <w:rPr>
          <w:rFonts w:eastAsia="Arial"/>
          <w:szCs w:val="24"/>
        </w:rPr>
        <w:t xml:space="preserve">. Retrieved from: </w:t>
      </w:r>
      <w:hyperlink r:id="rId112">
        <w:r w:rsidRPr="001F291B">
          <w:rPr>
            <w:rFonts w:eastAsia="Arial"/>
            <w:szCs w:val="24"/>
          </w:rPr>
          <w:t>https://link.springer.com/article/10.1007/s11135-017-0584-6</w:t>
        </w:r>
      </w:hyperlink>
      <w:r w:rsidRPr="001F291B">
        <w:rPr>
          <w:rFonts w:eastAsia="Arial"/>
          <w:szCs w:val="24"/>
        </w:rPr>
        <w:t xml:space="preserve"> </w:t>
      </w:r>
    </w:p>
    <w:p w14:paraId="29859947"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highlight w:val="white"/>
        </w:rPr>
      </w:pPr>
      <w:r w:rsidRPr="001F291B">
        <w:rPr>
          <w:rFonts w:eastAsia="Arial"/>
          <w:szCs w:val="24"/>
          <w:highlight w:val="white"/>
        </w:rPr>
        <w:t xml:space="preserve">Jones ESW, </w:t>
      </w:r>
      <w:proofErr w:type="spellStart"/>
      <w:r w:rsidRPr="001F291B">
        <w:rPr>
          <w:rFonts w:eastAsia="Arial"/>
          <w:szCs w:val="24"/>
          <w:highlight w:val="white"/>
        </w:rPr>
        <w:t>Esack</w:t>
      </w:r>
      <w:proofErr w:type="spellEnd"/>
      <w:r w:rsidRPr="001F291B">
        <w:rPr>
          <w:rFonts w:eastAsia="Arial"/>
          <w:szCs w:val="24"/>
          <w:highlight w:val="white"/>
        </w:rPr>
        <w:t xml:space="preserve"> I, Mangena P, Rayner BL. Hypertension in adolescents and young adults referred to a tertiary hypertension clinic in Cape Town, South Africa. Medicine (Baltimore). 2020 Nov 25;99(48</w:t>
      </w:r>
      <w:proofErr w:type="gramStart"/>
      <w:r w:rsidRPr="001F291B">
        <w:rPr>
          <w:rFonts w:eastAsia="Arial"/>
          <w:szCs w:val="24"/>
          <w:highlight w:val="white"/>
        </w:rPr>
        <w:t>):e</w:t>
      </w:r>
      <w:proofErr w:type="gramEnd"/>
      <w:r w:rsidRPr="001F291B">
        <w:rPr>
          <w:rFonts w:eastAsia="Arial"/>
          <w:szCs w:val="24"/>
          <w:highlight w:val="white"/>
        </w:rPr>
        <w:t xml:space="preserve">23137. </w:t>
      </w:r>
      <w:proofErr w:type="spellStart"/>
      <w:r w:rsidRPr="001F291B">
        <w:rPr>
          <w:rFonts w:eastAsia="Arial"/>
          <w:szCs w:val="24"/>
          <w:highlight w:val="white"/>
        </w:rPr>
        <w:t>doi</w:t>
      </w:r>
      <w:proofErr w:type="spellEnd"/>
      <w:r w:rsidRPr="001F291B">
        <w:rPr>
          <w:rFonts w:eastAsia="Arial"/>
          <w:szCs w:val="24"/>
          <w:highlight w:val="white"/>
        </w:rPr>
        <w:t xml:space="preserve">: 10.1097/MD.0000000000023137. PMID: 33235075; PMCID: PMC7710228. Accessed from: </w:t>
      </w:r>
      <w:hyperlink r:id="rId113" w:anchor=":~:text=In%20South%20Africa%20there%20has,hypertension%20%5B3%2C4%5D">
        <w:r w:rsidRPr="001F291B">
          <w:rPr>
            <w:rFonts w:eastAsia="Arial"/>
            <w:szCs w:val="24"/>
            <w:highlight w:val="white"/>
          </w:rPr>
          <w:t>https://www.ncbi.nlm.nih.gov/pmc/articles/PMC7710228/#:~:text=In%20South%20Africa%20there%20has,hypertension%20%5B3%2C4%5D</w:t>
        </w:r>
      </w:hyperlink>
      <w:r w:rsidRPr="001F291B">
        <w:rPr>
          <w:rFonts w:eastAsia="Arial"/>
          <w:szCs w:val="24"/>
          <w:highlight w:val="white"/>
        </w:rPr>
        <w:t xml:space="preserve">. </w:t>
      </w:r>
    </w:p>
    <w:p w14:paraId="0555F2B7"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highlight w:val="white"/>
        </w:rPr>
        <w:t xml:space="preserve">Kandala NB, </w:t>
      </w:r>
      <w:proofErr w:type="spellStart"/>
      <w:r w:rsidRPr="001F291B">
        <w:rPr>
          <w:rFonts w:eastAsia="Arial"/>
          <w:szCs w:val="24"/>
          <w:highlight w:val="white"/>
        </w:rPr>
        <w:t>Nnanatu</w:t>
      </w:r>
      <w:proofErr w:type="spellEnd"/>
      <w:r w:rsidRPr="001F291B">
        <w:rPr>
          <w:rFonts w:eastAsia="Arial"/>
          <w:szCs w:val="24"/>
          <w:highlight w:val="white"/>
        </w:rPr>
        <w:t xml:space="preserve"> CC, </w:t>
      </w:r>
      <w:proofErr w:type="spellStart"/>
      <w:r w:rsidRPr="001F291B">
        <w:rPr>
          <w:rFonts w:eastAsia="Arial"/>
          <w:szCs w:val="24"/>
          <w:highlight w:val="white"/>
        </w:rPr>
        <w:t>Dukhi</w:t>
      </w:r>
      <w:proofErr w:type="spellEnd"/>
      <w:r w:rsidRPr="001F291B">
        <w:rPr>
          <w:rFonts w:eastAsia="Arial"/>
          <w:szCs w:val="24"/>
          <w:highlight w:val="white"/>
        </w:rPr>
        <w:t xml:space="preserve"> N, </w:t>
      </w:r>
      <w:proofErr w:type="spellStart"/>
      <w:r w:rsidRPr="001F291B">
        <w:rPr>
          <w:rFonts w:eastAsia="Arial"/>
          <w:szCs w:val="24"/>
          <w:highlight w:val="white"/>
        </w:rPr>
        <w:t>Sewpaul</w:t>
      </w:r>
      <w:proofErr w:type="spellEnd"/>
      <w:r w:rsidRPr="001F291B">
        <w:rPr>
          <w:rFonts w:eastAsia="Arial"/>
          <w:szCs w:val="24"/>
          <w:highlight w:val="white"/>
        </w:rPr>
        <w:t xml:space="preserve"> R, Davids A, Reddy SP. Mapping the Burden of Hypertension in South Africa: A Comparative Analysis of the National </w:t>
      </w:r>
      <w:r w:rsidRPr="001F291B">
        <w:rPr>
          <w:rFonts w:eastAsia="Arial"/>
          <w:szCs w:val="24"/>
          <w:highlight w:val="white"/>
        </w:rPr>
        <w:lastRenderedPageBreak/>
        <w:t xml:space="preserve">2012 SANHANES and the 2016 Demographic and Health Survey. Int J Environ Res Public Health. 2021 May 19;18(10):5445. </w:t>
      </w:r>
      <w:proofErr w:type="spellStart"/>
      <w:r w:rsidRPr="001F291B">
        <w:rPr>
          <w:rFonts w:eastAsia="Arial"/>
          <w:szCs w:val="24"/>
          <w:highlight w:val="white"/>
        </w:rPr>
        <w:t>doi</w:t>
      </w:r>
      <w:proofErr w:type="spellEnd"/>
      <w:r w:rsidRPr="001F291B">
        <w:rPr>
          <w:rFonts w:eastAsia="Arial"/>
          <w:szCs w:val="24"/>
          <w:highlight w:val="white"/>
        </w:rPr>
        <w:t xml:space="preserve">: 10.3390/ijerph18105445. PMID: 34069668; PMCID: PMC8160950. Accessed from: </w:t>
      </w:r>
      <w:hyperlink r:id="rId114">
        <w:r w:rsidRPr="001F291B">
          <w:rPr>
            <w:rFonts w:eastAsia="Arial"/>
            <w:szCs w:val="24"/>
            <w:highlight w:val="white"/>
          </w:rPr>
          <w:t>https://www.ncbi.nlm.nih.gov/pmc/articles/PMC8160950/</w:t>
        </w:r>
      </w:hyperlink>
      <w:r w:rsidRPr="001F291B">
        <w:rPr>
          <w:rFonts w:eastAsia="Arial"/>
          <w:szCs w:val="24"/>
          <w:highlight w:val="white"/>
        </w:rPr>
        <w:t xml:space="preserve"> </w:t>
      </w:r>
    </w:p>
    <w:p w14:paraId="4D4D199E"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proofErr w:type="spellStart"/>
      <w:r w:rsidRPr="001F291B">
        <w:rPr>
          <w:rFonts w:eastAsia="Arial"/>
          <w:szCs w:val="24"/>
        </w:rPr>
        <w:t>Khajedaluee</w:t>
      </w:r>
      <w:proofErr w:type="spellEnd"/>
      <w:r w:rsidRPr="001F291B">
        <w:rPr>
          <w:rFonts w:eastAsia="Arial"/>
          <w:szCs w:val="24"/>
        </w:rPr>
        <w:t xml:space="preserve">, M. et al. (2016). The prevalence of hypertension and its relationship with demographic factors, biomedical, and anthropometric indicators: A population-based study. Retrieved from: </w:t>
      </w:r>
      <w:hyperlink r:id="rId115">
        <w:r w:rsidRPr="001F291B">
          <w:rPr>
            <w:rFonts w:eastAsia="Arial"/>
            <w:szCs w:val="24"/>
          </w:rPr>
          <w:t>https://www.ncbi.nlm.nih.gov/pmc/articles/PMC5455324/</w:t>
        </w:r>
      </w:hyperlink>
      <w:r w:rsidRPr="001F291B">
        <w:rPr>
          <w:rFonts w:eastAsia="Arial"/>
          <w:szCs w:val="24"/>
        </w:rPr>
        <w:t xml:space="preserve"> </w:t>
      </w:r>
    </w:p>
    <w:p w14:paraId="21DC92A6"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highlight w:val="white"/>
        </w:rPr>
        <w:t xml:space="preserve">Knell G, Robertson MC, Dooley EE, Burford K, Mendez KS. Health Behavior Changes During COVID-19 Pandemic and Subsequent "Stay-at-Home" Orders. Int J Environ Res Public Health. 2020 Aug 28;17(17):6268. </w:t>
      </w:r>
      <w:proofErr w:type="spellStart"/>
      <w:r w:rsidRPr="001F291B">
        <w:rPr>
          <w:rFonts w:eastAsia="Arial"/>
          <w:szCs w:val="24"/>
          <w:highlight w:val="white"/>
        </w:rPr>
        <w:t>doi</w:t>
      </w:r>
      <w:proofErr w:type="spellEnd"/>
      <w:r w:rsidRPr="001F291B">
        <w:rPr>
          <w:rFonts w:eastAsia="Arial"/>
          <w:szCs w:val="24"/>
          <w:highlight w:val="white"/>
        </w:rPr>
        <w:t xml:space="preserve">: 10.3390/ijerph17176268. PMID: 32872179; PMCID: PMC7504386. Accessed from: </w:t>
      </w:r>
      <w:hyperlink r:id="rId116">
        <w:r w:rsidRPr="001F291B">
          <w:rPr>
            <w:rFonts w:eastAsia="Arial"/>
            <w:szCs w:val="24"/>
            <w:highlight w:val="white"/>
          </w:rPr>
          <w:t>https://www.ncbi.nlm.nih.gov/pmc/articles/PMC7504386/</w:t>
        </w:r>
      </w:hyperlink>
      <w:r w:rsidRPr="001F291B">
        <w:rPr>
          <w:rFonts w:eastAsia="Arial"/>
          <w:szCs w:val="24"/>
          <w:highlight w:val="white"/>
        </w:rPr>
        <w:t xml:space="preserve"> </w:t>
      </w:r>
    </w:p>
    <w:p w14:paraId="25F2B263"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Laar, A.K., et. al. (2019). Health system challenges to hypertension and related non-communicable diseases prevention and treatment: perspectives from Ghanaian stakeholders. BMC Health Services Research. Accessed from: </w:t>
      </w:r>
      <w:hyperlink r:id="rId117">
        <w:r w:rsidRPr="001F291B">
          <w:rPr>
            <w:rFonts w:eastAsia="Arial"/>
            <w:szCs w:val="24"/>
          </w:rPr>
          <w:t>https://bmchealthservres.biomedcentral.com/articles/10.1186/s12913-019-4571-6</w:t>
        </w:r>
      </w:hyperlink>
      <w:r w:rsidRPr="001F291B">
        <w:rPr>
          <w:rFonts w:eastAsia="Arial"/>
          <w:szCs w:val="24"/>
        </w:rPr>
        <w:t xml:space="preserve"> </w:t>
      </w:r>
    </w:p>
    <w:p w14:paraId="6AB24FC3"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Levinthal, B.R., </w:t>
      </w:r>
      <w:r w:rsidRPr="001F291B">
        <w:rPr>
          <w:rFonts w:eastAsia="Arial"/>
          <w:i/>
          <w:szCs w:val="24"/>
        </w:rPr>
        <w:t xml:space="preserve">et. al. </w:t>
      </w:r>
      <w:r w:rsidRPr="001F291B">
        <w:rPr>
          <w:rFonts w:eastAsia="Arial"/>
          <w:szCs w:val="24"/>
        </w:rPr>
        <w:t xml:space="preserve">(2008). Cognition and Health Literacy in Patients with Hypertensions. J Gen Intern Med. 2008 Aug; 23(8): 1172-1176. Published online 2008 May 6. Accessed from: </w:t>
      </w:r>
      <w:hyperlink r:id="rId118">
        <w:r w:rsidRPr="001F291B">
          <w:rPr>
            <w:rFonts w:eastAsia="Arial"/>
            <w:szCs w:val="24"/>
          </w:rPr>
          <w:t>https://www.ncbi.nlm.nih.gov/pmc/articles/PMC2517973/</w:t>
        </w:r>
      </w:hyperlink>
      <w:r w:rsidRPr="001F291B">
        <w:rPr>
          <w:rFonts w:eastAsia="Arial"/>
          <w:szCs w:val="24"/>
        </w:rPr>
        <w:t xml:space="preserve"> </w:t>
      </w:r>
    </w:p>
    <w:p w14:paraId="55AAD6D6"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proofErr w:type="spellStart"/>
      <w:r w:rsidRPr="001F291B">
        <w:rPr>
          <w:rFonts w:eastAsia="Arial"/>
          <w:szCs w:val="24"/>
        </w:rPr>
        <w:t>Lionakis</w:t>
      </w:r>
      <w:proofErr w:type="spellEnd"/>
      <w:r w:rsidRPr="001F291B">
        <w:rPr>
          <w:rFonts w:eastAsia="Arial"/>
          <w:szCs w:val="24"/>
        </w:rPr>
        <w:t xml:space="preserve"> N., et al. (2012). Hypertension in the elderly. Accessed from: </w:t>
      </w:r>
      <w:hyperlink r:id="rId119">
        <w:r w:rsidRPr="001F291B">
          <w:rPr>
            <w:rFonts w:eastAsia="Arial"/>
            <w:szCs w:val="24"/>
          </w:rPr>
          <w:t>https://www.ncbi.nlm.nih.gov/pmc/articles/PMC3364500/</w:t>
        </w:r>
      </w:hyperlink>
      <w:r w:rsidRPr="001F291B">
        <w:rPr>
          <w:rFonts w:eastAsia="Arial"/>
          <w:szCs w:val="24"/>
        </w:rPr>
        <w:t xml:space="preserve"> </w:t>
      </w:r>
    </w:p>
    <w:p w14:paraId="79AA36E0" w14:textId="3C9D684D" w:rsidR="005C6D2F"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highlight w:val="white"/>
        </w:rPr>
        <w:t xml:space="preserve">Liu, J., Yin, H., Zheng, T. </w:t>
      </w:r>
      <w:r w:rsidRPr="001F291B">
        <w:rPr>
          <w:rFonts w:eastAsia="Arial"/>
          <w:i/>
          <w:szCs w:val="24"/>
          <w:highlight w:val="white"/>
        </w:rPr>
        <w:t>et al.</w:t>
      </w:r>
      <w:r w:rsidRPr="001F291B">
        <w:rPr>
          <w:rFonts w:eastAsia="Arial"/>
          <w:szCs w:val="24"/>
          <w:highlight w:val="white"/>
        </w:rPr>
        <w:t xml:space="preserve"> Primary health institutions preference by hypertensive patients: effect of distance, </w:t>
      </w:r>
      <w:proofErr w:type="gramStart"/>
      <w:r w:rsidRPr="001F291B">
        <w:rPr>
          <w:rFonts w:eastAsia="Arial"/>
          <w:szCs w:val="24"/>
          <w:highlight w:val="white"/>
        </w:rPr>
        <w:t>trust</w:t>
      </w:r>
      <w:proofErr w:type="gramEnd"/>
      <w:r w:rsidRPr="001F291B">
        <w:rPr>
          <w:rFonts w:eastAsia="Arial"/>
          <w:szCs w:val="24"/>
          <w:highlight w:val="white"/>
        </w:rPr>
        <w:t xml:space="preserve"> and quality of management in the rural Heilongjiang province of China. </w:t>
      </w:r>
      <w:r w:rsidRPr="001F291B">
        <w:rPr>
          <w:rFonts w:eastAsia="Arial"/>
          <w:i/>
          <w:szCs w:val="24"/>
          <w:highlight w:val="white"/>
        </w:rPr>
        <w:t>BMC Health Serv Res</w:t>
      </w:r>
      <w:r w:rsidRPr="001F291B">
        <w:rPr>
          <w:rFonts w:eastAsia="Arial"/>
          <w:szCs w:val="24"/>
          <w:highlight w:val="white"/>
        </w:rPr>
        <w:t xml:space="preserve"> 19, 852 (2019). </w:t>
      </w:r>
      <w:hyperlink r:id="rId120">
        <w:r w:rsidRPr="001F291B">
          <w:rPr>
            <w:rFonts w:eastAsia="Arial"/>
            <w:szCs w:val="24"/>
            <w:highlight w:val="white"/>
          </w:rPr>
          <w:t>https://doi.org/10.1186/s12913-019-4465-7</w:t>
        </w:r>
      </w:hyperlink>
      <w:r w:rsidRPr="001F291B">
        <w:rPr>
          <w:rFonts w:eastAsia="Arial"/>
          <w:szCs w:val="24"/>
          <w:highlight w:val="white"/>
        </w:rPr>
        <w:t xml:space="preserve"> </w:t>
      </w:r>
    </w:p>
    <w:p w14:paraId="34A9F174" w14:textId="1F3970D4"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highlight w:val="white"/>
        </w:rPr>
      </w:pPr>
      <w:r w:rsidRPr="001F291B">
        <w:rPr>
          <w:rFonts w:eastAsia="Arial"/>
          <w:szCs w:val="24"/>
        </w:rPr>
        <w:t xml:space="preserve">Lor, M., </w:t>
      </w:r>
      <w:proofErr w:type="spellStart"/>
      <w:r w:rsidRPr="001F291B">
        <w:rPr>
          <w:rFonts w:eastAsia="Arial"/>
          <w:szCs w:val="24"/>
        </w:rPr>
        <w:t>Koleck</w:t>
      </w:r>
      <w:proofErr w:type="spellEnd"/>
      <w:r w:rsidRPr="001F291B">
        <w:rPr>
          <w:rFonts w:eastAsia="Arial"/>
          <w:szCs w:val="24"/>
        </w:rPr>
        <w:t xml:space="preserve">, T.A., Bakken, S. </w:t>
      </w:r>
      <w:r w:rsidRPr="001F291B">
        <w:rPr>
          <w:rFonts w:eastAsia="Arial"/>
          <w:i/>
          <w:szCs w:val="24"/>
        </w:rPr>
        <w:t>et al.</w:t>
      </w:r>
      <w:r w:rsidRPr="001F291B">
        <w:rPr>
          <w:rFonts w:eastAsia="Arial"/>
          <w:i/>
          <w:szCs w:val="24"/>
          <w:highlight w:val="white"/>
        </w:rPr>
        <w:t xml:space="preserve"> (2019)</w:t>
      </w:r>
      <w:r w:rsidRPr="001F291B">
        <w:rPr>
          <w:rFonts w:eastAsia="Arial"/>
          <w:szCs w:val="24"/>
          <w:highlight w:val="white"/>
        </w:rPr>
        <w:t xml:space="preserve">. Association between health literacy and medication adherence among Hispanics with hypertension. </w:t>
      </w:r>
      <w:r w:rsidRPr="001F291B">
        <w:rPr>
          <w:rFonts w:eastAsia="Arial"/>
          <w:szCs w:val="24"/>
        </w:rPr>
        <w:t xml:space="preserve">J. Racial and Ethnic Health Disparities (2019) 6: 517. Accessed from: </w:t>
      </w:r>
      <w:hyperlink r:id="rId121">
        <w:r w:rsidRPr="001F291B">
          <w:rPr>
            <w:rFonts w:eastAsia="Arial"/>
            <w:szCs w:val="24"/>
          </w:rPr>
          <w:t>https://link.springer.com/article/10.1007/s40615-018-00550-z</w:t>
        </w:r>
      </w:hyperlink>
      <w:r w:rsidRPr="001F291B">
        <w:rPr>
          <w:rFonts w:eastAsia="Arial"/>
          <w:szCs w:val="24"/>
        </w:rPr>
        <w:t xml:space="preserve"> </w:t>
      </w:r>
    </w:p>
    <w:p w14:paraId="76A0C66E"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highlight w:val="white"/>
        </w:rPr>
      </w:pPr>
      <w:r w:rsidRPr="001F291B">
        <w:rPr>
          <w:rFonts w:eastAsia="Arial"/>
          <w:szCs w:val="24"/>
          <w:highlight w:val="white"/>
        </w:rPr>
        <w:t xml:space="preserve">Low, W.Y., </w:t>
      </w:r>
      <w:r w:rsidRPr="001F291B">
        <w:rPr>
          <w:rFonts w:eastAsia="Arial"/>
          <w:i/>
          <w:szCs w:val="24"/>
          <w:highlight w:val="white"/>
        </w:rPr>
        <w:t>et al</w:t>
      </w:r>
      <w:r w:rsidRPr="001F291B">
        <w:rPr>
          <w:rFonts w:eastAsia="Arial"/>
          <w:szCs w:val="24"/>
          <w:highlight w:val="white"/>
        </w:rPr>
        <w:t xml:space="preserve"> (2015). Non-communicable diseases in the Asia-Pacific Region: Prevalence, risk factors and community-based prevention. Int J </w:t>
      </w:r>
      <w:proofErr w:type="spellStart"/>
      <w:r w:rsidRPr="001F291B">
        <w:rPr>
          <w:rFonts w:eastAsia="Arial"/>
          <w:szCs w:val="24"/>
          <w:highlight w:val="white"/>
        </w:rPr>
        <w:t>Occup</w:t>
      </w:r>
      <w:proofErr w:type="spellEnd"/>
      <w:r w:rsidRPr="001F291B">
        <w:rPr>
          <w:rFonts w:eastAsia="Arial"/>
          <w:szCs w:val="24"/>
          <w:highlight w:val="white"/>
        </w:rPr>
        <w:t xml:space="preserve"> Med Environ Health. 2015;28(1):20-6. </w:t>
      </w:r>
      <w:proofErr w:type="spellStart"/>
      <w:r w:rsidRPr="001F291B">
        <w:rPr>
          <w:rFonts w:eastAsia="Arial"/>
          <w:szCs w:val="24"/>
          <w:highlight w:val="white"/>
        </w:rPr>
        <w:t>doi</w:t>
      </w:r>
      <w:proofErr w:type="spellEnd"/>
      <w:r w:rsidRPr="001F291B">
        <w:rPr>
          <w:rFonts w:eastAsia="Arial"/>
          <w:szCs w:val="24"/>
          <w:highlight w:val="white"/>
        </w:rPr>
        <w:t xml:space="preserve">: 10.2478/s13382-014-0326-0. Retrieved from: </w:t>
      </w:r>
      <w:hyperlink r:id="rId122">
        <w:r w:rsidRPr="001F291B">
          <w:rPr>
            <w:rFonts w:eastAsia="Arial"/>
            <w:szCs w:val="24"/>
            <w:highlight w:val="white"/>
          </w:rPr>
          <w:t>http://ijomeh.eu/Non-communicable-diseases-in-the-asia-pacific-region-prevalence-risk-factors-and-community-based-prevention,1929,0,2.html</w:t>
        </w:r>
      </w:hyperlink>
    </w:p>
    <w:p w14:paraId="10E95B41"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highlight w:val="white"/>
        </w:rPr>
        <w:t>Matsuzaki, M., Sherr, K., Augusto, O. </w:t>
      </w:r>
      <w:r w:rsidRPr="001F291B">
        <w:rPr>
          <w:rFonts w:eastAsia="Arial"/>
          <w:i/>
          <w:szCs w:val="24"/>
          <w:highlight w:val="white"/>
        </w:rPr>
        <w:t>et al.</w:t>
      </w:r>
      <w:r w:rsidRPr="001F291B">
        <w:rPr>
          <w:rFonts w:eastAsia="Arial"/>
          <w:szCs w:val="24"/>
          <w:highlight w:val="white"/>
        </w:rPr>
        <w:t> The prevalence of hypertension and its distribution by sociodemographic factors in Central Mozambique: a cross sectional study. </w:t>
      </w:r>
      <w:r w:rsidRPr="001F291B">
        <w:rPr>
          <w:rFonts w:eastAsia="Arial"/>
          <w:i/>
          <w:szCs w:val="24"/>
          <w:highlight w:val="white"/>
        </w:rPr>
        <w:t>BMC Public Health</w:t>
      </w:r>
      <w:r w:rsidRPr="001F291B">
        <w:rPr>
          <w:rFonts w:eastAsia="Arial"/>
          <w:szCs w:val="24"/>
          <w:highlight w:val="white"/>
        </w:rPr>
        <w:t> </w:t>
      </w:r>
      <w:r w:rsidRPr="001F291B">
        <w:rPr>
          <w:rFonts w:eastAsia="Arial"/>
          <w:b/>
          <w:szCs w:val="24"/>
          <w:highlight w:val="white"/>
        </w:rPr>
        <w:t>20, </w:t>
      </w:r>
      <w:r w:rsidRPr="001F291B">
        <w:rPr>
          <w:rFonts w:eastAsia="Arial"/>
          <w:szCs w:val="24"/>
          <w:highlight w:val="white"/>
        </w:rPr>
        <w:t>1843 (2020). https://doi.org/10.1186/s12889-020-09947-0</w:t>
      </w:r>
      <w:r w:rsidRPr="001F291B">
        <w:rPr>
          <w:rFonts w:eastAsia="Arial"/>
          <w:szCs w:val="24"/>
        </w:rPr>
        <w:t xml:space="preserve">. Retrieved from: </w:t>
      </w:r>
      <w:hyperlink r:id="rId123" w:anchor="citeas">
        <w:r w:rsidRPr="001F291B">
          <w:rPr>
            <w:rFonts w:eastAsia="Arial"/>
            <w:szCs w:val="24"/>
          </w:rPr>
          <w:t>https://bmcpublichealth.biomedcentral.com/articles/10.1186/s12889-020-09947-0#citeas</w:t>
        </w:r>
      </w:hyperlink>
      <w:r w:rsidRPr="001F291B">
        <w:rPr>
          <w:rFonts w:eastAsia="Arial"/>
          <w:szCs w:val="24"/>
        </w:rPr>
        <w:t xml:space="preserve"> </w:t>
      </w:r>
    </w:p>
    <w:p w14:paraId="635E98AA"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McNaughton C.D., Jacobson, T.A., &amp; Kripalani, S. (McNaughton, Jacobson &amp; Kripalani, 2014). Low Literacy is associated with Uncontrolled blood </w:t>
      </w:r>
      <w:proofErr w:type="gramStart"/>
      <w:r w:rsidRPr="001F291B">
        <w:rPr>
          <w:rFonts w:eastAsia="Arial"/>
          <w:szCs w:val="24"/>
        </w:rPr>
        <w:t>pressure</w:t>
      </w:r>
      <w:proofErr w:type="gramEnd"/>
      <w:r w:rsidRPr="001F291B">
        <w:rPr>
          <w:rFonts w:eastAsia="Arial"/>
          <w:szCs w:val="24"/>
        </w:rPr>
        <w:t xml:space="preserve"> Primary Care Patients with Hypertension and Heart Disease. </w:t>
      </w:r>
      <w:r w:rsidRPr="001F291B">
        <w:rPr>
          <w:rFonts w:eastAsia="Arial"/>
          <w:szCs w:val="24"/>
          <w:highlight w:val="white"/>
        </w:rPr>
        <w:t xml:space="preserve">Patient Educ Couns. 2014 Aug; 96(2): 165–170. Accessed from: </w:t>
      </w:r>
      <w:hyperlink r:id="rId124">
        <w:r w:rsidRPr="001F291B">
          <w:rPr>
            <w:rFonts w:eastAsia="Arial"/>
            <w:szCs w:val="24"/>
            <w:highlight w:val="white"/>
          </w:rPr>
          <w:t>https://www.ncbi.nlm.nih.gov/pmc/articles/PMC4102336/</w:t>
        </w:r>
      </w:hyperlink>
      <w:r w:rsidRPr="001F291B">
        <w:rPr>
          <w:rFonts w:eastAsia="Arial"/>
          <w:szCs w:val="24"/>
          <w:highlight w:val="white"/>
        </w:rPr>
        <w:t xml:space="preserve"> </w:t>
      </w:r>
    </w:p>
    <w:p w14:paraId="3F13999C"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Mills, K.T., </w:t>
      </w:r>
      <w:r w:rsidRPr="001F291B">
        <w:rPr>
          <w:rFonts w:eastAsia="Arial"/>
          <w:i/>
          <w:szCs w:val="24"/>
        </w:rPr>
        <w:t>et al</w:t>
      </w:r>
      <w:r w:rsidRPr="001F291B">
        <w:rPr>
          <w:rFonts w:eastAsia="Arial"/>
          <w:szCs w:val="24"/>
        </w:rPr>
        <w:t xml:space="preserve"> (2016). Global Disparities of Hypertension Prevalence and Control: A Systematic Analysis of Population-based Studies from 90 Countries. Circulation. 2016 Aug 9: 134(6): 441-450. </w:t>
      </w:r>
      <w:proofErr w:type="spellStart"/>
      <w:r w:rsidRPr="001F291B">
        <w:rPr>
          <w:rFonts w:eastAsia="Arial"/>
          <w:szCs w:val="24"/>
          <w:highlight w:val="white"/>
        </w:rPr>
        <w:t>doi</w:t>
      </w:r>
      <w:proofErr w:type="spellEnd"/>
      <w:r w:rsidRPr="001F291B">
        <w:rPr>
          <w:rFonts w:eastAsia="Arial"/>
          <w:szCs w:val="24"/>
          <w:highlight w:val="white"/>
        </w:rPr>
        <w:t>: </w:t>
      </w:r>
      <w:hyperlink r:id="rId125">
        <w:r w:rsidRPr="001F291B">
          <w:rPr>
            <w:rFonts w:eastAsia="Arial"/>
            <w:szCs w:val="24"/>
            <w:highlight w:val="white"/>
          </w:rPr>
          <w:t>10.1161/CIRCULATIONAHA.115.018912</w:t>
        </w:r>
      </w:hyperlink>
      <w:r w:rsidRPr="001F291B">
        <w:rPr>
          <w:rFonts w:eastAsia="Arial"/>
          <w:szCs w:val="24"/>
        </w:rPr>
        <w:t xml:space="preserve">. Retrieved from: </w:t>
      </w:r>
      <w:hyperlink r:id="rId126">
        <w:r w:rsidRPr="001F291B">
          <w:rPr>
            <w:rFonts w:eastAsia="Arial"/>
            <w:szCs w:val="24"/>
          </w:rPr>
          <w:t>https://www.ncbi.nlm.nih.gov/pmc/articles/PMC4979614/</w:t>
        </w:r>
      </w:hyperlink>
      <w:r w:rsidRPr="001F291B">
        <w:rPr>
          <w:rFonts w:eastAsia="Arial"/>
          <w:szCs w:val="24"/>
        </w:rPr>
        <w:t xml:space="preserve"> </w:t>
      </w:r>
    </w:p>
    <w:p w14:paraId="6DF8C611"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Min, H., </w:t>
      </w:r>
      <w:r w:rsidRPr="001F291B">
        <w:rPr>
          <w:rFonts w:eastAsia="Arial"/>
          <w:i/>
          <w:szCs w:val="24"/>
        </w:rPr>
        <w:t>et al</w:t>
      </w:r>
      <w:r w:rsidRPr="001F291B">
        <w:rPr>
          <w:rFonts w:eastAsia="Arial"/>
          <w:szCs w:val="24"/>
        </w:rPr>
        <w:t xml:space="preserve"> (2010). Sociodemographic Risk Factors of Diabetes and Hypertension Prevalence in Republic of Korea. SAGE-</w:t>
      </w:r>
      <w:proofErr w:type="spellStart"/>
      <w:r w:rsidRPr="001F291B">
        <w:rPr>
          <w:rFonts w:eastAsia="Arial"/>
          <w:szCs w:val="24"/>
        </w:rPr>
        <w:t>Hindawi</w:t>
      </w:r>
      <w:proofErr w:type="spellEnd"/>
      <w:r w:rsidRPr="001F291B">
        <w:rPr>
          <w:rFonts w:eastAsia="Arial"/>
          <w:szCs w:val="24"/>
        </w:rPr>
        <w:t xml:space="preserve"> Access to Research International Journal of Hypertension Volume 2010, Article ID 410794, 6 pages doi:10.4061/2010/410794. Retrieved from: </w:t>
      </w:r>
      <w:hyperlink r:id="rId127">
        <w:r w:rsidRPr="001F291B">
          <w:rPr>
            <w:rFonts w:eastAsia="Arial"/>
            <w:szCs w:val="24"/>
          </w:rPr>
          <w:t>https://www.hindawi.com/journals/ijhy/2010/410794/</w:t>
        </w:r>
      </w:hyperlink>
      <w:r w:rsidRPr="001F291B">
        <w:rPr>
          <w:rFonts w:eastAsia="Arial"/>
          <w:szCs w:val="24"/>
        </w:rPr>
        <w:t xml:space="preserve"> </w:t>
      </w:r>
    </w:p>
    <w:p w14:paraId="7BD3768E"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Mohd Isa, D., et al., (2021). Association of Health Literacy with Blood Pressure and Dietary Salt Intake among Adults: A Systematic Review. Nutrients. 2021 Dec; 13(12):4534. Published online 2021 Dec 17. Accessed from: </w:t>
      </w:r>
      <w:hyperlink r:id="rId128" w:anchor=":~:text=Blood%20pressure%3A%20Low%20health%20literacy,in%20the%20low%20literacy%20group">
        <w:r w:rsidRPr="001F291B">
          <w:rPr>
            <w:rFonts w:eastAsia="Arial"/>
            <w:szCs w:val="24"/>
          </w:rPr>
          <w:t>https://www.ncbi.nlm.nih.gov/pmc/articles/PMC8707038/#:~:text=Blood%20pressure%3A%20Low%20health%20literacy,in%20the%20low%20literacy%20group</w:t>
        </w:r>
      </w:hyperlink>
      <w:r w:rsidRPr="001F291B">
        <w:rPr>
          <w:rFonts w:eastAsia="Arial"/>
          <w:szCs w:val="24"/>
        </w:rPr>
        <w:t xml:space="preserve">. </w:t>
      </w:r>
    </w:p>
    <w:p w14:paraId="7A781381"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Muli, S. et. al. (2020). Prevalence, Awareness, treatment, and control of hypertension in older people: results from the population-based KORA-age 1 study. BMC Public Health. Accessed from:</w:t>
      </w:r>
      <w:hyperlink r:id="rId129">
        <w:r w:rsidRPr="001F291B">
          <w:rPr>
            <w:rFonts w:eastAsia="Arial"/>
            <w:szCs w:val="24"/>
          </w:rPr>
          <w:t xml:space="preserve"> https://bmcpublichealth.biomedcentral.com/articles/10.1186/s12889-020-09165-8</w:t>
        </w:r>
      </w:hyperlink>
    </w:p>
    <w:p w14:paraId="6B9127AF"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highlight w:val="white"/>
        </w:rPr>
      </w:pPr>
      <w:r w:rsidRPr="001F291B">
        <w:rPr>
          <w:rFonts w:eastAsia="Arial"/>
          <w:szCs w:val="24"/>
          <w:highlight w:val="white"/>
        </w:rPr>
        <w:t xml:space="preserve">Nadar SK, </w:t>
      </w:r>
      <w:proofErr w:type="spellStart"/>
      <w:r w:rsidRPr="001F291B">
        <w:rPr>
          <w:rFonts w:eastAsia="Arial"/>
          <w:szCs w:val="24"/>
          <w:highlight w:val="white"/>
        </w:rPr>
        <w:t>Tayebjee</w:t>
      </w:r>
      <w:proofErr w:type="spellEnd"/>
      <w:r w:rsidRPr="001F291B">
        <w:rPr>
          <w:rFonts w:eastAsia="Arial"/>
          <w:szCs w:val="24"/>
          <w:highlight w:val="white"/>
        </w:rPr>
        <w:t xml:space="preserve"> MH, Stowasser M, Byrd JB (Nadar et al). Managing hypertension during the COVID-19 pandemic. J Hum </w:t>
      </w:r>
      <w:proofErr w:type="spellStart"/>
      <w:r w:rsidRPr="001F291B">
        <w:rPr>
          <w:rFonts w:eastAsia="Arial"/>
          <w:szCs w:val="24"/>
          <w:highlight w:val="white"/>
        </w:rPr>
        <w:t>Hypertens</w:t>
      </w:r>
      <w:proofErr w:type="spellEnd"/>
      <w:r w:rsidRPr="001F291B">
        <w:rPr>
          <w:rFonts w:eastAsia="Arial"/>
          <w:szCs w:val="24"/>
          <w:highlight w:val="white"/>
        </w:rPr>
        <w:t xml:space="preserve">. 2020 Jun;34(6):415-417. </w:t>
      </w:r>
      <w:proofErr w:type="spellStart"/>
      <w:r w:rsidRPr="001F291B">
        <w:rPr>
          <w:rFonts w:eastAsia="Arial"/>
          <w:szCs w:val="24"/>
          <w:highlight w:val="white"/>
        </w:rPr>
        <w:t>doi</w:t>
      </w:r>
      <w:proofErr w:type="spellEnd"/>
      <w:r w:rsidRPr="001F291B">
        <w:rPr>
          <w:rFonts w:eastAsia="Arial"/>
          <w:szCs w:val="24"/>
          <w:highlight w:val="white"/>
        </w:rPr>
        <w:t xml:space="preserve">: 10.1038/s41371-020-0356-y. </w:t>
      </w:r>
      <w:proofErr w:type="spellStart"/>
      <w:r w:rsidRPr="001F291B">
        <w:rPr>
          <w:rFonts w:eastAsia="Arial"/>
          <w:szCs w:val="24"/>
          <w:highlight w:val="white"/>
        </w:rPr>
        <w:t>Epub</w:t>
      </w:r>
      <w:proofErr w:type="spellEnd"/>
      <w:r w:rsidRPr="001F291B">
        <w:rPr>
          <w:rFonts w:eastAsia="Arial"/>
          <w:szCs w:val="24"/>
          <w:highlight w:val="white"/>
        </w:rPr>
        <w:t xml:space="preserve"> 2020 May 14. PMID: 32409727; PMCID: PMC7224587. Accessed from: </w:t>
      </w:r>
      <w:hyperlink r:id="rId130">
        <w:r w:rsidRPr="001F291B">
          <w:rPr>
            <w:rFonts w:eastAsia="Arial"/>
            <w:szCs w:val="24"/>
            <w:highlight w:val="white"/>
          </w:rPr>
          <w:t>https://www.ncbi.nlm.nih.gov/pmc/articles/PMC7224587/</w:t>
        </w:r>
      </w:hyperlink>
      <w:r w:rsidRPr="001F291B">
        <w:rPr>
          <w:rFonts w:eastAsia="Arial"/>
          <w:szCs w:val="24"/>
          <w:highlight w:val="white"/>
        </w:rPr>
        <w:t xml:space="preserve">  </w:t>
      </w:r>
    </w:p>
    <w:p w14:paraId="3AAC4D1A"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highlight w:val="white"/>
        </w:rPr>
        <w:t xml:space="preserve">Nakayama, K., Osaka, W., </w:t>
      </w:r>
      <w:proofErr w:type="spellStart"/>
      <w:r w:rsidRPr="001F291B">
        <w:rPr>
          <w:rFonts w:eastAsia="Arial"/>
          <w:szCs w:val="24"/>
          <w:highlight w:val="white"/>
        </w:rPr>
        <w:t>Togari</w:t>
      </w:r>
      <w:proofErr w:type="spellEnd"/>
      <w:r w:rsidRPr="001F291B">
        <w:rPr>
          <w:rFonts w:eastAsia="Arial"/>
          <w:szCs w:val="24"/>
          <w:highlight w:val="white"/>
        </w:rPr>
        <w:t xml:space="preserve">, T. </w:t>
      </w:r>
      <w:r w:rsidRPr="001F291B">
        <w:rPr>
          <w:rFonts w:eastAsia="Arial"/>
          <w:i/>
          <w:szCs w:val="24"/>
          <w:highlight w:val="white"/>
        </w:rPr>
        <w:t>et al.</w:t>
      </w:r>
      <w:r w:rsidRPr="001F291B">
        <w:rPr>
          <w:rFonts w:eastAsia="Arial"/>
          <w:szCs w:val="24"/>
          <w:highlight w:val="white"/>
        </w:rPr>
        <w:t xml:space="preserve"> Comprehensive health literacy in Japan is lower than in Europe: a validated Japanese-language assessment of health literacy. </w:t>
      </w:r>
      <w:r w:rsidRPr="001F291B">
        <w:rPr>
          <w:rFonts w:eastAsia="Arial"/>
          <w:i/>
          <w:szCs w:val="24"/>
          <w:highlight w:val="white"/>
        </w:rPr>
        <w:t>BMC Public Health</w:t>
      </w:r>
      <w:r w:rsidRPr="001F291B">
        <w:rPr>
          <w:rFonts w:eastAsia="Arial"/>
          <w:szCs w:val="24"/>
          <w:highlight w:val="white"/>
        </w:rPr>
        <w:t xml:space="preserve"> 15, 505 (2015). </w:t>
      </w:r>
      <w:hyperlink r:id="rId131">
        <w:r w:rsidRPr="001F291B">
          <w:rPr>
            <w:rFonts w:eastAsia="Arial"/>
            <w:szCs w:val="24"/>
            <w:highlight w:val="white"/>
          </w:rPr>
          <w:t>https://doi.org/10.1186/s12889-015-1835-x</w:t>
        </w:r>
      </w:hyperlink>
      <w:r w:rsidRPr="001F291B">
        <w:rPr>
          <w:rFonts w:eastAsia="Arial"/>
          <w:szCs w:val="24"/>
          <w:highlight w:val="white"/>
        </w:rPr>
        <w:t xml:space="preserve"> Accessed from: </w:t>
      </w:r>
      <w:hyperlink r:id="rId132" w:anchor="citeas">
        <w:r w:rsidRPr="001F291B">
          <w:rPr>
            <w:rFonts w:eastAsia="Arial"/>
            <w:szCs w:val="24"/>
            <w:highlight w:val="white"/>
          </w:rPr>
          <w:t>https://bmcpublichealth.biomedcentral.com/articles/10.1186/s12889-015-1835-x#citeas</w:t>
        </w:r>
      </w:hyperlink>
      <w:r w:rsidRPr="001F291B">
        <w:rPr>
          <w:rFonts w:eastAsia="Arial"/>
          <w:szCs w:val="24"/>
          <w:highlight w:val="white"/>
        </w:rPr>
        <w:t xml:space="preserve"> </w:t>
      </w:r>
    </w:p>
    <w:p w14:paraId="7F16A0E7"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National Nutrition Council (NNC, 2018). Managing Hypertension. Published: 22 May 2018. Accessed from: </w:t>
      </w:r>
      <w:hyperlink r:id="rId133">
        <w:r w:rsidRPr="001F291B">
          <w:rPr>
            <w:rFonts w:eastAsia="Arial"/>
            <w:szCs w:val="24"/>
          </w:rPr>
          <w:t>https://www.nnc.gov.ph/40-10-kumainments/2510-managing-hypertension</w:t>
        </w:r>
      </w:hyperlink>
      <w:r w:rsidRPr="001F291B">
        <w:rPr>
          <w:rFonts w:eastAsia="Arial"/>
          <w:szCs w:val="24"/>
        </w:rPr>
        <w:t xml:space="preserve">  </w:t>
      </w:r>
    </w:p>
    <w:p w14:paraId="2227C28B"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proofErr w:type="spellStart"/>
      <w:r w:rsidRPr="001F291B">
        <w:rPr>
          <w:rFonts w:eastAsia="Arial"/>
          <w:szCs w:val="24"/>
        </w:rPr>
        <w:lastRenderedPageBreak/>
        <w:t>Nutbeam</w:t>
      </w:r>
      <w:proofErr w:type="spellEnd"/>
      <w:r w:rsidRPr="001F291B">
        <w:rPr>
          <w:rFonts w:eastAsia="Arial"/>
          <w:szCs w:val="24"/>
        </w:rPr>
        <w:t>, D. (2008). The evolving concept of health literacy. Soc Sci. Med 2008 Dec. 67 (12) 2072-</w:t>
      </w:r>
      <w:proofErr w:type="gramStart"/>
      <w:r w:rsidRPr="001F291B">
        <w:rPr>
          <w:rFonts w:eastAsia="Arial"/>
          <w:szCs w:val="24"/>
        </w:rPr>
        <w:t xml:space="preserve">8 </w:t>
      </w:r>
      <w:r w:rsidRPr="001F291B">
        <w:rPr>
          <w:rFonts w:eastAsia="Arial"/>
          <w:szCs w:val="24"/>
          <w:highlight w:val="white"/>
        </w:rPr>
        <w:t> </w:t>
      </w:r>
      <w:proofErr w:type="spellStart"/>
      <w:r w:rsidRPr="001F291B">
        <w:rPr>
          <w:rFonts w:eastAsia="Arial"/>
          <w:szCs w:val="24"/>
          <w:highlight w:val="white"/>
        </w:rPr>
        <w:t>doi</w:t>
      </w:r>
      <w:proofErr w:type="spellEnd"/>
      <w:proofErr w:type="gramEnd"/>
      <w:r w:rsidRPr="001F291B">
        <w:rPr>
          <w:rFonts w:eastAsia="Arial"/>
          <w:szCs w:val="24"/>
          <w:highlight w:val="white"/>
        </w:rPr>
        <w:t xml:space="preserve">: 10.1016/j.socscimed.2008.09.050. </w:t>
      </w:r>
      <w:proofErr w:type="spellStart"/>
      <w:r w:rsidRPr="001F291B">
        <w:rPr>
          <w:rFonts w:eastAsia="Arial"/>
          <w:szCs w:val="24"/>
          <w:highlight w:val="white"/>
        </w:rPr>
        <w:t>Epub</w:t>
      </w:r>
      <w:proofErr w:type="spellEnd"/>
      <w:r w:rsidRPr="001F291B">
        <w:rPr>
          <w:rFonts w:eastAsia="Arial"/>
          <w:szCs w:val="24"/>
          <w:highlight w:val="white"/>
        </w:rPr>
        <w:t xml:space="preserve"> 2008 Oct 25. Retrieved from: </w:t>
      </w:r>
      <w:hyperlink r:id="rId134">
        <w:r w:rsidRPr="001F291B">
          <w:rPr>
            <w:rFonts w:eastAsia="Arial"/>
            <w:szCs w:val="24"/>
          </w:rPr>
          <w:t>https://www.ncbi.nlm.nih.gov/pubmed/18952344</w:t>
        </w:r>
      </w:hyperlink>
    </w:p>
    <w:p w14:paraId="6A5F1573"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proofErr w:type="spellStart"/>
      <w:r w:rsidRPr="001F291B">
        <w:rPr>
          <w:rFonts w:eastAsia="Arial"/>
          <w:szCs w:val="24"/>
          <w:highlight w:val="white"/>
        </w:rPr>
        <w:t>Nutbeam</w:t>
      </w:r>
      <w:proofErr w:type="spellEnd"/>
      <w:r w:rsidRPr="001F291B">
        <w:rPr>
          <w:rFonts w:eastAsia="Arial"/>
          <w:szCs w:val="24"/>
          <w:highlight w:val="white"/>
        </w:rPr>
        <w:t xml:space="preserve"> D (2000). Health literacy as a public health goal: a challenge for contemporary health education and communication strategies </w:t>
      </w:r>
      <w:proofErr w:type="gramStart"/>
      <w:r w:rsidRPr="001F291B">
        <w:rPr>
          <w:rFonts w:eastAsia="Arial"/>
          <w:szCs w:val="24"/>
          <w:highlight w:val="white"/>
        </w:rPr>
        <w:t>into</w:t>
      </w:r>
      <w:proofErr w:type="gramEnd"/>
      <w:r w:rsidRPr="001F291B">
        <w:rPr>
          <w:rFonts w:eastAsia="Arial"/>
          <w:szCs w:val="24"/>
          <w:highlight w:val="white"/>
        </w:rPr>
        <w:t xml:space="preserve"> the 21st century. Health </w:t>
      </w:r>
      <w:proofErr w:type="spellStart"/>
      <w:r w:rsidRPr="001F291B">
        <w:rPr>
          <w:rFonts w:eastAsia="Arial"/>
          <w:szCs w:val="24"/>
          <w:highlight w:val="white"/>
        </w:rPr>
        <w:t>Promot</w:t>
      </w:r>
      <w:proofErr w:type="spellEnd"/>
      <w:r w:rsidRPr="001F291B">
        <w:rPr>
          <w:rFonts w:eastAsia="Arial"/>
          <w:szCs w:val="24"/>
          <w:highlight w:val="white"/>
        </w:rPr>
        <w:t xml:space="preserve"> Int. 2001, 15 (3): 259-267. Accessed from: </w:t>
      </w:r>
      <w:hyperlink r:id="rId135">
        <w:r w:rsidRPr="001F291B">
          <w:rPr>
            <w:rFonts w:eastAsia="Arial"/>
            <w:szCs w:val="24"/>
          </w:rPr>
          <w:t>https://academic.oup.com/heapro/article/15/3/259/551108</w:t>
        </w:r>
      </w:hyperlink>
    </w:p>
    <w:p w14:paraId="5CC6DD81"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highlight w:val="white"/>
        </w:rPr>
      </w:pPr>
      <w:r w:rsidRPr="001F291B">
        <w:rPr>
          <w:rFonts w:eastAsia="Arial"/>
          <w:szCs w:val="24"/>
        </w:rPr>
        <w:t xml:space="preserve">Office of Disease Prevention and Health Promotion (ODPHP, n.d.). Social Determinants of Health. Retrieved from: </w:t>
      </w:r>
      <w:hyperlink r:id="rId136">
        <w:r w:rsidRPr="001F291B">
          <w:rPr>
            <w:rFonts w:eastAsia="Arial"/>
            <w:szCs w:val="24"/>
          </w:rPr>
          <w:t>https://www.healthypeople.gov/2020/topics-objectives/topic/social-determinants-of-health</w:t>
        </w:r>
      </w:hyperlink>
    </w:p>
    <w:p w14:paraId="542C79F3"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highlight w:val="white"/>
        </w:rPr>
        <w:t xml:space="preserve">Osborne, R.H., </w:t>
      </w:r>
      <w:proofErr w:type="spellStart"/>
      <w:r w:rsidRPr="001F291B">
        <w:rPr>
          <w:rFonts w:eastAsia="Arial"/>
          <w:szCs w:val="24"/>
          <w:highlight w:val="white"/>
        </w:rPr>
        <w:t>Batterham</w:t>
      </w:r>
      <w:proofErr w:type="spellEnd"/>
      <w:r w:rsidRPr="001F291B">
        <w:rPr>
          <w:rFonts w:eastAsia="Arial"/>
          <w:szCs w:val="24"/>
          <w:highlight w:val="white"/>
        </w:rPr>
        <w:t>, R.W., Elsworth, G.R. </w:t>
      </w:r>
      <w:r w:rsidRPr="001F291B">
        <w:rPr>
          <w:rFonts w:eastAsia="Arial"/>
          <w:i/>
          <w:szCs w:val="24"/>
          <w:highlight w:val="white"/>
        </w:rPr>
        <w:t>et al.</w:t>
      </w:r>
      <w:r w:rsidRPr="001F291B">
        <w:rPr>
          <w:rFonts w:eastAsia="Arial"/>
          <w:szCs w:val="24"/>
          <w:highlight w:val="white"/>
        </w:rPr>
        <w:t> The grounded psychometric development and initial validation of the Health Literacy Questionnaire (HLQ). </w:t>
      </w:r>
      <w:r w:rsidRPr="001F291B">
        <w:rPr>
          <w:rFonts w:eastAsia="Arial"/>
          <w:i/>
          <w:szCs w:val="24"/>
          <w:highlight w:val="white"/>
        </w:rPr>
        <w:t>BMC Public Health</w:t>
      </w:r>
      <w:r w:rsidRPr="001F291B">
        <w:rPr>
          <w:rFonts w:eastAsia="Arial"/>
          <w:szCs w:val="24"/>
          <w:highlight w:val="white"/>
        </w:rPr>
        <w:t> </w:t>
      </w:r>
      <w:r w:rsidRPr="001F291B">
        <w:rPr>
          <w:rFonts w:eastAsia="Arial"/>
          <w:b/>
          <w:szCs w:val="24"/>
          <w:highlight w:val="white"/>
        </w:rPr>
        <w:t>13, </w:t>
      </w:r>
      <w:r w:rsidRPr="001F291B">
        <w:rPr>
          <w:rFonts w:eastAsia="Arial"/>
          <w:szCs w:val="24"/>
          <w:highlight w:val="white"/>
        </w:rPr>
        <w:t xml:space="preserve">658 (2013) doi:10.1186/1471-2458-13-658. Retrieved from: </w:t>
      </w:r>
      <w:hyperlink r:id="rId137" w:anchor="citeas">
        <w:r w:rsidRPr="001F291B">
          <w:rPr>
            <w:rFonts w:eastAsia="Arial"/>
            <w:szCs w:val="24"/>
          </w:rPr>
          <w:t>https://bmcpublichealth.biomedcentral.com/articles/10.1186/1471-2458-13-658#citeas</w:t>
        </w:r>
      </w:hyperlink>
      <w:r w:rsidRPr="001F291B">
        <w:rPr>
          <w:rFonts w:eastAsia="Arial"/>
          <w:szCs w:val="24"/>
        </w:rPr>
        <w:t xml:space="preserve"> </w:t>
      </w:r>
    </w:p>
    <w:p w14:paraId="494F422F"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highlight w:val="white"/>
        </w:rPr>
        <w:t xml:space="preserve">Oso AA, </w:t>
      </w:r>
      <w:proofErr w:type="spellStart"/>
      <w:r w:rsidRPr="001F291B">
        <w:rPr>
          <w:rFonts w:eastAsia="Arial"/>
          <w:szCs w:val="24"/>
          <w:highlight w:val="white"/>
        </w:rPr>
        <w:t>Adefurin</w:t>
      </w:r>
      <w:proofErr w:type="spellEnd"/>
      <w:r w:rsidRPr="001F291B">
        <w:rPr>
          <w:rFonts w:eastAsia="Arial"/>
          <w:szCs w:val="24"/>
          <w:highlight w:val="white"/>
        </w:rPr>
        <w:t xml:space="preserve"> A, </w:t>
      </w:r>
      <w:proofErr w:type="spellStart"/>
      <w:r w:rsidRPr="001F291B">
        <w:rPr>
          <w:rFonts w:eastAsia="Arial"/>
          <w:szCs w:val="24"/>
          <w:highlight w:val="white"/>
        </w:rPr>
        <w:t>Benneman</w:t>
      </w:r>
      <w:proofErr w:type="spellEnd"/>
      <w:r w:rsidRPr="001F291B">
        <w:rPr>
          <w:rFonts w:eastAsia="Arial"/>
          <w:szCs w:val="24"/>
          <w:highlight w:val="white"/>
        </w:rPr>
        <w:t xml:space="preserve"> MM, Oso OO, Taiwo MA, Adebiyi OO, Oluwole O. Health insurance status affects hypertension control in a hospital based internal medicine clinic. Int J </w:t>
      </w:r>
      <w:proofErr w:type="spellStart"/>
      <w:r w:rsidRPr="001F291B">
        <w:rPr>
          <w:rFonts w:eastAsia="Arial"/>
          <w:szCs w:val="24"/>
          <w:highlight w:val="white"/>
        </w:rPr>
        <w:t>Cardiol</w:t>
      </w:r>
      <w:proofErr w:type="spellEnd"/>
      <w:r w:rsidRPr="001F291B">
        <w:rPr>
          <w:rFonts w:eastAsia="Arial"/>
          <w:szCs w:val="24"/>
          <w:highlight w:val="white"/>
        </w:rPr>
        <w:t xml:space="preserve"> </w:t>
      </w:r>
      <w:proofErr w:type="spellStart"/>
      <w:r w:rsidRPr="001F291B">
        <w:rPr>
          <w:rFonts w:eastAsia="Arial"/>
          <w:szCs w:val="24"/>
          <w:highlight w:val="white"/>
        </w:rPr>
        <w:t>Hypertens</w:t>
      </w:r>
      <w:proofErr w:type="spellEnd"/>
      <w:r w:rsidRPr="001F291B">
        <w:rPr>
          <w:rFonts w:eastAsia="Arial"/>
          <w:szCs w:val="24"/>
          <w:highlight w:val="white"/>
        </w:rPr>
        <w:t xml:space="preserve">. 2019 Apr 11; 1:100003. </w:t>
      </w:r>
      <w:proofErr w:type="spellStart"/>
      <w:r w:rsidRPr="001F291B">
        <w:rPr>
          <w:rFonts w:eastAsia="Arial"/>
          <w:szCs w:val="24"/>
          <w:highlight w:val="white"/>
        </w:rPr>
        <w:t>doi</w:t>
      </w:r>
      <w:proofErr w:type="spellEnd"/>
      <w:r w:rsidRPr="001F291B">
        <w:rPr>
          <w:rFonts w:eastAsia="Arial"/>
          <w:szCs w:val="24"/>
          <w:highlight w:val="white"/>
        </w:rPr>
        <w:t xml:space="preserve">: 10.1016/j.ijchy.2019.100003. PMID: 33447737; PMCID: PMC7803069. Accessed from: </w:t>
      </w:r>
      <w:hyperlink r:id="rId138">
        <w:r w:rsidRPr="001F291B">
          <w:rPr>
            <w:rFonts w:eastAsia="Arial"/>
            <w:szCs w:val="24"/>
            <w:highlight w:val="white"/>
          </w:rPr>
          <w:t>https://www.ncbi.nlm.nih.gov/pmc/articles/PMC7803069/</w:t>
        </w:r>
      </w:hyperlink>
      <w:r w:rsidRPr="001F291B">
        <w:rPr>
          <w:rFonts w:eastAsia="Arial"/>
          <w:szCs w:val="24"/>
          <w:highlight w:val="white"/>
        </w:rPr>
        <w:t xml:space="preserve"> </w:t>
      </w:r>
    </w:p>
    <w:p w14:paraId="00AAD5ED"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Paasche-Orlow, M.K., Baur, C, Cabral, H, 2017. Welcome to the Journal HLRP: Health Literacy Research and Practice. Health Lit Res </w:t>
      </w:r>
      <w:proofErr w:type="spellStart"/>
      <w:r w:rsidRPr="001F291B">
        <w:rPr>
          <w:rFonts w:eastAsia="Arial"/>
          <w:szCs w:val="24"/>
        </w:rPr>
        <w:t>Pract</w:t>
      </w:r>
      <w:proofErr w:type="spellEnd"/>
      <w:r w:rsidRPr="001F291B">
        <w:rPr>
          <w:rFonts w:eastAsia="Arial"/>
          <w:szCs w:val="24"/>
        </w:rPr>
        <w:t xml:space="preserve">. 2017 Jan; 1(1): e14-e15. Published online 2017 Mar 23. </w:t>
      </w:r>
      <w:proofErr w:type="spellStart"/>
      <w:r w:rsidRPr="001F291B">
        <w:rPr>
          <w:rFonts w:eastAsia="Arial"/>
          <w:szCs w:val="24"/>
          <w:highlight w:val="white"/>
        </w:rPr>
        <w:t>doi</w:t>
      </w:r>
      <w:proofErr w:type="spellEnd"/>
      <w:r w:rsidRPr="001F291B">
        <w:rPr>
          <w:rFonts w:eastAsia="Arial"/>
          <w:szCs w:val="24"/>
          <w:highlight w:val="white"/>
        </w:rPr>
        <w:t xml:space="preserve">: </w:t>
      </w:r>
      <w:hyperlink r:id="rId139">
        <w:r w:rsidRPr="001F291B">
          <w:rPr>
            <w:rFonts w:eastAsia="Arial"/>
            <w:szCs w:val="24"/>
            <w:highlight w:val="white"/>
          </w:rPr>
          <w:t>10.3928/24748307-20170307-02</w:t>
        </w:r>
      </w:hyperlink>
    </w:p>
    <w:p w14:paraId="34DD9833"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Parker, K., et. al. (2018). Demographic and economic trends in urban, suburban, and rural communities. Accessed from: </w:t>
      </w:r>
      <w:hyperlink r:id="rId140">
        <w:r w:rsidRPr="001F291B">
          <w:rPr>
            <w:rFonts w:eastAsia="Arial"/>
            <w:szCs w:val="24"/>
          </w:rPr>
          <w:t>https://www.pewresearch.org/social-trends/2018/05/22/demographic-and-economic-trends-in-urban-suburban-and-rural-communities/</w:t>
        </w:r>
      </w:hyperlink>
      <w:r w:rsidRPr="001F291B">
        <w:rPr>
          <w:rFonts w:eastAsia="Arial"/>
          <w:szCs w:val="24"/>
        </w:rPr>
        <w:t xml:space="preserve"> </w:t>
      </w:r>
    </w:p>
    <w:p w14:paraId="3424B1B9"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Pateros Health Department (PHD, 2018). Annual Health Report C.Y. 2018 (Unpublished).</w:t>
      </w:r>
    </w:p>
    <w:p w14:paraId="7EC2D956"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Paulsen, J. &amp; </w:t>
      </w:r>
      <w:proofErr w:type="spellStart"/>
      <w:r w:rsidRPr="001F291B">
        <w:rPr>
          <w:rFonts w:eastAsia="Arial"/>
          <w:szCs w:val="24"/>
        </w:rPr>
        <w:t>BrckaLorenz</w:t>
      </w:r>
      <w:proofErr w:type="spellEnd"/>
      <w:r w:rsidRPr="001F291B">
        <w:rPr>
          <w:rFonts w:eastAsia="Arial"/>
          <w:szCs w:val="24"/>
        </w:rPr>
        <w:t xml:space="preserve">, A. (2017). Internal consistency. FSSE Psychometric Portfolio. Retrieved from fsse.indiana.edu. Accessed from: </w:t>
      </w:r>
      <w:hyperlink r:id="rId141">
        <w:r w:rsidRPr="001F291B">
          <w:rPr>
            <w:rFonts w:eastAsia="Arial"/>
            <w:szCs w:val="24"/>
          </w:rPr>
          <w:t>https://scholarworks.iu.edu/dspace/bitstream/handle/2022/24498/FSSE17_Internal_Consistency_Reliability.pdf?sequence=1&amp;isAllowed=y</w:t>
        </w:r>
      </w:hyperlink>
      <w:r w:rsidRPr="001F291B">
        <w:rPr>
          <w:rFonts w:eastAsia="Arial"/>
          <w:szCs w:val="24"/>
        </w:rPr>
        <w:t xml:space="preserve"> </w:t>
      </w:r>
    </w:p>
    <w:p w14:paraId="1418B99C"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Philippine Council for Health Research and Development (PCHRD, 2018, p. 19). 17</w:t>
      </w:r>
      <w:r w:rsidRPr="001F291B">
        <w:rPr>
          <w:rFonts w:eastAsia="Arial"/>
          <w:szCs w:val="24"/>
          <w:vertAlign w:val="superscript"/>
        </w:rPr>
        <w:t>th</w:t>
      </w:r>
      <w:r w:rsidRPr="001F291B">
        <w:rPr>
          <w:rFonts w:eastAsia="Arial"/>
          <w:szCs w:val="24"/>
        </w:rPr>
        <w:t xml:space="preserve"> National Health Research Forum for Action. Full Speed AHEAD: Accelerating Universal Health Care through Health Policy and Systems Research. September 19-20, 2018. Accessed from: </w:t>
      </w:r>
      <w:hyperlink r:id="rId142">
        <w:r w:rsidRPr="001F291B">
          <w:rPr>
            <w:rFonts w:eastAsia="Arial"/>
            <w:szCs w:val="24"/>
          </w:rPr>
          <w:t>https://www.doh.gov.ph/sites/default/files/publications/17th-National-Health-Research-Forum-for-Action.pdf</w:t>
        </w:r>
      </w:hyperlink>
      <w:r w:rsidRPr="001F291B">
        <w:rPr>
          <w:rFonts w:eastAsia="Arial"/>
          <w:szCs w:val="24"/>
        </w:rPr>
        <w:t xml:space="preserve"> </w:t>
      </w:r>
    </w:p>
    <w:p w14:paraId="13954D32"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lastRenderedPageBreak/>
        <w:t xml:space="preserve">Philippine Health Statistics (2016). The 2016 Philippine Health Statistics, pp. 105, 161-166. Epidemiology Bureau. Department of Health. Manila. Accessed from: </w:t>
      </w:r>
      <w:hyperlink r:id="rId143">
        <w:r w:rsidRPr="001F291B">
          <w:rPr>
            <w:rFonts w:eastAsia="Arial"/>
            <w:szCs w:val="24"/>
          </w:rPr>
          <w:t>https://www.doh.gov.ph/sites/default/files/publications/2016_PHILIPPINE-HEALTH-STATISTICS.pdf</w:t>
        </w:r>
      </w:hyperlink>
      <w:r w:rsidRPr="001F291B">
        <w:rPr>
          <w:rFonts w:eastAsia="Arial"/>
          <w:szCs w:val="24"/>
        </w:rPr>
        <w:t xml:space="preserve"> </w:t>
      </w:r>
    </w:p>
    <w:p w14:paraId="61BF417E"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Philippine Institute for Development Studies (PIDS), 2018. Defining and Profiling the Middle Class. Access from: </w:t>
      </w:r>
      <w:hyperlink r:id="rId144">
        <w:r w:rsidRPr="001F291B">
          <w:rPr>
            <w:rFonts w:eastAsia="Arial"/>
            <w:szCs w:val="24"/>
          </w:rPr>
          <w:t>https://pidswebs.pids.gov.ph/CDN/PUBLICATIONS/pidspn1818.pdf</w:t>
        </w:r>
      </w:hyperlink>
      <w:r w:rsidRPr="001F291B">
        <w:rPr>
          <w:rFonts w:eastAsia="Arial"/>
          <w:szCs w:val="24"/>
        </w:rPr>
        <w:t xml:space="preserve">  </w:t>
      </w:r>
    </w:p>
    <w:p w14:paraId="01405FCF" w14:textId="77777777" w:rsidR="007C6854" w:rsidRPr="001F291B" w:rsidRDefault="00E0219E" w:rsidP="00FD5DC4">
      <w:pPr>
        <w:spacing w:after="240" w:line="240" w:lineRule="auto"/>
        <w:ind w:left="480" w:hanging="720"/>
        <w:jc w:val="both"/>
        <w:rPr>
          <w:rFonts w:eastAsia="Arial"/>
          <w:szCs w:val="24"/>
        </w:rPr>
      </w:pPr>
      <w:r w:rsidRPr="001F291B">
        <w:rPr>
          <w:rFonts w:eastAsia="Arial"/>
          <w:szCs w:val="24"/>
        </w:rPr>
        <w:t xml:space="preserve">Philippine Statistics Authority (PSA) and ICF, 2018. Philippines National Demographic and Health Survey 2017: Key Indicators. Quezon City, Philippines, and Rockville, Maryland, USA: PSA and ICF. Accessed from: </w:t>
      </w:r>
      <w:hyperlink r:id="rId145">
        <w:r w:rsidRPr="001F291B">
          <w:rPr>
            <w:rFonts w:eastAsia="Arial"/>
            <w:szCs w:val="24"/>
          </w:rPr>
          <w:t>https://psa.gov.ph/sites/default/files/Philippines%20NDHS%20KIR.pdf</w:t>
        </w:r>
      </w:hyperlink>
      <w:r w:rsidRPr="001F291B">
        <w:rPr>
          <w:rFonts w:eastAsia="Arial"/>
          <w:szCs w:val="24"/>
        </w:rPr>
        <w:t xml:space="preserve"> </w:t>
      </w:r>
    </w:p>
    <w:p w14:paraId="1DA8444B"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Philippine Statistics Authority (PSA, 2010). 2010 Census-based Population Projections in collaboration with the Inter-Agency Working Group on Population Projections - Table 4. Projected Population, by Age Group, Sex, and by Single-Calendar Year Interval, Philippines: 2010 - 2020 (Medium Assumption). Accessed from: </w:t>
      </w:r>
      <w:hyperlink r:id="rId146">
        <w:r w:rsidRPr="001F291B">
          <w:rPr>
            <w:rFonts w:eastAsia="Arial"/>
            <w:szCs w:val="24"/>
          </w:rPr>
          <w:t>https://psa.gov.ph/sites/default/files/attachments/hsd/pressrelease/Table4_9.pdf</w:t>
        </w:r>
      </w:hyperlink>
    </w:p>
    <w:p w14:paraId="5B50BEA6"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Philippine Statistics Authority (PSA, 2011). Literacy of Men and Women in the Philippines (Results from 2008 Functional Literacy, Education and Mass Media Survey). Accessed from: </w:t>
      </w:r>
      <w:hyperlink r:id="rId147">
        <w:r w:rsidRPr="001F291B">
          <w:rPr>
            <w:rFonts w:eastAsia="Arial"/>
            <w:szCs w:val="24"/>
          </w:rPr>
          <w:t>https://psa.gov.ph/content/literacy-men-and-women-philippines-results-2008-functional-literacy-education-and-mass-media</w:t>
        </w:r>
      </w:hyperlink>
      <w:r w:rsidRPr="001F291B">
        <w:rPr>
          <w:rFonts w:eastAsia="Arial"/>
          <w:szCs w:val="24"/>
        </w:rPr>
        <w:t xml:space="preserve"> </w:t>
      </w:r>
    </w:p>
    <w:p w14:paraId="43AEBDA2"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Philippine Statistics Authority (PSA, 2016). Highlights on Household Population, Number of Households, and Average Household Size of the Philippines (2015 Census of Population). Retrieved from: </w:t>
      </w:r>
      <w:hyperlink r:id="rId148">
        <w:r w:rsidRPr="001F291B">
          <w:rPr>
            <w:rFonts w:eastAsia="Arial"/>
            <w:szCs w:val="24"/>
          </w:rPr>
          <w:t>https://psa.gov.ph/content/highlights-household-population-number-households-and-average-household-size-philippines</w:t>
        </w:r>
      </w:hyperlink>
    </w:p>
    <w:p w14:paraId="21ADD169"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Philippine Statistics Authority (PSA, 2017). 2015 Census of Population – Final Results Pateros. Accessed from: </w:t>
      </w:r>
      <w:hyperlink r:id="rId149">
        <w:r w:rsidRPr="001F291B">
          <w:rPr>
            <w:rFonts w:eastAsia="Arial"/>
            <w:szCs w:val="24"/>
          </w:rPr>
          <w:t>http://rssoncr.psa.gov.ph/article/2015-census-population-final-results-pateros</w:t>
        </w:r>
      </w:hyperlink>
      <w:r w:rsidRPr="001F291B">
        <w:rPr>
          <w:rFonts w:eastAsia="Arial"/>
          <w:szCs w:val="24"/>
        </w:rPr>
        <w:t xml:space="preserve"> </w:t>
      </w:r>
    </w:p>
    <w:p w14:paraId="24476FA7" w14:textId="77777777" w:rsidR="007C6854" w:rsidRPr="001F291B" w:rsidRDefault="00E0219E" w:rsidP="00FD5DC4">
      <w:pPr>
        <w:spacing w:after="240" w:line="240" w:lineRule="auto"/>
        <w:ind w:left="480" w:hanging="720"/>
        <w:jc w:val="both"/>
        <w:rPr>
          <w:rFonts w:eastAsia="Arial"/>
          <w:szCs w:val="24"/>
        </w:rPr>
      </w:pPr>
      <w:r w:rsidRPr="001F291B">
        <w:rPr>
          <w:rFonts w:eastAsia="Arial"/>
          <w:szCs w:val="24"/>
        </w:rPr>
        <w:t xml:space="preserve">Philippine Statistics Authority (2018). Philippine National Demographic and Health Survey 2017. Accessed form: </w:t>
      </w:r>
      <w:hyperlink r:id="rId150">
        <w:r w:rsidRPr="001F291B">
          <w:rPr>
            <w:rFonts w:eastAsia="Arial"/>
            <w:szCs w:val="24"/>
          </w:rPr>
          <w:t>https://dhsprogram.com/pubs/pdf/FR347/FR347.pdf</w:t>
        </w:r>
      </w:hyperlink>
      <w:r w:rsidRPr="001F291B">
        <w:rPr>
          <w:rFonts w:eastAsia="Arial"/>
          <w:szCs w:val="24"/>
        </w:rPr>
        <w:t xml:space="preserve"> </w:t>
      </w:r>
    </w:p>
    <w:p w14:paraId="63933095"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Philippine Statistics Authority (2019). </w:t>
      </w:r>
      <w:r w:rsidRPr="001F291B">
        <w:rPr>
          <w:rFonts w:eastAsia="Arial"/>
          <w:i/>
          <w:szCs w:val="24"/>
        </w:rPr>
        <w:t xml:space="preserve">2019 FLEMMS: functional literacy, </w:t>
      </w:r>
      <w:proofErr w:type="gramStart"/>
      <w:r w:rsidRPr="001F291B">
        <w:rPr>
          <w:rFonts w:eastAsia="Arial"/>
          <w:i/>
          <w:szCs w:val="24"/>
        </w:rPr>
        <w:t>education</w:t>
      </w:r>
      <w:proofErr w:type="gramEnd"/>
      <w:r w:rsidRPr="001F291B">
        <w:rPr>
          <w:rFonts w:eastAsia="Arial"/>
          <w:i/>
          <w:szCs w:val="24"/>
        </w:rPr>
        <w:t xml:space="preserve"> and mass media survey.</w:t>
      </w:r>
      <w:r w:rsidRPr="001F291B">
        <w:rPr>
          <w:rFonts w:eastAsia="Arial"/>
          <w:szCs w:val="24"/>
        </w:rPr>
        <w:t xml:space="preserve"> </w:t>
      </w:r>
      <w:hyperlink r:id="rId151">
        <w:r w:rsidRPr="001F291B">
          <w:rPr>
            <w:rFonts w:eastAsia="Arial"/>
            <w:szCs w:val="24"/>
          </w:rPr>
          <w:t>https://psa.gov.ph/sites/default/files/2019-FLEMMS-Final-Report_Signed_FULL%20VERSION_15%20January%202021rev.pdf</w:t>
        </w:r>
      </w:hyperlink>
      <w:r w:rsidRPr="001F291B">
        <w:rPr>
          <w:rFonts w:eastAsia="Arial"/>
          <w:szCs w:val="24"/>
        </w:rPr>
        <w:t xml:space="preserve"> [</w:t>
      </w:r>
      <w:hyperlink r:id="rId152">
        <w:r w:rsidRPr="001F291B">
          <w:rPr>
            <w:rFonts w:eastAsia="Arial"/>
            <w:szCs w:val="24"/>
          </w:rPr>
          <w:t>Google Scholar</w:t>
        </w:r>
      </w:hyperlink>
      <w:r w:rsidRPr="001F291B">
        <w:rPr>
          <w:rFonts w:eastAsia="Arial"/>
          <w:szCs w:val="24"/>
        </w:rPr>
        <w:t>]</w:t>
      </w:r>
      <w:r w:rsidRPr="001F291B">
        <w:rPr>
          <w:rFonts w:eastAsia="Arial"/>
          <w:szCs w:val="24"/>
          <w:highlight w:val="white"/>
        </w:rPr>
        <w:t xml:space="preserve"> [</w:t>
      </w:r>
      <w:hyperlink r:id="rId153" w:anchor="x24748307-20220419-01-bibr31">
        <w:r w:rsidRPr="001F291B">
          <w:rPr>
            <w:rFonts w:eastAsia="Arial"/>
            <w:szCs w:val="24"/>
          </w:rPr>
          <w:t>Ref list</w:t>
        </w:r>
      </w:hyperlink>
      <w:r w:rsidRPr="001F291B">
        <w:rPr>
          <w:rFonts w:eastAsia="Arial"/>
          <w:szCs w:val="24"/>
          <w:highlight w:val="white"/>
        </w:rPr>
        <w:t>]</w:t>
      </w:r>
    </w:p>
    <w:p w14:paraId="20BBB8F2"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Philippine Statistics Authority (PSA, 2019). Proportion of Poor Filipinos registered at 21.0 percent in the First Semester of 2018. Accessed from: </w:t>
      </w:r>
      <w:hyperlink r:id="rId154">
        <w:r w:rsidRPr="001F291B">
          <w:rPr>
            <w:rFonts w:eastAsia="Arial"/>
            <w:szCs w:val="24"/>
          </w:rPr>
          <w:t>http://www.psa.gov.ph/poverty-press-releases/nid/138411</w:t>
        </w:r>
      </w:hyperlink>
      <w:r w:rsidRPr="001F291B">
        <w:rPr>
          <w:rFonts w:eastAsia="Arial"/>
          <w:szCs w:val="24"/>
        </w:rPr>
        <w:t xml:space="preserve"> </w:t>
      </w:r>
    </w:p>
    <w:p w14:paraId="5CB2D635"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Philippines Statistics Authority (PSA) and University of the Philippines Population Institute (UPPI) </w:t>
      </w:r>
      <w:r w:rsidRPr="001F291B">
        <w:rPr>
          <w:rFonts w:eastAsia="Arial"/>
          <w:i/>
          <w:szCs w:val="24"/>
        </w:rPr>
        <w:t>[(PSA &amp; UPPI, 2019)]</w:t>
      </w:r>
      <w:r w:rsidRPr="001F291B">
        <w:rPr>
          <w:rFonts w:eastAsia="Arial"/>
          <w:szCs w:val="24"/>
        </w:rPr>
        <w:t xml:space="preserve">. 2018 National Migration Survey. Quezon City, Philippines: PSA and UPPI. Retrieved from: </w:t>
      </w:r>
      <w:hyperlink r:id="rId155">
        <w:r w:rsidRPr="001F291B">
          <w:rPr>
            <w:rFonts w:eastAsia="Arial"/>
            <w:szCs w:val="24"/>
          </w:rPr>
          <w:t>https://psa.gov.ph/sites/default/files/2018%20NMS%20Final%20Report.pdf</w:t>
        </w:r>
      </w:hyperlink>
      <w:r w:rsidRPr="001F291B">
        <w:rPr>
          <w:rFonts w:eastAsia="Arial"/>
          <w:szCs w:val="24"/>
        </w:rPr>
        <w:t xml:space="preserve"> </w:t>
      </w:r>
    </w:p>
    <w:p w14:paraId="53D0953B"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lastRenderedPageBreak/>
        <w:t xml:space="preserve">Philippine Statistics Authority (PSA), 2020. Population Statistics. 2018 National Migration Survey: Migration Experiences of Filipinos. Accessed from: </w:t>
      </w:r>
      <w:hyperlink r:id="rId156">
        <w:r w:rsidRPr="001F291B">
          <w:rPr>
            <w:rFonts w:eastAsia="Arial"/>
            <w:szCs w:val="24"/>
          </w:rPr>
          <w:t>http://rssocar.psa.gov.ph/population/2018%20National%20Migration%20Survey%3A%20Migration%20Experiences%20of%20Filipinos</w:t>
        </w:r>
      </w:hyperlink>
      <w:r w:rsidRPr="001F291B">
        <w:rPr>
          <w:rFonts w:eastAsia="Arial"/>
          <w:szCs w:val="24"/>
        </w:rPr>
        <w:t xml:space="preserve"> </w:t>
      </w:r>
    </w:p>
    <w:p w14:paraId="03F9DA72"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Giada </w:t>
      </w:r>
      <w:proofErr w:type="spellStart"/>
      <w:r w:rsidRPr="001F291B">
        <w:rPr>
          <w:rFonts w:eastAsia="Arial"/>
          <w:szCs w:val="24"/>
        </w:rPr>
        <w:t>Pietrabissa</w:t>
      </w:r>
      <w:proofErr w:type="spellEnd"/>
      <w:r w:rsidRPr="001F291B">
        <w:rPr>
          <w:rFonts w:eastAsia="Arial"/>
          <w:szCs w:val="24"/>
        </w:rPr>
        <w:t xml:space="preserve"> and Susan Simpson (</w:t>
      </w:r>
      <w:proofErr w:type="spellStart"/>
      <w:r w:rsidRPr="001F291B">
        <w:rPr>
          <w:rFonts w:eastAsia="Arial"/>
          <w:szCs w:val="24"/>
        </w:rPr>
        <w:t>Pietrabissa</w:t>
      </w:r>
      <w:proofErr w:type="spellEnd"/>
      <w:r w:rsidRPr="001F291B">
        <w:rPr>
          <w:rFonts w:eastAsia="Arial"/>
          <w:szCs w:val="24"/>
        </w:rPr>
        <w:t xml:space="preserve"> &amp; Simpson, 2020). Psychological consequences of social isolation during COVID-19 outbreak. Front. Psychol., 09 September 2020 Sec. Health Psychology Vol 11-2020 </w:t>
      </w:r>
      <w:hyperlink r:id="rId157">
        <w:r w:rsidRPr="001F291B">
          <w:rPr>
            <w:rFonts w:eastAsia="Arial"/>
            <w:szCs w:val="24"/>
          </w:rPr>
          <w:t>https://doi.org/10.3389/fpsyg.2020.02201</w:t>
        </w:r>
      </w:hyperlink>
      <w:r w:rsidRPr="001F291B">
        <w:rPr>
          <w:rFonts w:eastAsia="Arial"/>
          <w:szCs w:val="24"/>
        </w:rPr>
        <w:t xml:space="preserve"> . Accessed from: </w:t>
      </w:r>
      <w:hyperlink r:id="rId158">
        <w:r w:rsidRPr="001F291B">
          <w:rPr>
            <w:rFonts w:eastAsia="Arial"/>
            <w:szCs w:val="24"/>
          </w:rPr>
          <w:t>https://www.frontiersin.org/articles/10.3389/fpsyg.2020.02201/full</w:t>
        </w:r>
      </w:hyperlink>
      <w:r w:rsidRPr="001F291B">
        <w:rPr>
          <w:rFonts w:eastAsia="Arial"/>
          <w:szCs w:val="24"/>
        </w:rPr>
        <w:t xml:space="preserve"> </w:t>
      </w:r>
    </w:p>
    <w:p w14:paraId="233DEB02"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PSA (2020). Goal 4. Ensure Inclusive and Quality Education for All and Promote Lifelong Learning. Accessed from:</w:t>
      </w:r>
      <w:hyperlink r:id="rId159">
        <w:r w:rsidRPr="001F291B">
          <w:rPr>
            <w:rFonts w:eastAsia="Arial"/>
            <w:szCs w:val="24"/>
          </w:rPr>
          <w:t xml:space="preserve"> https://psa.gov.ph/sites/default/files/phdsd/PH_SDGWatch_Goal04.pdf</w:t>
        </w:r>
      </w:hyperlink>
    </w:p>
    <w:p w14:paraId="196D69EB"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PSA (2021). Table 1. </w:t>
      </w:r>
      <w:r w:rsidRPr="001F291B">
        <w:rPr>
          <w:rFonts w:eastAsia="Arial"/>
          <w:szCs w:val="24"/>
          <w:highlight w:val="white"/>
        </w:rPr>
        <w:t>Annual Per Capita Poverty Threshold and Poverty Incidence Among Families with Measures of Precision, by Region and Province: 2015, 2018, and 2021p. Accessed from:</w:t>
      </w:r>
      <w:hyperlink r:id="rId160">
        <w:r w:rsidRPr="001F291B">
          <w:rPr>
            <w:rFonts w:eastAsia="Arial"/>
            <w:szCs w:val="24"/>
            <w:highlight w:val="white"/>
          </w:rPr>
          <w:t xml:space="preserve"> </w:t>
        </w:r>
      </w:hyperlink>
      <w:hyperlink r:id="rId161">
        <w:r w:rsidRPr="001F291B">
          <w:rPr>
            <w:rFonts w:eastAsia="Arial"/>
            <w:szCs w:val="24"/>
          </w:rPr>
          <w:t>https://psa.gov.ph/sites/default/files/2021%20Full%20Year%20Official%20Poverty%20Statistics%20Tables_f.xlsx</w:t>
        </w:r>
      </w:hyperlink>
    </w:p>
    <w:p w14:paraId="15852D12"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PSA (2022). Urban Population of the Philippines (2020 Census of Population and Housing). Reference Number: 2022-271. Released Date: 5 July 2022. Accessed from: </w:t>
      </w:r>
      <w:hyperlink r:id="rId162">
        <w:r w:rsidRPr="001F291B">
          <w:rPr>
            <w:rFonts w:eastAsia="Arial"/>
            <w:szCs w:val="24"/>
          </w:rPr>
          <w:t>https://psa.gov.ph/population-and-housing/node/167692</w:t>
        </w:r>
      </w:hyperlink>
      <w:r w:rsidRPr="001F291B">
        <w:rPr>
          <w:rFonts w:eastAsia="Arial"/>
          <w:szCs w:val="24"/>
        </w:rPr>
        <w:t xml:space="preserve"> </w:t>
      </w:r>
    </w:p>
    <w:p w14:paraId="311ED711"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Presidential Commission of the Urban Poor (PCUP, n.d.). The Urban Poor. Accessed from: </w:t>
      </w:r>
      <w:hyperlink r:id="rId163">
        <w:r w:rsidRPr="001F291B">
          <w:rPr>
            <w:rFonts w:eastAsia="Arial"/>
            <w:szCs w:val="24"/>
          </w:rPr>
          <w:t>http://pcup.gov.ph/index.php/facts-and-figures/the-pcup-client-the-urban-poor</w:t>
        </w:r>
      </w:hyperlink>
      <w:r w:rsidRPr="001F291B">
        <w:rPr>
          <w:rFonts w:eastAsia="Arial"/>
          <w:szCs w:val="24"/>
        </w:rPr>
        <w:t xml:space="preserve"> </w:t>
      </w:r>
    </w:p>
    <w:p w14:paraId="072D849D"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Qi, S., et.al. (2021). Trends of global health literacy research (1995–2020): Analysis of mapping knowledge domains based on citation data mining. Published: August 9, 2021. Accessed from: </w:t>
      </w:r>
      <w:hyperlink r:id="rId164">
        <w:r w:rsidRPr="001F291B">
          <w:rPr>
            <w:rFonts w:eastAsia="Arial"/>
            <w:szCs w:val="24"/>
          </w:rPr>
          <w:t>https://journals.plos.org/plosone/article?id=10.1371/journal.pone.0254988</w:t>
        </w:r>
      </w:hyperlink>
      <w:r w:rsidRPr="001F291B">
        <w:rPr>
          <w:rFonts w:eastAsia="Arial"/>
          <w:szCs w:val="24"/>
        </w:rPr>
        <w:t xml:space="preserve"> </w:t>
      </w:r>
    </w:p>
    <w:p w14:paraId="784541EA"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R Core Team (2023). R: A Language and Environment for Statistical Computing. R Foundation for Statistical Computing, Vienna, Austria. Accessed from: </w:t>
      </w:r>
      <w:hyperlink r:id="rId165">
        <w:r w:rsidRPr="001F291B">
          <w:rPr>
            <w:rFonts w:eastAsia="Arial"/>
            <w:szCs w:val="24"/>
          </w:rPr>
          <w:t>https://www.R-project.org/</w:t>
        </w:r>
      </w:hyperlink>
      <w:r w:rsidRPr="001F291B">
        <w:rPr>
          <w:rFonts w:eastAsia="Arial"/>
          <w:szCs w:val="24"/>
        </w:rPr>
        <w:t xml:space="preserve"> </w:t>
      </w:r>
    </w:p>
    <w:p w14:paraId="13FEA7C5"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Reyes-Gibby, C.C. &amp; Aday, L.A. (2000). Prevalence of and risk factors for hypertension in a rural area of the Philippines. J Community Health. 2000 Oct; 25(5):389-99. Accessed from: </w:t>
      </w:r>
      <w:hyperlink r:id="rId166">
        <w:r w:rsidRPr="001F291B">
          <w:rPr>
            <w:rFonts w:eastAsia="Arial"/>
            <w:szCs w:val="24"/>
          </w:rPr>
          <w:t>https://www.ncbi.nlm.nih.gov/pubmed/10982012</w:t>
        </w:r>
      </w:hyperlink>
      <w:r w:rsidRPr="001F291B">
        <w:rPr>
          <w:rFonts w:eastAsia="Arial"/>
          <w:szCs w:val="24"/>
        </w:rPr>
        <w:t xml:space="preserve"> </w:t>
      </w:r>
    </w:p>
    <w:p w14:paraId="2B76EA7D"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highlight w:val="white"/>
        </w:rPr>
      </w:pPr>
      <w:r w:rsidRPr="001F291B">
        <w:rPr>
          <w:rFonts w:eastAsia="Arial"/>
          <w:szCs w:val="24"/>
          <w:highlight w:val="white"/>
        </w:rPr>
        <w:t xml:space="preserve">Hannah Ritchie and Max Roser (2018). Urbanization. </w:t>
      </w:r>
      <w:r w:rsidRPr="001F291B">
        <w:rPr>
          <w:rFonts w:eastAsia="Arial"/>
          <w:szCs w:val="24"/>
        </w:rPr>
        <w:t>Published online at OurWorldInData.org. Retrieved from: 'https://ourworldindata.org/urbanization</w:t>
      </w:r>
      <w:proofErr w:type="gramStart"/>
      <w:r w:rsidRPr="001F291B">
        <w:rPr>
          <w:rFonts w:eastAsia="Arial"/>
          <w:szCs w:val="24"/>
        </w:rPr>
        <w:t>'  [</w:t>
      </w:r>
      <w:proofErr w:type="gramEnd"/>
      <w:r w:rsidRPr="001F291B">
        <w:rPr>
          <w:rFonts w:eastAsia="Arial"/>
          <w:szCs w:val="24"/>
        </w:rPr>
        <w:t>Online Resource]</w:t>
      </w:r>
    </w:p>
    <w:p w14:paraId="0C0E808D"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highlight w:val="white"/>
        </w:rPr>
        <w:t>Rowlands, G. P., et. al. (2013). Characteristics of people with low health literacy on coronary heart disease GP registers in South London: a cross-sectional study. BMJ Open. Accessed from:</w:t>
      </w:r>
      <w:hyperlink r:id="rId167">
        <w:r w:rsidRPr="001F291B">
          <w:rPr>
            <w:rFonts w:eastAsia="Arial"/>
            <w:szCs w:val="24"/>
            <w:highlight w:val="white"/>
          </w:rPr>
          <w:t xml:space="preserve"> https://www.ncbi.nlm.nih.gov/pmc/articles/PMC3549254/</w:t>
        </w:r>
      </w:hyperlink>
    </w:p>
    <w:p w14:paraId="23664B1C"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lastRenderedPageBreak/>
        <w:t xml:space="preserve">Rush, K. L., et. al. (2018). Hypertension prevalence and risk factors in rural and urban Zambian adults in western province: a cross-sectional study. Pan </w:t>
      </w:r>
      <w:proofErr w:type="spellStart"/>
      <w:r w:rsidRPr="001F291B">
        <w:rPr>
          <w:rFonts w:eastAsia="Arial"/>
          <w:szCs w:val="24"/>
        </w:rPr>
        <w:t>Afr</w:t>
      </w:r>
      <w:proofErr w:type="spellEnd"/>
      <w:r w:rsidRPr="001F291B">
        <w:rPr>
          <w:rFonts w:eastAsia="Arial"/>
          <w:szCs w:val="24"/>
        </w:rPr>
        <w:t xml:space="preserve"> Med J. 2018; 30: 97. Accessed from: </w:t>
      </w:r>
      <w:hyperlink r:id="rId168">
        <w:r w:rsidRPr="001F291B">
          <w:rPr>
            <w:rFonts w:eastAsia="Arial"/>
            <w:szCs w:val="24"/>
          </w:rPr>
          <w:t>https://www.ncbi.nlm.nih.gov/pmc/articles/PMC6191248/</w:t>
        </w:r>
      </w:hyperlink>
      <w:r w:rsidRPr="001F291B">
        <w:rPr>
          <w:rFonts w:eastAsia="Arial"/>
          <w:szCs w:val="24"/>
        </w:rPr>
        <w:t xml:space="preserve"> </w:t>
      </w:r>
    </w:p>
    <w:p w14:paraId="265C3941"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proofErr w:type="spellStart"/>
      <w:r w:rsidRPr="001F291B">
        <w:rPr>
          <w:rFonts w:eastAsia="Arial"/>
          <w:szCs w:val="24"/>
          <w:highlight w:val="white"/>
        </w:rPr>
        <w:t>Samkange</w:t>
      </w:r>
      <w:proofErr w:type="spellEnd"/>
      <w:r w:rsidRPr="001F291B">
        <w:rPr>
          <w:rFonts w:eastAsia="Arial"/>
          <w:szCs w:val="24"/>
          <w:highlight w:val="white"/>
        </w:rPr>
        <w:t>-Zeeb, F. et. al. (2022). Health Literacy needs among unemployed persons: Collating evidence through triangulation of interview and scoping review data. Accessed from:</w:t>
      </w:r>
      <w:hyperlink r:id="rId169">
        <w:r w:rsidRPr="001F291B">
          <w:rPr>
            <w:rFonts w:eastAsia="Arial"/>
            <w:szCs w:val="24"/>
            <w:highlight w:val="white"/>
          </w:rPr>
          <w:t xml:space="preserve"> https://www.frontiersin.org/articles/10.3389/fpubh.2022.798797/full</w:t>
        </w:r>
      </w:hyperlink>
    </w:p>
    <w:p w14:paraId="3B0D426A"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Sarki, A.M. </w:t>
      </w:r>
      <w:r w:rsidRPr="001F291B">
        <w:rPr>
          <w:rFonts w:eastAsia="Arial"/>
          <w:i/>
          <w:szCs w:val="24"/>
        </w:rPr>
        <w:t>et. al.</w:t>
      </w:r>
      <w:r w:rsidRPr="001F291B">
        <w:rPr>
          <w:rFonts w:eastAsia="Arial"/>
          <w:szCs w:val="24"/>
        </w:rPr>
        <w:t xml:space="preserve"> (2015). Prevalence of hypertension in low- and middle-income countries: A systematic review and meta-analysis. Medicine (Baltimore). 2015 Dec; 94(50): e1959 Published online 2015 Dec 18. Accessed from: </w:t>
      </w:r>
      <w:hyperlink r:id="rId170">
        <w:r w:rsidRPr="001F291B">
          <w:rPr>
            <w:rFonts w:eastAsia="Arial"/>
            <w:szCs w:val="24"/>
          </w:rPr>
          <w:t>https://www.ncbi.nlm.nih.gov/pmc/articles/PMC5058882/</w:t>
        </w:r>
      </w:hyperlink>
      <w:r w:rsidRPr="001F291B">
        <w:rPr>
          <w:rFonts w:eastAsia="Arial"/>
          <w:szCs w:val="24"/>
        </w:rPr>
        <w:t xml:space="preserve"> </w:t>
      </w:r>
    </w:p>
    <w:p w14:paraId="06B9A125"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highlight w:val="white"/>
        </w:rPr>
      </w:pPr>
      <w:r w:rsidRPr="001F291B">
        <w:rPr>
          <w:rFonts w:eastAsia="Arial"/>
          <w:szCs w:val="24"/>
          <w:highlight w:val="white"/>
        </w:rPr>
        <w:t xml:space="preserve">Scott C. Ratzan, Health literacy: communication for the public good, </w:t>
      </w:r>
      <w:r w:rsidRPr="001F291B">
        <w:rPr>
          <w:rFonts w:eastAsia="Arial"/>
          <w:i/>
          <w:szCs w:val="24"/>
          <w:highlight w:val="white"/>
        </w:rPr>
        <w:t>Health Promotion International</w:t>
      </w:r>
      <w:r w:rsidRPr="001F291B">
        <w:rPr>
          <w:rFonts w:eastAsia="Arial"/>
          <w:szCs w:val="24"/>
          <w:highlight w:val="white"/>
        </w:rPr>
        <w:t xml:space="preserve">, Volume 16, Issue 2, June 2001, Pages 207–214, </w:t>
      </w:r>
      <w:hyperlink r:id="rId171">
        <w:r w:rsidRPr="001F291B">
          <w:rPr>
            <w:rFonts w:eastAsia="Arial"/>
            <w:szCs w:val="24"/>
            <w:highlight w:val="white"/>
          </w:rPr>
          <w:t>https://doi.org/10.1093/heapro/16.2.207</w:t>
        </w:r>
      </w:hyperlink>
    </w:p>
    <w:p w14:paraId="1A67CA9B"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highlight w:val="white"/>
        </w:rPr>
        <w:t>Shan Y, Ji M, Dong Z, Xing Z, Xu X (2023). Assessing Patients’ Critical Health Literacy and Identifying Associated Factors: Cross-sectional Study. J Med Internet Res 2023;</w:t>
      </w:r>
      <w:proofErr w:type="gramStart"/>
      <w:r w:rsidRPr="001F291B">
        <w:rPr>
          <w:rFonts w:eastAsia="Arial"/>
          <w:szCs w:val="24"/>
          <w:highlight w:val="white"/>
        </w:rPr>
        <w:t>25:e</w:t>
      </w:r>
      <w:proofErr w:type="gramEnd"/>
      <w:r w:rsidRPr="001F291B">
        <w:rPr>
          <w:rFonts w:eastAsia="Arial"/>
          <w:szCs w:val="24"/>
          <w:highlight w:val="white"/>
        </w:rPr>
        <w:t xml:space="preserve">43342. </w:t>
      </w:r>
      <w:proofErr w:type="spellStart"/>
      <w:r w:rsidRPr="001F291B">
        <w:rPr>
          <w:rFonts w:eastAsia="Arial"/>
          <w:szCs w:val="24"/>
          <w:highlight w:val="white"/>
        </w:rPr>
        <w:t>doi</w:t>
      </w:r>
      <w:proofErr w:type="spellEnd"/>
      <w:r w:rsidRPr="001F291B">
        <w:rPr>
          <w:rFonts w:eastAsia="Arial"/>
          <w:szCs w:val="24"/>
          <w:highlight w:val="white"/>
        </w:rPr>
        <w:t xml:space="preserve">: </w:t>
      </w:r>
      <w:hyperlink r:id="rId172">
        <w:r w:rsidRPr="001F291B">
          <w:rPr>
            <w:rFonts w:eastAsia="Arial"/>
            <w:szCs w:val="24"/>
            <w:highlight w:val="white"/>
          </w:rPr>
          <w:t>10.2196/43342</w:t>
        </w:r>
      </w:hyperlink>
      <w:r w:rsidRPr="001F291B">
        <w:rPr>
          <w:rFonts w:eastAsia="Arial"/>
          <w:szCs w:val="24"/>
          <w:highlight w:val="white"/>
        </w:rPr>
        <w:t xml:space="preserve"> PMID: </w:t>
      </w:r>
      <w:hyperlink r:id="rId173">
        <w:r w:rsidRPr="001F291B">
          <w:rPr>
            <w:rFonts w:eastAsia="Arial"/>
            <w:szCs w:val="24"/>
            <w:highlight w:val="white"/>
          </w:rPr>
          <w:t>37018027</w:t>
        </w:r>
      </w:hyperlink>
      <w:r w:rsidRPr="001F291B">
        <w:rPr>
          <w:rFonts w:eastAsia="Arial"/>
          <w:szCs w:val="24"/>
        </w:rPr>
        <w:t xml:space="preserve"> Accessed from: </w:t>
      </w:r>
      <w:hyperlink r:id="rId174">
        <w:r w:rsidRPr="001F291B">
          <w:rPr>
            <w:rFonts w:eastAsia="Arial"/>
            <w:szCs w:val="24"/>
          </w:rPr>
          <w:t>https://www.jmir.org/2023/1/e43342</w:t>
        </w:r>
      </w:hyperlink>
      <w:r w:rsidRPr="001F291B">
        <w:rPr>
          <w:rFonts w:eastAsia="Arial"/>
          <w:szCs w:val="24"/>
        </w:rPr>
        <w:t xml:space="preserve"> </w:t>
      </w:r>
    </w:p>
    <w:p w14:paraId="1AD45EB3"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Shi, D., </w:t>
      </w:r>
      <w:r w:rsidRPr="001F291B">
        <w:rPr>
          <w:rFonts w:eastAsia="Arial"/>
          <w:i/>
          <w:szCs w:val="24"/>
        </w:rPr>
        <w:t xml:space="preserve">et. al. </w:t>
      </w:r>
      <w:r w:rsidRPr="001F291B">
        <w:rPr>
          <w:rFonts w:eastAsia="Arial"/>
          <w:szCs w:val="24"/>
        </w:rPr>
        <w:t xml:space="preserve">(2017). Association between health literacy and hypertension management in a Chinese community: a </w:t>
      </w:r>
      <w:proofErr w:type="spellStart"/>
      <w:r w:rsidRPr="001F291B">
        <w:rPr>
          <w:rFonts w:eastAsia="Arial"/>
          <w:szCs w:val="24"/>
        </w:rPr>
        <w:t>restrospective</w:t>
      </w:r>
      <w:proofErr w:type="spellEnd"/>
      <w:r w:rsidRPr="001F291B">
        <w:rPr>
          <w:rFonts w:eastAsia="Arial"/>
          <w:szCs w:val="24"/>
        </w:rPr>
        <w:t xml:space="preserve"> cohort study (Abstract). Intern Emerg Med. 2017 Sept; 12(6):765-776. Accessed from: </w:t>
      </w:r>
      <w:hyperlink r:id="rId175">
        <w:r w:rsidRPr="001F291B">
          <w:rPr>
            <w:rFonts w:eastAsia="Arial"/>
            <w:szCs w:val="24"/>
          </w:rPr>
          <w:t>https://www.ncbi.nlm.nih.gov/pubmed/28303441</w:t>
        </w:r>
      </w:hyperlink>
      <w:r w:rsidRPr="001F291B">
        <w:rPr>
          <w:rFonts w:eastAsia="Arial"/>
          <w:szCs w:val="24"/>
        </w:rPr>
        <w:t xml:space="preserve"> </w:t>
      </w:r>
    </w:p>
    <w:p w14:paraId="6041A9F4"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highlight w:val="white"/>
        </w:rPr>
        <w:t xml:space="preserve">Shibata, S., Kobayashi, K., Tanaka, M. </w:t>
      </w:r>
      <w:r w:rsidRPr="001F291B">
        <w:rPr>
          <w:rFonts w:eastAsia="Arial"/>
          <w:i/>
          <w:szCs w:val="24"/>
          <w:highlight w:val="white"/>
        </w:rPr>
        <w:t>et al.</w:t>
      </w:r>
      <w:r w:rsidRPr="001F291B">
        <w:rPr>
          <w:rFonts w:eastAsia="Arial"/>
          <w:szCs w:val="24"/>
          <w:highlight w:val="white"/>
        </w:rPr>
        <w:t xml:space="preserve"> COVID-19 pandemic and hypertension: an updated report from the Japanese Society of Hypertension project team on COVID-19. </w:t>
      </w:r>
      <w:proofErr w:type="spellStart"/>
      <w:r w:rsidRPr="001F291B">
        <w:rPr>
          <w:rFonts w:eastAsia="Arial"/>
          <w:i/>
          <w:szCs w:val="24"/>
          <w:highlight w:val="white"/>
        </w:rPr>
        <w:t>Hypertens</w:t>
      </w:r>
      <w:proofErr w:type="spellEnd"/>
      <w:r w:rsidRPr="001F291B">
        <w:rPr>
          <w:rFonts w:eastAsia="Arial"/>
          <w:i/>
          <w:szCs w:val="24"/>
          <w:highlight w:val="white"/>
        </w:rPr>
        <w:t xml:space="preserve"> Res</w:t>
      </w:r>
      <w:r w:rsidRPr="001F291B">
        <w:rPr>
          <w:rFonts w:eastAsia="Arial"/>
          <w:szCs w:val="24"/>
          <w:highlight w:val="white"/>
        </w:rPr>
        <w:t xml:space="preserve"> 46, 589–600 (2023). </w:t>
      </w:r>
      <w:hyperlink r:id="rId176">
        <w:r w:rsidRPr="001F291B">
          <w:rPr>
            <w:rFonts w:eastAsia="Arial"/>
            <w:szCs w:val="24"/>
            <w:highlight w:val="white"/>
          </w:rPr>
          <w:t>https://doi.org/10.1038/s41440-022-01134-5</w:t>
        </w:r>
      </w:hyperlink>
      <w:r w:rsidRPr="001F291B">
        <w:rPr>
          <w:rFonts w:eastAsia="Arial"/>
          <w:szCs w:val="24"/>
          <w:highlight w:val="white"/>
        </w:rPr>
        <w:t xml:space="preserve"> . Accessed from: </w:t>
      </w:r>
      <w:hyperlink r:id="rId177" w:anchor="citeas">
        <w:r w:rsidRPr="001F291B">
          <w:rPr>
            <w:rFonts w:eastAsia="Arial"/>
            <w:szCs w:val="24"/>
            <w:highlight w:val="white"/>
          </w:rPr>
          <w:t>https://www.nature.com/articles/s41440-022-01134-5#citeas</w:t>
        </w:r>
      </w:hyperlink>
      <w:r w:rsidRPr="001F291B">
        <w:rPr>
          <w:rFonts w:eastAsia="Arial"/>
          <w:szCs w:val="24"/>
          <w:highlight w:val="white"/>
        </w:rPr>
        <w:t xml:space="preserve"> </w:t>
      </w:r>
    </w:p>
    <w:p w14:paraId="5221E6EE"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Sison, O., et. al. (2019). Prevalence of Metabolic Syndrome and Cardiovascular Risk Factors among Community Health Workers in Selected Villages in the Philippines. Accessed from: </w:t>
      </w:r>
      <w:hyperlink r:id="rId178">
        <w:r w:rsidRPr="001F291B">
          <w:rPr>
            <w:rFonts w:eastAsia="Arial"/>
            <w:szCs w:val="24"/>
          </w:rPr>
          <w:t>https://asean-endocrinejournal.org/index.php/JAFES/article/view/595/html</w:t>
        </w:r>
      </w:hyperlink>
    </w:p>
    <w:p w14:paraId="79A52AE0"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proofErr w:type="spellStart"/>
      <w:r w:rsidRPr="001F291B">
        <w:rPr>
          <w:rFonts w:eastAsia="Arial"/>
          <w:szCs w:val="24"/>
          <w:highlight w:val="white"/>
        </w:rPr>
        <w:t>Skirbekk</w:t>
      </w:r>
      <w:proofErr w:type="spellEnd"/>
      <w:r w:rsidRPr="001F291B">
        <w:rPr>
          <w:rFonts w:eastAsia="Arial"/>
          <w:szCs w:val="24"/>
          <w:highlight w:val="white"/>
        </w:rPr>
        <w:t xml:space="preserve">, H., Magelssen, M. &amp; Conradsen, S. Trust in healthcare before and during the COVID-19 pandemic. </w:t>
      </w:r>
      <w:r w:rsidRPr="001F291B">
        <w:rPr>
          <w:rFonts w:eastAsia="Arial"/>
          <w:i/>
          <w:szCs w:val="24"/>
          <w:highlight w:val="white"/>
        </w:rPr>
        <w:t>BMC Public Health</w:t>
      </w:r>
      <w:r w:rsidRPr="001F291B">
        <w:rPr>
          <w:rFonts w:eastAsia="Arial"/>
          <w:szCs w:val="24"/>
          <w:highlight w:val="white"/>
        </w:rPr>
        <w:t xml:space="preserve"> 23, 863 (2023). </w:t>
      </w:r>
      <w:hyperlink r:id="rId179">
        <w:r w:rsidRPr="001F291B">
          <w:rPr>
            <w:rFonts w:eastAsia="Arial"/>
            <w:szCs w:val="24"/>
            <w:highlight w:val="white"/>
          </w:rPr>
          <w:t>https://doi.org/10.1186/s12889-023-15716-6</w:t>
        </w:r>
      </w:hyperlink>
      <w:r w:rsidRPr="001F291B">
        <w:rPr>
          <w:rFonts w:eastAsia="Arial"/>
          <w:szCs w:val="24"/>
          <w:highlight w:val="white"/>
        </w:rPr>
        <w:t xml:space="preserve"> . Accessed from: </w:t>
      </w:r>
      <w:hyperlink r:id="rId180" w:anchor="citeas">
        <w:r w:rsidRPr="001F291B">
          <w:rPr>
            <w:rFonts w:eastAsia="Arial"/>
            <w:szCs w:val="24"/>
            <w:highlight w:val="white"/>
          </w:rPr>
          <w:t>https://bmcpublichealth.biomedcentral.com/articles/10.1186/s12889-023-15716-6#citeas</w:t>
        </w:r>
      </w:hyperlink>
      <w:r w:rsidRPr="001F291B">
        <w:rPr>
          <w:rFonts w:eastAsia="Arial"/>
          <w:szCs w:val="24"/>
          <w:highlight w:val="white"/>
        </w:rPr>
        <w:t xml:space="preserve"> </w:t>
      </w:r>
    </w:p>
    <w:p w14:paraId="506ABB3A"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Sørensen, K., et. al. (2015). Health Literacy in Europe: comparative results of European health literacy survey (HLS-EU). </w:t>
      </w:r>
      <w:proofErr w:type="spellStart"/>
      <w:r w:rsidRPr="001F291B">
        <w:rPr>
          <w:rFonts w:eastAsia="Arial"/>
          <w:szCs w:val="24"/>
        </w:rPr>
        <w:t>Eur</w:t>
      </w:r>
      <w:proofErr w:type="spellEnd"/>
      <w:r w:rsidRPr="001F291B">
        <w:rPr>
          <w:rFonts w:eastAsia="Arial"/>
          <w:szCs w:val="24"/>
        </w:rPr>
        <w:t xml:space="preserve"> J Public Health. 2015 Dec;25(6):1053-8. Accessed from: </w:t>
      </w:r>
      <w:hyperlink r:id="rId181">
        <w:r w:rsidRPr="001F291B">
          <w:rPr>
            <w:rFonts w:eastAsia="Arial"/>
            <w:szCs w:val="24"/>
          </w:rPr>
          <w:t>https://pubmed.ncbi.nlm.nih.gov/25843827/</w:t>
        </w:r>
      </w:hyperlink>
      <w:r w:rsidRPr="001F291B">
        <w:rPr>
          <w:rFonts w:eastAsia="Arial"/>
          <w:szCs w:val="24"/>
        </w:rPr>
        <w:t xml:space="preserve"> </w:t>
      </w:r>
    </w:p>
    <w:p w14:paraId="299D709F"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lastRenderedPageBreak/>
        <w:t xml:space="preserve">Sousa, V.D., et. al. (2007). An overview of research designs relevant to nursing: Part 1: quantitative research designs. Rev. Latino-Am. Enfermagem 15 (3). June 2007. Accessed from: </w:t>
      </w:r>
      <w:hyperlink r:id="rId182">
        <w:r w:rsidRPr="001F291B">
          <w:rPr>
            <w:rFonts w:eastAsia="Arial"/>
            <w:szCs w:val="24"/>
          </w:rPr>
          <w:t>https://doi.org/10.1590/S0104-11692007000300022</w:t>
        </w:r>
      </w:hyperlink>
      <w:r w:rsidRPr="001F291B">
        <w:rPr>
          <w:rFonts w:eastAsia="Arial"/>
          <w:szCs w:val="24"/>
        </w:rPr>
        <w:t xml:space="preserve"> </w:t>
      </w:r>
    </w:p>
    <w:p w14:paraId="17F6415B"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Stephanie Watson (2022). Coronavirus and High Blood Pressure: What’s the link. December 27, 2022. Accessed from: </w:t>
      </w:r>
      <w:hyperlink r:id="rId183" w:anchor=":~:text=Coronavirus%20can%20also%20damage%20the,for%20the%20heart%20to%20pump">
        <w:r w:rsidRPr="001F291B">
          <w:rPr>
            <w:rFonts w:eastAsia="Arial"/>
            <w:szCs w:val="24"/>
          </w:rPr>
          <w:t>https://www.webmd.com/covid/coronavirus-high-blood-pressure#:~:text=Coronavirus%20can%20also%20damage%20the,for%20the%20heart%20to%20pump</w:t>
        </w:r>
      </w:hyperlink>
      <w:r w:rsidRPr="001F291B">
        <w:rPr>
          <w:rFonts w:eastAsia="Arial"/>
          <w:szCs w:val="24"/>
        </w:rPr>
        <w:t xml:space="preserve">. </w:t>
      </w:r>
    </w:p>
    <w:p w14:paraId="5D35FF5F"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SPSS Tutorials, 2022. SPSS Shapiro-Wilk Test – Quick Tutorial with Example. Accessed from: </w:t>
      </w:r>
      <w:hyperlink r:id="rId184">
        <w:r w:rsidRPr="001F291B">
          <w:rPr>
            <w:rFonts w:eastAsia="Arial"/>
            <w:szCs w:val="24"/>
          </w:rPr>
          <w:t>SPSS Shapiro-Wilk Test - Quick Tutorial with Example (spss-tutorials.com)</w:t>
        </w:r>
      </w:hyperlink>
      <w:r w:rsidRPr="001F291B">
        <w:rPr>
          <w:rFonts w:eastAsia="Arial"/>
          <w:szCs w:val="24"/>
        </w:rPr>
        <w:t xml:space="preserve"> </w:t>
      </w:r>
    </w:p>
    <w:p w14:paraId="7B92CC01"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Statista (2023). Philippines: Age structure from 2011 to 2021. Accessed from: </w:t>
      </w:r>
      <w:hyperlink r:id="rId185">
        <w:r w:rsidRPr="001F291B">
          <w:rPr>
            <w:rFonts w:eastAsia="Arial"/>
            <w:szCs w:val="24"/>
          </w:rPr>
          <w:t>https://www.statista.com/statistics/578779/age-structure-in-philippines/</w:t>
        </w:r>
      </w:hyperlink>
      <w:r w:rsidRPr="001F291B">
        <w:rPr>
          <w:rFonts w:eastAsia="Arial"/>
          <w:szCs w:val="24"/>
        </w:rPr>
        <w:t xml:space="preserve"> </w:t>
      </w:r>
    </w:p>
    <w:p w14:paraId="49A9432A"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Sun K, et.al., 2021. Association of educational levels with the risk of hypertension and hypertension control: a nationwide cohort study in Chinese adults. Accessed from: </w:t>
      </w:r>
      <w:hyperlink r:id="rId186">
        <w:r w:rsidRPr="001F291B">
          <w:rPr>
            <w:rFonts w:eastAsia="Arial"/>
            <w:szCs w:val="24"/>
          </w:rPr>
          <w:t>https://jech.bmj.com/content/jech/76/5/451.full.pdf</w:t>
        </w:r>
      </w:hyperlink>
      <w:r w:rsidRPr="001F291B">
        <w:rPr>
          <w:rFonts w:eastAsia="Arial"/>
          <w:szCs w:val="24"/>
        </w:rPr>
        <w:t xml:space="preserve"> </w:t>
      </w:r>
    </w:p>
    <w:p w14:paraId="7D828562"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highlight w:val="white"/>
        </w:rPr>
      </w:pPr>
      <w:r w:rsidRPr="001F291B">
        <w:rPr>
          <w:rFonts w:eastAsia="Arial"/>
          <w:szCs w:val="24"/>
        </w:rPr>
        <w:t xml:space="preserve">The Economist Intelligence Unit Limited 2021 (The Economist, 2021). Health Literacy around the world: policy approaches to wellbeing through knowledge and empowerment. Accessed from: </w:t>
      </w:r>
      <w:hyperlink r:id="rId187">
        <w:r w:rsidRPr="001F291B">
          <w:rPr>
            <w:rFonts w:eastAsia="Arial"/>
            <w:szCs w:val="24"/>
          </w:rPr>
          <w:t>https://impact.economist.com/perspectives/sites/default/files/lon_-_es_-_health_literacy_paper_v8_0.pdf</w:t>
        </w:r>
      </w:hyperlink>
      <w:r w:rsidRPr="001F291B">
        <w:rPr>
          <w:rFonts w:eastAsia="Arial"/>
          <w:szCs w:val="24"/>
        </w:rPr>
        <w:t xml:space="preserve"> </w:t>
      </w:r>
    </w:p>
    <w:p w14:paraId="13440CB8"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highlight w:val="white"/>
        </w:rPr>
        <w:t xml:space="preserve">Tilahun D, Gezahegn A, </w:t>
      </w:r>
      <w:proofErr w:type="spellStart"/>
      <w:r w:rsidRPr="001F291B">
        <w:rPr>
          <w:rFonts w:eastAsia="Arial"/>
          <w:szCs w:val="24"/>
          <w:highlight w:val="white"/>
        </w:rPr>
        <w:t>Tegenu</w:t>
      </w:r>
      <w:proofErr w:type="spellEnd"/>
      <w:r w:rsidRPr="001F291B">
        <w:rPr>
          <w:rFonts w:eastAsia="Arial"/>
          <w:szCs w:val="24"/>
          <w:highlight w:val="white"/>
        </w:rPr>
        <w:t xml:space="preserve"> K, Fenta B. Functional Health Literacy in Patients with Cardiovascular Diseases: Cross-Sectional Study in Ethiopia. Int J Gen Med. 2021 May 19; 14:1967-1974. </w:t>
      </w:r>
      <w:proofErr w:type="spellStart"/>
      <w:r w:rsidRPr="001F291B">
        <w:rPr>
          <w:rFonts w:eastAsia="Arial"/>
          <w:szCs w:val="24"/>
          <w:highlight w:val="white"/>
        </w:rPr>
        <w:t>doi</w:t>
      </w:r>
      <w:proofErr w:type="spellEnd"/>
      <w:r w:rsidRPr="001F291B">
        <w:rPr>
          <w:rFonts w:eastAsia="Arial"/>
          <w:szCs w:val="24"/>
          <w:highlight w:val="white"/>
        </w:rPr>
        <w:t xml:space="preserve">: 10.2147/IJGM.S304007. PMID: 34040428; PMCID: PMC8141385. Accessed from: </w:t>
      </w:r>
      <w:hyperlink r:id="rId188">
        <w:r w:rsidRPr="001F291B">
          <w:rPr>
            <w:rFonts w:eastAsia="Arial"/>
            <w:szCs w:val="24"/>
            <w:highlight w:val="white"/>
          </w:rPr>
          <w:t>https://www.ncbi.nlm.nih.gov/pmc/articles/PMC8141385/</w:t>
        </w:r>
      </w:hyperlink>
      <w:r w:rsidRPr="001F291B">
        <w:rPr>
          <w:rFonts w:eastAsia="Arial"/>
          <w:szCs w:val="24"/>
          <w:highlight w:val="white"/>
        </w:rPr>
        <w:t xml:space="preserve"> </w:t>
      </w:r>
    </w:p>
    <w:p w14:paraId="34A8BC19"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highlight w:val="white"/>
        </w:rPr>
        <w:t xml:space="preserve">Tilahun, D., Abera, A. &amp; </w:t>
      </w:r>
      <w:proofErr w:type="spellStart"/>
      <w:r w:rsidRPr="001F291B">
        <w:rPr>
          <w:rFonts w:eastAsia="Arial"/>
          <w:szCs w:val="24"/>
          <w:highlight w:val="white"/>
        </w:rPr>
        <w:t>Nemera</w:t>
      </w:r>
      <w:proofErr w:type="spellEnd"/>
      <w:r w:rsidRPr="001F291B">
        <w:rPr>
          <w:rFonts w:eastAsia="Arial"/>
          <w:szCs w:val="24"/>
          <w:highlight w:val="white"/>
        </w:rPr>
        <w:t xml:space="preserve">, G. Communicative health literacy in patients with non-communicable diseases in Ethiopia: a cross-sectional study. </w:t>
      </w:r>
      <w:r w:rsidRPr="001F291B">
        <w:rPr>
          <w:rFonts w:eastAsia="Arial"/>
          <w:i/>
          <w:szCs w:val="24"/>
          <w:highlight w:val="white"/>
        </w:rPr>
        <w:t>Trop Med Health</w:t>
      </w:r>
      <w:r w:rsidRPr="001F291B">
        <w:rPr>
          <w:rFonts w:eastAsia="Arial"/>
          <w:szCs w:val="24"/>
          <w:highlight w:val="white"/>
        </w:rPr>
        <w:t xml:space="preserve"> 49, 57 (2021). https://doi.org/10.1186/s41182-021-00345-9</w:t>
      </w:r>
    </w:p>
    <w:p w14:paraId="4844C8F9"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highlight w:val="white"/>
        </w:rPr>
      </w:pPr>
      <w:r w:rsidRPr="001F291B">
        <w:rPr>
          <w:rFonts w:eastAsia="Arial"/>
          <w:szCs w:val="24"/>
        </w:rPr>
        <w:t xml:space="preserve">Tiller, D., Herzog, B., </w:t>
      </w:r>
      <w:proofErr w:type="spellStart"/>
      <w:r w:rsidRPr="001F291B">
        <w:rPr>
          <w:rFonts w:eastAsia="Arial"/>
          <w:szCs w:val="24"/>
        </w:rPr>
        <w:t>Kluttig</w:t>
      </w:r>
      <w:proofErr w:type="spellEnd"/>
      <w:r w:rsidRPr="001F291B">
        <w:rPr>
          <w:rFonts w:eastAsia="Arial"/>
          <w:szCs w:val="24"/>
        </w:rPr>
        <w:t xml:space="preserve">, A. </w:t>
      </w:r>
      <w:r w:rsidRPr="001F291B">
        <w:rPr>
          <w:rFonts w:eastAsia="Arial"/>
          <w:i/>
          <w:szCs w:val="24"/>
        </w:rPr>
        <w:t xml:space="preserve">et al., </w:t>
      </w:r>
      <w:r w:rsidRPr="001F291B">
        <w:rPr>
          <w:rFonts w:eastAsia="Arial"/>
          <w:szCs w:val="24"/>
        </w:rPr>
        <w:t xml:space="preserve">2015. Health literacy in an urban elderly East-German population – results from the population-based CARLA study. </w:t>
      </w:r>
      <w:r w:rsidRPr="001F291B">
        <w:rPr>
          <w:rFonts w:eastAsia="Arial"/>
          <w:i/>
          <w:szCs w:val="24"/>
        </w:rPr>
        <w:t>BMC Public Health</w:t>
      </w:r>
      <w:r w:rsidRPr="001F291B">
        <w:rPr>
          <w:rFonts w:eastAsia="Arial"/>
          <w:szCs w:val="24"/>
        </w:rPr>
        <w:t xml:space="preserve"> </w:t>
      </w:r>
      <w:r w:rsidRPr="001F291B">
        <w:rPr>
          <w:rFonts w:eastAsia="Arial"/>
          <w:b/>
          <w:szCs w:val="24"/>
        </w:rPr>
        <w:t xml:space="preserve">15, </w:t>
      </w:r>
      <w:r w:rsidRPr="001F291B">
        <w:rPr>
          <w:rFonts w:eastAsia="Arial"/>
          <w:szCs w:val="24"/>
        </w:rPr>
        <w:t xml:space="preserve">883 (2015) doi:10.1186/s12889-015-2210-7. Accessed from: </w:t>
      </w:r>
      <w:hyperlink r:id="rId189">
        <w:r w:rsidRPr="001F291B">
          <w:rPr>
            <w:rFonts w:eastAsia="Arial"/>
            <w:szCs w:val="24"/>
          </w:rPr>
          <w:t>https://bmcpublichealth.biomedcentral.com/articles/10.1186/s12889-015-2210-7</w:t>
        </w:r>
      </w:hyperlink>
      <w:r w:rsidRPr="001F291B">
        <w:rPr>
          <w:rFonts w:eastAsia="Arial"/>
          <w:szCs w:val="24"/>
        </w:rPr>
        <w:t xml:space="preserve"> </w:t>
      </w:r>
    </w:p>
    <w:p w14:paraId="11DED3A6"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highlight w:val="white"/>
        </w:rPr>
      </w:pPr>
      <w:proofErr w:type="spellStart"/>
      <w:r w:rsidRPr="001F291B">
        <w:rPr>
          <w:rFonts w:eastAsia="Arial"/>
          <w:szCs w:val="24"/>
          <w:highlight w:val="white"/>
        </w:rPr>
        <w:t>Tolabing</w:t>
      </w:r>
      <w:proofErr w:type="spellEnd"/>
      <w:r w:rsidRPr="001F291B">
        <w:rPr>
          <w:rFonts w:eastAsia="Arial"/>
          <w:szCs w:val="24"/>
          <w:highlight w:val="white"/>
        </w:rPr>
        <w:t xml:space="preserve">, M.C.C., et.al. (2022). Prevalence of Limited Health Literacy in the Philippines: First National Survey. Health Lit Res </w:t>
      </w:r>
      <w:proofErr w:type="spellStart"/>
      <w:r w:rsidRPr="001F291B">
        <w:rPr>
          <w:rFonts w:eastAsia="Arial"/>
          <w:szCs w:val="24"/>
          <w:highlight w:val="white"/>
        </w:rPr>
        <w:t>Pract</w:t>
      </w:r>
      <w:proofErr w:type="spellEnd"/>
      <w:r w:rsidRPr="001F291B">
        <w:rPr>
          <w:rFonts w:eastAsia="Arial"/>
          <w:szCs w:val="24"/>
          <w:highlight w:val="white"/>
        </w:rPr>
        <w:t xml:space="preserve">. 2022 Apr; 6(2): e104-e112. Published online 2022 May 6. </w:t>
      </w:r>
      <w:proofErr w:type="spellStart"/>
      <w:r w:rsidRPr="001F291B">
        <w:rPr>
          <w:rFonts w:eastAsia="Arial"/>
          <w:szCs w:val="24"/>
          <w:highlight w:val="white"/>
        </w:rPr>
        <w:t>doi</w:t>
      </w:r>
      <w:proofErr w:type="spellEnd"/>
      <w:r w:rsidRPr="001F291B">
        <w:rPr>
          <w:rFonts w:eastAsia="Arial"/>
          <w:szCs w:val="24"/>
          <w:highlight w:val="white"/>
        </w:rPr>
        <w:t xml:space="preserve">: </w:t>
      </w:r>
      <w:hyperlink r:id="rId190">
        <w:r w:rsidRPr="001F291B">
          <w:rPr>
            <w:rFonts w:eastAsia="Arial"/>
            <w:szCs w:val="24"/>
            <w:highlight w:val="white"/>
          </w:rPr>
          <w:t>10.3928/24748307-20220419-01</w:t>
        </w:r>
      </w:hyperlink>
      <w:r w:rsidRPr="001F291B">
        <w:rPr>
          <w:rFonts w:eastAsia="Arial"/>
          <w:szCs w:val="24"/>
          <w:highlight w:val="white"/>
        </w:rPr>
        <w:t xml:space="preserve"> Accessed from: </w:t>
      </w:r>
      <w:hyperlink r:id="rId191">
        <w:r w:rsidRPr="001F291B">
          <w:rPr>
            <w:rFonts w:eastAsia="Arial"/>
            <w:szCs w:val="24"/>
            <w:highlight w:val="white"/>
          </w:rPr>
          <w:t>https://www.ncbi.nlm.nih.gov/pmc/articles/PMC9126056/</w:t>
        </w:r>
      </w:hyperlink>
      <w:r w:rsidRPr="001F291B">
        <w:rPr>
          <w:rFonts w:eastAsia="Arial"/>
          <w:szCs w:val="24"/>
          <w:highlight w:val="white"/>
        </w:rPr>
        <w:t xml:space="preserve"> </w:t>
      </w:r>
    </w:p>
    <w:p w14:paraId="2C6A3CF4"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highlight w:val="white"/>
        </w:rPr>
        <w:t xml:space="preserve">Tortosa, X.B. (2021). Why does a confidence interval including 0 mean the difference is not significant?, URL (version: 2021-05-04): </w:t>
      </w:r>
      <w:hyperlink r:id="rId192">
        <w:r w:rsidRPr="001F291B">
          <w:rPr>
            <w:rFonts w:eastAsia="Arial"/>
            <w:szCs w:val="24"/>
            <w:highlight w:val="white"/>
          </w:rPr>
          <w:t>https://stats.stackexchange.com/q/410154</w:t>
        </w:r>
      </w:hyperlink>
      <w:r w:rsidRPr="001F291B">
        <w:rPr>
          <w:rFonts w:eastAsia="Arial"/>
          <w:szCs w:val="24"/>
          <w:highlight w:val="white"/>
        </w:rPr>
        <w:t xml:space="preserve"> ; </w:t>
      </w:r>
      <w:hyperlink r:id="rId193">
        <w:r w:rsidRPr="001F291B">
          <w:rPr>
            <w:rFonts w:eastAsia="Arial"/>
            <w:szCs w:val="24"/>
            <w:highlight w:val="white"/>
          </w:rPr>
          <w:t>https://stats.stackexchange.com/users/249106/xisco-bernal-tortosa</w:t>
        </w:r>
      </w:hyperlink>
      <w:r w:rsidRPr="001F291B">
        <w:rPr>
          <w:rFonts w:eastAsia="Arial"/>
          <w:szCs w:val="24"/>
          <w:highlight w:val="white"/>
        </w:rPr>
        <w:t xml:space="preserve"> </w:t>
      </w:r>
    </w:p>
    <w:p w14:paraId="02B13895"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lastRenderedPageBreak/>
        <w:t xml:space="preserve">Tully, M.A., et al. (2021). The effect of different COVID-19 public health restrictions on mobility: A systematic review. PLOS ONE. Published: December 8, 2021. </w:t>
      </w:r>
      <w:hyperlink r:id="rId194">
        <w:r w:rsidRPr="001F291B">
          <w:rPr>
            <w:rFonts w:eastAsia="Arial"/>
            <w:szCs w:val="24"/>
          </w:rPr>
          <w:t>https://doi.org/10.1371/journal.pone.0260919</w:t>
        </w:r>
      </w:hyperlink>
      <w:r w:rsidRPr="001F291B">
        <w:rPr>
          <w:rFonts w:eastAsia="Arial"/>
          <w:szCs w:val="24"/>
        </w:rPr>
        <w:t xml:space="preserve"> </w:t>
      </w:r>
    </w:p>
    <w:p w14:paraId="63D45ABC"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Unger, T., et. al. (2020). 2020 International Society of Hypertension Global Hypertension Practice Guidelines. Accessed from: </w:t>
      </w:r>
      <w:hyperlink r:id="rId195" w:anchor="d1e2437">
        <w:r w:rsidRPr="001F291B">
          <w:rPr>
            <w:rFonts w:eastAsia="Arial"/>
            <w:szCs w:val="24"/>
          </w:rPr>
          <w:t>https://www.ahajournals.org/doi/10.1161/HYPERTENSIONAHA.120.15026#d1e2437</w:t>
        </w:r>
      </w:hyperlink>
      <w:r w:rsidRPr="001F291B">
        <w:rPr>
          <w:rFonts w:eastAsia="Arial"/>
          <w:szCs w:val="24"/>
        </w:rPr>
        <w:t xml:space="preserve"> </w:t>
      </w:r>
    </w:p>
    <w:p w14:paraId="64A9B763"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highlight w:val="white"/>
        </w:rPr>
        <w:t>UnitedHealth Group (2020). Improving health literacy could prevent nearly 1 million hospital visits and save over $25 billion a year. Health Literacy Brief. Accessed from:</w:t>
      </w:r>
      <w:hyperlink r:id="rId196">
        <w:r w:rsidRPr="001F291B">
          <w:rPr>
            <w:rFonts w:eastAsia="Arial"/>
            <w:szCs w:val="24"/>
            <w:highlight w:val="white"/>
          </w:rPr>
          <w:t xml:space="preserve"> https://www.unitedhealthgroup.com/content/dam/UHG/PDF/About/Health-Literacy-Brief.pdf</w:t>
        </w:r>
      </w:hyperlink>
    </w:p>
    <w:p w14:paraId="5DED40AE"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United Nations (UN), 2015. The Millennium Development Goals Report 2015. Accessed from: </w:t>
      </w:r>
      <w:hyperlink r:id="rId197">
        <w:r w:rsidRPr="001F291B">
          <w:rPr>
            <w:rFonts w:eastAsia="Arial"/>
            <w:szCs w:val="24"/>
          </w:rPr>
          <w:t>https://www.un.org/millenniumgoals/2015_MDG_Report/pdf/MDG%202015%20rev%20(July%201).pdf</w:t>
        </w:r>
      </w:hyperlink>
      <w:r w:rsidRPr="001F291B">
        <w:rPr>
          <w:rFonts w:eastAsia="Arial"/>
          <w:szCs w:val="24"/>
        </w:rPr>
        <w:t xml:space="preserve"> </w:t>
      </w:r>
    </w:p>
    <w:p w14:paraId="71D74CBE"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United Nations (UN, n.d.). World Urbanization Prospects 2018: Data Query. Annual Urban Population at Mid-Year (thousands). Accessed from: </w:t>
      </w:r>
      <w:hyperlink r:id="rId198">
        <w:r w:rsidRPr="001F291B">
          <w:rPr>
            <w:rFonts w:eastAsia="Arial"/>
            <w:szCs w:val="24"/>
          </w:rPr>
          <w:t>https://population.un.org/wup/DataQuery/</w:t>
        </w:r>
      </w:hyperlink>
      <w:r w:rsidRPr="001F291B">
        <w:rPr>
          <w:rFonts w:eastAsia="Arial"/>
          <w:szCs w:val="24"/>
        </w:rPr>
        <w:t xml:space="preserve"> </w:t>
      </w:r>
      <w:r w:rsidRPr="001F291B">
        <w:rPr>
          <w:rFonts w:eastAsia="Arial"/>
          <w:szCs w:val="24"/>
        </w:rPr>
        <w:tab/>
      </w:r>
    </w:p>
    <w:p w14:paraId="6BA806B0"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United Nations Human Settlements </w:t>
      </w:r>
      <w:proofErr w:type="spellStart"/>
      <w:r w:rsidRPr="001F291B">
        <w:rPr>
          <w:rFonts w:eastAsia="Arial"/>
          <w:szCs w:val="24"/>
        </w:rPr>
        <w:t>Programme</w:t>
      </w:r>
      <w:proofErr w:type="spellEnd"/>
      <w:r w:rsidRPr="001F291B">
        <w:rPr>
          <w:rFonts w:eastAsia="Arial"/>
          <w:szCs w:val="24"/>
        </w:rPr>
        <w:t xml:space="preserve"> (UN-HABITAT). Philippines. Accessed from </w:t>
      </w:r>
      <w:hyperlink r:id="rId199" w:anchor=":~:text=Urban%20numbers&amp;text=Level%20of%20urbanization%20grew%20from,informal%20settler%20families%20(ISFs)">
        <w:r w:rsidRPr="001F291B">
          <w:rPr>
            <w:rFonts w:eastAsia="Arial"/>
            <w:szCs w:val="24"/>
          </w:rPr>
          <w:t>https://unhabitat.org/philippines#:~:text=Urban%20numbers&amp;text=Level%20of%20urbanization%20grew%20from,informal%20settler%20families%20(ISFs)</w:t>
        </w:r>
      </w:hyperlink>
      <w:r w:rsidRPr="001F291B">
        <w:rPr>
          <w:rFonts w:eastAsia="Arial"/>
          <w:szCs w:val="24"/>
        </w:rPr>
        <w:t xml:space="preserve">. </w:t>
      </w:r>
    </w:p>
    <w:p w14:paraId="28157CE8"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United Nations Development Program (UNDP, 2018). Goal 11: Sustainable cities and communities. Retrieved from: </w:t>
      </w:r>
      <w:hyperlink r:id="rId200">
        <w:r w:rsidRPr="001F291B">
          <w:rPr>
            <w:rFonts w:eastAsia="Arial"/>
            <w:szCs w:val="24"/>
          </w:rPr>
          <w:t>http://www.undp.org/content/undp/en/home/sustainable-development-goals/goal-11-sustainable-cities-and-communities.html</w:t>
        </w:r>
      </w:hyperlink>
    </w:p>
    <w:p w14:paraId="5B65AA92"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highlight w:val="white"/>
        </w:rPr>
        <w:t xml:space="preserve">Nandi Joubert, Cheryl Walter, Rosa du Randt, Ann Aerts, Larissa Adams, Jan Degen, Stefanie Gall, Ivan Müller, Madeleine Nienaber, Siphesihle </w:t>
      </w:r>
      <w:proofErr w:type="spellStart"/>
      <w:r w:rsidRPr="001F291B">
        <w:rPr>
          <w:rFonts w:eastAsia="Arial"/>
          <w:szCs w:val="24"/>
          <w:highlight w:val="white"/>
        </w:rPr>
        <w:t>Nqweniso</w:t>
      </w:r>
      <w:proofErr w:type="spellEnd"/>
      <w:r w:rsidRPr="001F291B">
        <w:rPr>
          <w:rFonts w:eastAsia="Arial"/>
          <w:szCs w:val="24"/>
          <w:highlight w:val="white"/>
        </w:rPr>
        <w:t xml:space="preserve">, Sarah des </w:t>
      </w:r>
      <w:proofErr w:type="spellStart"/>
      <w:r w:rsidRPr="001F291B">
        <w:rPr>
          <w:rFonts w:eastAsia="Arial"/>
          <w:szCs w:val="24"/>
          <w:highlight w:val="white"/>
        </w:rPr>
        <w:t>Rosiers</w:t>
      </w:r>
      <w:proofErr w:type="spellEnd"/>
      <w:r w:rsidRPr="001F291B">
        <w:rPr>
          <w:rFonts w:eastAsia="Arial"/>
          <w:szCs w:val="24"/>
          <w:highlight w:val="white"/>
        </w:rPr>
        <w:t xml:space="preserve">, Harald Seelig, Danielle Smith, Peter Steinmann, Nicole Probst-Hensch, Jürg Utzinger, Uwe </w:t>
      </w:r>
      <w:proofErr w:type="spellStart"/>
      <w:r w:rsidRPr="001F291B">
        <w:rPr>
          <w:rFonts w:eastAsia="Arial"/>
          <w:szCs w:val="24"/>
          <w:highlight w:val="white"/>
        </w:rPr>
        <w:t>Pühse</w:t>
      </w:r>
      <w:proofErr w:type="spellEnd"/>
      <w:r w:rsidRPr="001F291B">
        <w:rPr>
          <w:rFonts w:eastAsia="Arial"/>
          <w:szCs w:val="24"/>
          <w:highlight w:val="white"/>
        </w:rPr>
        <w:t xml:space="preserve"> &amp; Markus Gerber (2021) Hypertension among South African children in disadvantaged areas and associations with physical activity, fitness, and cardiovascular risk markers: A cross-sectional study, Journal of Sports Sciences, 39:21, 2454-2467, DOI: </w:t>
      </w:r>
      <w:hyperlink r:id="rId201">
        <w:r w:rsidRPr="001F291B">
          <w:rPr>
            <w:rFonts w:eastAsia="Arial"/>
            <w:szCs w:val="24"/>
            <w:highlight w:val="white"/>
          </w:rPr>
          <w:t>10.1080/02640414.2021.1939964</w:t>
        </w:r>
      </w:hyperlink>
    </w:p>
    <w:p w14:paraId="664D7828"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Wang, G., et al., 2017. Conducting Research on the Economics of Hypertension to Improve Cardiovascular Health. Am J Prev Med. 2017 Dec; 53(6 Suppl 2): S115-S117. Accessed from: </w:t>
      </w:r>
      <w:hyperlink r:id="rId202">
        <w:r w:rsidRPr="001F291B">
          <w:rPr>
            <w:rFonts w:eastAsia="Arial"/>
            <w:szCs w:val="24"/>
          </w:rPr>
          <w:t>https://www.ncbi.nlm.nih.gov/pmc/articles/PMC5808538/</w:t>
        </w:r>
      </w:hyperlink>
    </w:p>
    <w:p w14:paraId="45077D8F"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 Wang J, Sun W, Wells GA, Li Z, Li T, Wu J, et al. (2018) Differences in prevalence of hypertension and associated risk factors in urban and rural residents of the northeastern region of the People’s Republic of China: A cross-sectional study. </w:t>
      </w:r>
      <w:proofErr w:type="spellStart"/>
      <w:r w:rsidRPr="001F291B">
        <w:rPr>
          <w:rFonts w:eastAsia="Arial"/>
          <w:szCs w:val="24"/>
        </w:rPr>
        <w:t>PLoS</w:t>
      </w:r>
      <w:proofErr w:type="spellEnd"/>
      <w:r w:rsidRPr="001F291B">
        <w:rPr>
          <w:rFonts w:eastAsia="Arial"/>
          <w:szCs w:val="24"/>
        </w:rPr>
        <w:t xml:space="preserve"> ONE 13(4): e0195340. </w:t>
      </w:r>
      <w:hyperlink r:id="rId203">
        <w:r w:rsidRPr="001F291B">
          <w:rPr>
            <w:rFonts w:eastAsia="Arial"/>
            <w:szCs w:val="24"/>
          </w:rPr>
          <w:t>https://doi.org/10.1371/journal.pone.0195340</w:t>
        </w:r>
      </w:hyperlink>
      <w:r w:rsidRPr="001F291B">
        <w:rPr>
          <w:rFonts w:eastAsia="Arial"/>
          <w:szCs w:val="24"/>
        </w:rPr>
        <w:t xml:space="preserve"> . Accessed from: </w:t>
      </w:r>
      <w:hyperlink r:id="rId204">
        <w:r w:rsidRPr="001F291B">
          <w:rPr>
            <w:rFonts w:eastAsia="Arial"/>
            <w:szCs w:val="24"/>
          </w:rPr>
          <w:t>https://journals.plos.org/plosone/article?id=10.1371/journal.pone.0195340</w:t>
        </w:r>
      </w:hyperlink>
      <w:r w:rsidRPr="001F291B">
        <w:rPr>
          <w:rFonts w:eastAsia="Arial"/>
          <w:szCs w:val="24"/>
        </w:rPr>
        <w:t xml:space="preserve"> </w:t>
      </w:r>
    </w:p>
    <w:p w14:paraId="4B68A76C"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lastRenderedPageBreak/>
        <w:t xml:space="preserve">William, M.V., </w:t>
      </w:r>
      <w:r w:rsidRPr="001F291B">
        <w:rPr>
          <w:rFonts w:eastAsia="Arial"/>
          <w:i/>
          <w:szCs w:val="24"/>
        </w:rPr>
        <w:t>et. al.</w:t>
      </w:r>
      <w:r w:rsidRPr="001F291B">
        <w:rPr>
          <w:rFonts w:eastAsia="Arial"/>
          <w:szCs w:val="24"/>
        </w:rPr>
        <w:t xml:space="preserve"> (1998). Relationship of Functional Health Literacy to Patient’s Knowledge of their Chronic Disease: A study of patients with hypertension and diabetes. Arch Intern Med. 1998;158(2):166-172. Accessed from: </w:t>
      </w:r>
      <w:hyperlink r:id="rId205">
        <w:r w:rsidRPr="001F291B">
          <w:rPr>
            <w:rFonts w:eastAsia="Arial"/>
            <w:szCs w:val="24"/>
          </w:rPr>
          <w:t>https://jamanetwork.com/journals/jamainternalmedicine/fullarticle/191123</w:t>
        </w:r>
      </w:hyperlink>
      <w:r w:rsidRPr="001F291B">
        <w:rPr>
          <w:rFonts w:eastAsia="Arial"/>
          <w:szCs w:val="24"/>
        </w:rPr>
        <w:t xml:space="preserve"> </w:t>
      </w:r>
    </w:p>
    <w:p w14:paraId="08EBB739"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World Health Organization (WHO, n.d.). Noncommunicable diseases global monitoring framework: Indicators Definitions and Specification (p. 2). Retrieved from: </w:t>
      </w:r>
      <w:hyperlink r:id="rId206">
        <w:r w:rsidRPr="001F291B">
          <w:rPr>
            <w:rFonts w:eastAsia="Arial"/>
            <w:szCs w:val="24"/>
          </w:rPr>
          <w:t>https://www.who.int/nmh/ncd-tools/indicators/GMF_Indicator_Definitions_Version_NOV2014.pdf</w:t>
        </w:r>
      </w:hyperlink>
    </w:p>
    <w:p w14:paraId="55E0C924"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World Health Organization (WHO, n.d.). Health topics: Hypertension. Accessed from: </w:t>
      </w:r>
      <w:hyperlink r:id="rId207">
        <w:r w:rsidRPr="001F291B">
          <w:rPr>
            <w:rFonts w:eastAsia="Arial"/>
            <w:szCs w:val="24"/>
          </w:rPr>
          <w:t>https://www.who.int/health-topics/hypertension/</w:t>
        </w:r>
      </w:hyperlink>
      <w:r w:rsidRPr="001F291B">
        <w:rPr>
          <w:rFonts w:eastAsia="Arial"/>
          <w:szCs w:val="24"/>
        </w:rPr>
        <w:t xml:space="preserve"> </w:t>
      </w:r>
    </w:p>
    <w:p w14:paraId="2B915634"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World Health Organization (WHO, 1998). Health Promotion Glossary, p.10. Retrieved from: </w:t>
      </w:r>
      <w:hyperlink r:id="rId208">
        <w:r w:rsidRPr="001F291B">
          <w:rPr>
            <w:rFonts w:eastAsia="Arial"/>
            <w:szCs w:val="24"/>
          </w:rPr>
          <w:t>https://www.who.int/healthpromotion/about/HPR%20Glossary%201998.pdf?ua=1</w:t>
        </w:r>
      </w:hyperlink>
    </w:p>
    <w:p w14:paraId="01A4C07E" w14:textId="7BADF719"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World Health Organization and Department of Health (WHO and DOH, 2009). A Training Manual for Health Workers on Healthy Lifestyle: An approach for the Prevention and Control of Noncommunicable Diseases. Accessed from: </w:t>
      </w:r>
      <w:hyperlink r:id="rId209">
        <w:r w:rsidRPr="001F291B">
          <w:rPr>
            <w:rFonts w:eastAsia="Arial"/>
            <w:szCs w:val="24"/>
          </w:rPr>
          <w:t>https://healthworkerpreparedness.files.wordpress.com/2015/05/trainersguide.pdf</w:t>
        </w:r>
      </w:hyperlink>
    </w:p>
    <w:p w14:paraId="5D24C8F6" w14:textId="11F83FA2" w:rsidR="005C6D2F"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World Health Organization (WHO, 2009). Global health risks: mortality and burden of disease attributable to selected major risks. Retrieved from: </w:t>
      </w:r>
      <w:hyperlink r:id="rId210">
        <w:r w:rsidRPr="001F291B">
          <w:rPr>
            <w:rFonts w:eastAsia="Arial"/>
            <w:szCs w:val="24"/>
          </w:rPr>
          <w:t>https://www.who.int/healthinfo/global_burden_disease/GlobalHealthRisks_report_full.pdf?ua=1&amp;ua=1</w:t>
        </w:r>
      </w:hyperlink>
      <w:r w:rsidRPr="001F291B">
        <w:rPr>
          <w:rFonts w:eastAsia="Arial"/>
          <w:szCs w:val="24"/>
        </w:rPr>
        <w:t xml:space="preserve"> </w:t>
      </w:r>
    </w:p>
    <w:p w14:paraId="508098AA" w14:textId="1208229E"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World Health Organization (WHO, 2010). Urban HEART: Urban Health Equity Assessment and Response Toolkit User Manual. Accessed from: </w:t>
      </w:r>
      <w:hyperlink r:id="rId211">
        <w:r w:rsidRPr="001F291B">
          <w:rPr>
            <w:rFonts w:eastAsia="Arial"/>
            <w:szCs w:val="24"/>
          </w:rPr>
          <w:t>https://apps.who.int/iris/bitstream/handle/10665/79061/9789241500784_eng.pdf?sequence=1&amp;isAllowed=y</w:t>
        </w:r>
      </w:hyperlink>
    </w:p>
    <w:p w14:paraId="706DA016"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World Health Organization (2011). Manual on the PEN Protocol on the Integrated Management of Hypertension and Diabetes. Municipality of Pateros. Accessed from: </w:t>
      </w:r>
      <w:hyperlink r:id="rId212">
        <w:r w:rsidRPr="001F291B">
          <w:rPr>
            <w:rFonts w:eastAsia="Arial"/>
            <w:szCs w:val="24"/>
          </w:rPr>
          <w:t>https://www.who.int/ncds/management/Manual_of_Procedures_on_WHO_PEN_PHL.pdf</w:t>
        </w:r>
      </w:hyperlink>
      <w:r w:rsidRPr="001F291B">
        <w:rPr>
          <w:rFonts w:eastAsia="Arial"/>
          <w:szCs w:val="24"/>
        </w:rPr>
        <w:t xml:space="preserve"> </w:t>
      </w:r>
    </w:p>
    <w:p w14:paraId="38A36AEC"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World Health Organization (2011). Philippine Health System Review, p.3. Health Systems in Transition Vol. 1 No. 2 2011. Retrieved from: </w:t>
      </w:r>
      <w:hyperlink r:id="rId213">
        <w:r w:rsidRPr="001F291B">
          <w:rPr>
            <w:rFonts w:eastAsia="Arial"/>
            <w:szCs w:val="24"/>
          </w:rPr>
          <w:t>http://www.wpro.who.int/philippines/areas/health_systems/financing/philippines_health_system_review.pdf</w:t>
        </w:r>
      </w:hyperlink>
    </w:p>
    <w:p w14:paraId="7049AE2F"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World Health Organization (WHO, 2014). Noncommunicable Diseases Country Profile 2014. Retrieved from: </w:t>
      </w:r>
      <w:hyperlink r:id="rId214">
        <w:r w:rsidRPr="001F291B">
          <w:rPr>
            <w:rFonts w:eastAsia="Arial"/>
            <w:szCs w:val="24"/>
          </w:rPr>
          <w:t>https://apps.who.int/iris/bitstream/handle/10665/128038/9789241507509_eng.pdf?sequence=1</w:t>
        </w:r>
      </w:hyperlink>
    </w:p>
    <w:p w14:paraId="5E786A31" w14:textId="136F7789" w:rsidR="005C6D2F"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World Health Organization (WHO, 2005). WHO STEPS Surveillance Manual: WHO </w:t>
      </w:r>
      <w:proofErr w:type="spellStart"/>
      <w:r w:rsidRPr="001F291B">
        <w:rPr>
          <w:rFonts w:eastAsia="Arial"/>
          <w:szCs w:val="24"/>
        </w:rPr>
        <w:t>STEPwise</w:t>
      </w:r>
      <w:proofErr w:type="spellEnd"/>
      <w:r w:rsidRPr="001F291B">
        <w:rPr>
          <w:rFonts w:eastAsia="Arial"/>
          <w:szCs w:val="24"/>
        </w:rPr>
        <w:t xml:space="preserve"> approach to noncommunicable disease risk factor surveillance. </w:t>
      </w:r>
      <w:r w:rsidRPr="001F291B">
        <w:rPr>
          <w:rFonts w:eastAsia="Arial"/>
          <w:szCs w:val="24"/>
        </w:rPr>
        <w:lastRenderedPageBreak/>
        <w:t xml:space="preserve">Accessed from: </w:t>
      </w:r>
      <w:hyperlink r:id="rId215">
        <w:r w:rsidRPr="001F291B">
          <w:rPr>
            <w:rFonts w:eastAsia="Arial"/>
            <w:szCs w:val="24"/>
          </w:rPr>
          <w:t>https://apps.who.int/iris/bitstream/handle/10665/43376/9241593830_eng.pdf?sequence=1%26isAllowed=y</w:t>
        </w:r>
      </w:hyperlink>
      <w:r w:rsidRPr="001F291B">
        <w:rPr>
          <w:rFonts w:eastAsia="Arial"/>
          <w:szCs w:val="24"/>
        </w:rPr>
        <w:t xml:space="preserve"> </w:t>
      </w:r>
    </w:p>
    <w:p w14:paraId="4796E910" w14:textId="673E5CBB"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World Health Organization. WHO STEPS Instrument Question-by-Question Guide (Core and Expanded). Accessed from: </w:t>
      </w:r>
      <w:hyperlink r:id="rId216">
        <w:r w:rsidRPr="001F291B">
          <w:rPr>
            <w:rFonts w:eastAsia="Arial"/>
            <w:szCs w:val="24"/>
          </w:rPr>
          <w:t>https://score.tools.who.int/fileadmin/uploads/score/Documents/Survey_populations_and_health_risks/STEPs/STEPS%20Question%20by%20Question%20Guide.pdf</w:t>
        </w:r>
      </w:hyperlink>
      <w:r w:rsidRPr="001F291B">
        <w:rPr>
          <w:rFonts w:eastAsia="Arial"/>
          <w:szCs w:val="24"/>
        </w:rPr>
        <w:t xml:space="preserve"> </w:t>
      </w:r>
    </w:p>
    <w:p w14:paraId="0377D465"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World Health Organization (WHO, 2021). Noncommunicable Diseases. Retrieved from: </w:t>
      </w:r>
      <w:hyperlink r:id="rId217">
        <w:r w:rsidRPr="001F291B">
          <w:rPr>
            <w:rFonts w:eastAsia="Arial"/>
            <w:szCs w:val="24"/>
          </w:rPr>
          <w:t>https://www.who.int/news-room/fact-sheets/detail/noncommunicable-diseases</w:t>
        </w:r>
      </w:hyperlink>
      <w:r w:rsidRPr="001F291B">
        <w:rPr>
          <w:rFonts w:eastAsia="Arial"/>
          <w:szCs w:val="24"/>
        </w:rPr>
        <w:t xml:space="preserve"> </w:t>
      </w:r>
    </w:p>
    <w:p w14:paraId="271BE868"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World Health Organization (WHO, 2021). Hypertension. 25 </w:t>
      </w:r>
      <w:proofErr w:type="gramStart"/>
      <w:r w:rsidRPr="001F291B">
        <w:rPr>
          <w:rFonts w:eastAsia="Arial"/>
          <w:szCs w:val="24"/>
        </w:rPr>
        <w:t>August,</w:t>
      </w:r>
      <w:proofErr w:type="gramEnd"/>
      <w:r w:rsidRPr="001F291B">
        <w:rPr>
          <w:rFonts w:eastAsia="Arial"/>
          <w:szCs w:val="24"/>
        </w:rPr>
        <w:t xml:space="preserve"> 2021. Accessed from: </w:t>
      </w:r>
      <w:hyperlink r:id="rId218">
        <w:r w:rsidRPr="001F291B">
          <w:rPr>
            <w:rFonts w:eastAsia="Arial"/>
            <w:szCs w:val="24"/>
          </w:rPr>
          <w:t>https://www.who.int/news-room/fact-sheets/detail/hypertension</w:t>
        </w:r>
      </w:hyperlink>
      <w:r w:rsidRPr="001F291B">
        <w:rPr>
          <w:rFonts w:eastAsia="Arial"/>
          <w:szCs w:val="24"/>
        </w:rPr>
        <w:t xml:space="preserve"> </w:t>
      </w:r>
    </w:p>
    <w:p w14:paraId="74AF9CB8"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World Health Organization (WHO, 2023). Hypertension. 16 </w:t>
      </w:r>
      <w:proofErr w:type="gramStart"/>
      <w:r w:rsidRPr="001F291B">
        <w:rPr>
          <w:rFonts w:eastAsia="Arial"/>
          <w:szCs w:val="24"/>
        </w:rPr>
        <w:t>March,</w:t>
      </w:r>
      <w:proofErr w:type="gramEnd"/>
      <w:r w:rsidRPr="001F291B">
        <w:rPr>
          <w:rFonts w:eastAsia="Arial"/>
          <w:szCs w:val="24"/>
        </w:rPr>
        <w:t xml:space="preserve"> 2023. Accessed from: </w:t>
      </w:r>
      <w:hyperlink r:id="rId219">
        <w:r w:rsidRPr="001F291B">
          <w:rPr>
            <w:rFonts w:eastAsia="Arial"/>
            <w:szCs w:val="24"/>
          </w:rPr>
          <w:t>https://www.who.int/news-room/fact-sheets/detail/hypertension</w:t>
        </w:r>
      </w:hyperlink>
      <w:r w:rsidRPr="001F291B">
        <w:rPr>
          <w:rFonts w:eastAsia="Arial"/>
          <w:szCs w:val="24"/>
        </w:rPr>
        <w:t xml:space="preserve"> </w:t>
      </w:r>
    </w:p>
    <w:p w14:paraId="101C2EDD"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World Health Organization (WHO, 2020). WHO </w:t>
      </w:r>
      <w:proofErr w:type="gramStart"/>
      <w:r w:rsidRPr="001F291B">
        <w:rPr>
          <w:rFonts w:eastAsia="Arial"/>
          <w:szCs w:val="24"/>
        </w:rPr>
        <w:t>package</w:t>
      </w:r>
      <w:proofErr w:type="gramEnd"/>
      <w:r w:rsidRPr="001F291B">
        <w:rPr>
          <w:rFonts w:eastAsia="Arial"/>
          <w:szCs w:val="24"/>
        </w:rPr>
        <w:t xml:space="preserve"> of essential noncommunicable (PEN) disease interventions for primary health care </w:t>
      </w:r>
      <w:r w:rsidRPr="001F291B">
        <w:rPr>
          <w:rFonts w:eastAsia="Arial"/>
          <w:i/>
          <w:szCs w:val="24"/>
        </w:rPr>
        <w:t>(download material)</w:t>
      </w:r>
      <w:r w:rsidRPr="001F291B">
        <w:rPr>
          <w:rFonts w:eastAsia="Arial"/>
          <w:szCs w:val="24"/>
        </w:rPr>
        <w:t xml:space="preserve">. Retrieved from: </w:t>
      </w:r>
      <w:hyperlink r:id="rId220">
        <w:r w:rsidRPr="001F291B">
          <w:rPr>
            <w:rFonts w:eastAsia="Arial"/>
            <w:szCs w:val="24"/>
          </w:rPr>
          <w:t>https://www.who.int/publications/i/item/9789240009226</w:t>
        </w:r>
      </w:hyperlink>
      <w:r w:rsidRPr="001F291B">
        <w:rPr>
          <w:rFonts w:eastAsia="Arial"/>
          <w:szCs w:val="24"/>
        </w:rPr>
        <w:t xml:space="preserve"> </w:t>
      </w:r>
    </w:p>
    <w:p w14:paraId="243E9D0B"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World Health Organization (WHO, 2023). Ninth Global Conference on Health Promotion, Shanghai 2016. Accessed: May 2, 2023. Accessed from:  </w:t>
      </w:r>
      <w:proofErr w:type="gramStart"/>
      <w:r w:rsidRPr="001F291B">
        <w:rPr>
          <w:rFonts w:eastAsia="Arial"/>
          <w:szCs w:val="24"/>
        </w:rPr>
        <w:t>https://www.who.int/teams/health-promotion/enhanced-well-being/ninth-global-conference/health-literacy</w:t>
      </w:r>
      <w:proofErr w:type="gramEnd"/>
      <w:r w:rsidRPr="001F291B">
        <w:rPr>
          <w:rFonts w:eastAsia="Arial"/>
          <w:szCs w:val="24"/>
        </w:rPr>
        <w:t xml:space="preserve"> </w:t>
      </w:r>
    </w:p>
    <w:p w14:paraId="111B70C9"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proofErr w:type="spellStart"/>
      <w:r w:rsidRPr="001F291B">
        <w:rPr>
          <w:rFonts w:eastAsia="Arial"/>
          <w:szCs w:val="24"/>
        </w:rPr>
        <w:t>Xiaoruo</w:t>
      </w:r>
      <w:proofErr w:type="spellEnd"/>
      <w:r w:rsidRPr="001F291B">
        <w:rPr>
          <w:rFonts w:eastAsia="Arial"/>
          <w:szCs w:val="24"/>
        </w:rPr>
        <w:t xml:space="preserve">, Z., </w:t>
      </w:r>
      <w:r w:rsidRPr="001F291B">
        <w:rPr>
          <w:rFonts w:eastAsia="Arial"/>
          <w:i/>
          <w:szCs w:val="24"/>
        </w:rPr>
        <w:t xml:space="preserve">et. al. </w:t>
      </w:r>
      <w:r w:rsidRPr="001F291B">
        <w:rPr>
          <w:rFonts w:eastAsia="Arial"/>
          <w:szCs w:val="24"/>
        </w:rPr>
        <w:t xml:space="preserve">(2018). A4367 Effect of education on health literacy of hypertensive patients (Abstract). Journal of Hypertension: October 2018 – Volume 36 – Issue – p e294. Accessed from: </w:t>
      </w:r>
      <w:proofErr w:type="gramStart"/>
      <w:r w:rsidRPr="001F291B">
        <w:rPr>
          <w:rFonts w:eastAsia="Arial"/>
          <w:szCs w:val="24"/>
        </w:rPr>
        <w:t>https://journals.lww.com/jhypertension/Abstract/2018/10003/A4367_Effect_of_education_on_health_literacy_of.1215.aspx</w:t>
      </w:r>
      <w:proofErr w:type="gramEnd"/>
      <w:r w:rsidRPr="001F291B">
        <w:rPr>
          <w:rFonts w:eastAsia="Arial"/>
          <w:szCs w:val="24"/>
        </w:rPr>
        <w:t xml:space="preserve"> </w:t>
      </w:r>
    </w:p>
    <w:p w14:paraId="64C294ED" w14:textId="77777777" w:rsidR="007C6854" w:rsidRPr="001F291B" w:rsidRDefault="00E0219E" w:rsidP="00FD5DC4">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Xing L, et. al. (2019). Urban-Rural disparities in status of hypertension in northeastern China: a population-based study, 2017-2019. Clin Epidemiol. 2019; 11: 801-820. Accessed from: </w:t>
      </w:r>
      <w:proofErr w:type="gramStart"/>
      <w:r w:rsidRPr="001F291B">
        <w:rPr>
          <w:rFonts w:eastAsia="Arial"/>
          <w:szCs w:val="24"/>
        </w:rPr>
        <w:t>https://www.ncbi.nlm.nih.gov/pmc/articles/PMC6731973/#__ffn_sectitle</w:t>
      </w:r>
      <w:proofErr w:type="gramEnd"/>
      <w:r w:rsidRPr="001F291B">
        <w:rPr>
          <w:rFonts w:eastAsia="Arial"/>
          <w:szCs w:val="24"/>
        </w:rPr>
        <w:t xml:space="preserve"> </w:t>
      </w:r>
    </w:p>
    <w:p w14:paraId="00DA53A4" w14:textId="34053432" w:rsidR="007C6854" w:rsidRPr="00BE4720" w:rsidRDefault="00E0219E" w:rsidP="00BE4720">
      <w:pPr>
        <w:pBdr>
          <w:top w:val="nil"/>
          <w:left w:val="nil"/>
          <w:bottom w:val="nil"/>
          <w:right w:val="nil"/>
          <w:between w:val="nil"/>
        </w:pBdr>
        <w:spacing w:after="240" w:line="240" w:lineRule="auto"/>
        <w:ind w:left="480" w:hanging="720"/>
        <w:jc w:val="both"/>
        <w:rPr>
          <w:rFonts w:eastAsia="Arial"/>
          <w:szCs w:val="24"/>
        </w:rPr>
      </w:pPr>
      <w:r w:rsidRPr="001F291B">
        <w:rPr>
          <w:rFonts w:eastAsia="Arial"/>
          <w:szCs w:val="24"/>
        </w:rPr>
        <w:t xml:space="preserve">Xu, XY, Leung, AYM, Chau, PH (2018). Health Literacy, Self-Efficacy, and Associated Factors Among Patients with Diabetes. Health Lit Res </w:t>
      </w:r>
      <w:proofErr w:type="spellStart"/>
      <w:r w:rsidRPr="001F291B">
        <w:rPr>
          <w:rFonts w:eastAsia="Arial"/>
          <w:szCs w:val="24"/>
        </w:rPr>
        <w:t>Pract</w:t>
      </w:r>
      <w:proofErr w:type="spellEnd"/>
      <w:r w:rsidRPr="001F291B">
        <w:rPr>
          <w:rFonts w:eastAsia="Arial"/>
          <w:szCs w:val="24"/>
        </w:rPr>
        <w:t xml:space="preserve">. 2018 Apr 12;2(2): e67-e77. Published online 2018 Apr 12. Accessed from: </w:t>
      </w:r>
      <w:proofErr w:type="gramStart"/>
      <w:r w:rsidRPr="001F291B">
        <w:rPr>
          <w:rFonts w:eastAsia="Arial"/>
          <w:szCs w:val="24"/>
        </w:rPr>
        <w:t>https://www.ncbi.nlm.nih.gov/pmc/articles/PMC6607806/</w:t>
      </w:r>
      <w:proofErr w:type="gramEnd"/>
    </w:p>
    <w:p w14:paraId="52C77C97" w14:textId="77777777" w:rsidR="007C6854" w:rsidRDefault="007C6854">
      <w:pPr>
        <w:spacing w:after="160" w:line="259" w:lineRule="auto"/>
        <w:jc w:val="center"/>
        <w:rPr>
          <w:rFonts w:eastAsia="Arial" w:cs="Arial"/>
          <w:b/>
          <w:sz w:val="52"/>
          <w:szCs w:val="52"/>
        </w:rPr>
      </w:pPr>
    </w:p>
    <w:p w14:paraId="4A0387AB" w14:textId="77777777" w:rsidR="007C6854" w:rsidRDefault="007C6854">
      <w:pPr>
        <w:spacing w:after="160" w:line="259" w:lineRule="auto"/>
        <w:jc w:val="center"/>
        <w:rPr>
          <w:rFonts w:eastAsia="Arial" w:cs="Arial"/>
          <w:b/>
          <w:sz w:val="52"/>
          <w:szCs w:val="52"/>
        </w:rPr>
      </w:pPr>
    </w:p>
    <w:p w14:paraId="43465A35" w14:textId="462F66F9" w:rsidR="00495AE1" w:rsidRDefault="00495AE1">
      <w:pPr>
        <w:rPr>
          <w:rFonts w:eastAsia="Arial" w:cs="Arial"/>
          <w:b/>
          <w:szCs w:val="24"/>
        </w:rPr>
      </w:pPr>
      <w:r>
        <w:rPr>
          <w:rFonts w:eastAsia="Arial" w:cs="Arial"/>
          <w:szCs w:val="24"/>
        </w:rPr>
        <w:br w:type="page"/>
      </w:r>
    </w:p>
    <w:p w14:paraId="238E47CF" w14:textId="77777777" w:rsidR="007C6854" w:rsidRDefault="007C6854" w:rsidP="00495AE1">
      <w:pPr>
        <w:pStyle w:val="Heading1"/>
        <w:rPr>
          <w:rFonts w:eastAsia="Arial" w:cs="Arial"/>
          <w:sz w:val="24"/>
          <w:szCs w:val="24"/>
        </w:rPr>
      </w:pPr>
    </w:p>
    <w:p w14:paraId="67B27BE9" w14:textId="77777777" w:rsidR="00495AE1" w:rsidRDefault="00495AE1" w:rsidP="00495AE1"/>
    <w:p w14:paraId="0BA4FE21" w14:textId="77777777" w:rsidR="00495AE1" w:rsidRDefault="00495AE1" w:rsidP="00495AE1"/>
    <w:p w14:paraId="07B7A7A5" w14:textId="77777777" w:rsidR="00495AE1" w:rsidRDefault="00495AE1" w:rsidP="00495AE1"/>
    <w:p w14:paraId="43861C5F" w14:textId="77777777" w:rsidR="00495AE1" w:rsidRDefault="00495AE1" w:rsidP="00495AE1"/>
    <w:p w14:paraId="650D7E47" w14:textId="77777777" w:rsidR="00495AE1" w:rsidRDefault="00495AE1" w:rsidP="00495AE1"/>
    <w:p w14:paraId="425A472D" w14:textId="77777777" w:rsidR="00495AE1" w:rsidRDefault="00495AE1" w:rsidP="00495AE1"/>
    <w:p w14:paraId="0F06DD08" w14:textId="77777777" w:rsidR="00495AE1" w:rsidRDefault="00495AE1" w:rsidP="00495AE1"/>
    <w:p w14:paraId="3FCD14CB" w14:textId="77777777" w:rsidR="00495AE1" w:rsidRDefault="00495AE1" w:rsidP="00495AE1"/>
    <w:p w14:paraId="4E8977B4" w14:textId="77777777" w:rsidR="00495AE1" w:rsidRDefault="00495AE1" w:rsidP="00495AE1"/>
    <w:p w14:paraId="51A8BF1B" w14:textId="77777777" w:rsidR="00495AE1" w:rsidRDefault="00495AE1" w:rsidP="00495AE1"/>
    <w:p w14:paraId="7C90759F" w14:textId="77777777" w:rsidR="00495AE1" w:rsidRPr="00495AE1" w:rsidRDefault="00495AE1" w:rsidP="00495AE1"/>
    <w:p w14:paraId="7CFF7CA4" w14:textId="77777777" w:rsidR="007C6854" w:rsidRDefault="00E0219E">
      <w:pPr>
        <w:pStyle w:val="Heading1"/>
        <w:jc w:val="center"/>
        <w:rPr>
          <w:rFonts w:eastAsia="Arial" w:cs="Arial"/>
          <w:sz w:val="24"/>
          <w:szCs w:val="24"/>
        </w:rPr>
      </w:pPr>
      <w:bookmarkStart w:id="71" w:name="_heading=h.25b2l0r" w:colFirst="0" w:colLast="0"/>
      <w:bookmarkEnd w:id="71"/>
      <w:r>
        <w:rPr>
          <w:rFonts w:eastAsia="Arial" w:cs="Arial"/>
          <w:sz w:val="24"/>
          <w:szCs w:val="24"/>
        </w:rPr>
        <w:t>APPENDICES</w:t>
      </w:r>
      <w:r>
        <w:br w:type="page"/>
      </w:r>
    </w:p>
    <w:p w14:paraId="705D942A" w14:textId="77777777" w:rsidR="007C6854" w:rsidRDefault="00E0219E">
      <w:pPr>
        <w:pStyle w:val="Heading2"/>
        <w:jc w:val="center"/>
        <w:rPr>
          <w:rFonts w:eastAsia="Arial" w:cs="Arial"/>
          <w:sz w:val="24"/>
          <w:szCs w:val="24"/>
        </w:rPr>
      </w:pPr>
      <w:bookmarkStart w:id="72" w:name="_heading=h.kgcv8k" w:colFirst="0" w:colLast="0"/>
      <w:bookmarkEnd w:id="72"/>
      <w:r>
        <w:rPr>
          <w:rFonts w:eastAsia="Arial" w:cs="Arial"/>
          <w:sz w:val="24"/>
          <w:szCs w:val="24"/>
        </w:rPr>
        <w:lastRenderedPageBreak/>
        <w:t>Appendix A: Curriculum Vitae of the Student</w:t>
      </w:r>
    </w:p>
    <w:p w14:paraId="510A015F" w14:textId="77777777" w:rsidR="007C6854" w:rsidRDefault="007C6854">
      <w:pPr>
        <w:spacing w:after="160" w:line="259" w:lineRule="auto"/>
        <w:rPr>
          <w:rFonts w:eastAsia="Arial" w:cs="Arial"/>
          <w:b/>
          <w:szCs w:val="24"/>
        </w:rPr>
      </w:pPr>
    </w:p>
    <w:p w14:paraId="07E38BEE" w14:textId="77777777" w:rsidR="007C6854" w:rsidRDefault="00E0219E">
      <w:pPr>
        <w:rPr>
          <w:rFonts w:eastAsia="Arial" w:cs="Arial"/>
          <w:szCs w:val="24"/>
        </w:rPr>
      </w:pPr>
      <w:r>
        <w:rPr>
          <w:rFonts w:eastAsia="Arial" w:cs="Arial"/>
          <w:b/>
          <w:noProof/>
          <w:szCs w:val="24"/>
        </w:rPr>
        <w:drawing>
          <wp:anchor distT="0" distB="0" distL="0" distR="0" simplePos="0" relativeHeight="251660288" behindDoc="0" locked="0" layoutInCell="1" hidden="0" allowOverlap="1" wp14:anchorId="24972FE8" wp14:editId="57159FBC">
            <wp:simplePos x="0" y="0"/>
            <wp:positionH relativeFrom="page">
              <wp:posOffset>5396865</wp:posOffset>
            </wp:positionH>
            <wp:positionV relativeFrom="page">
              <wp:posOffset>1633220</wp:posOffset>
            </wp:positionV>
            <wp:extent cx="1350645" cy="1349375"/>
            <wp:effectExtent l="0" t="0" r="0" b="0"/>
            <wp:wrapSquare wrapText="bothSides" distT="0" distB="0" distL="0" distR="0"/>
            <wp:docPr id="77"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21"/>
                    <a:srcRect/>
                    <a:stretch>
                      <a:fillRect/>
                    </a:stretch>
                  </pic:blipFill>
                  <pic:spPr>
                    <a:xfrm>
                      <a:off x="0" y="0"/>
                      <a:ext cx="1350645" cy="1349375"/>
                    </a:xfrm>
                    <a:prstGeom prst="rect">
                      <a:avLst/>
                    </a:prstGeom>
                    <a:ln/>
                  </pic:spPr>
                </pic:pic>
              </a:graphicData>
            </a:graphic>
          </wp:anchor>
        </w:drawing>
      </w:r>
      <w:r>
        <w:rPr>
          <w:rFonts w:eastAsia="Arial" w:cs="Arial"/>
          <w:b/>
          <w:szCs w:val="24"/>
        </w:rPr>
        <w:t xml:space="preserve">                          Rammell Eric Capco Martinez</w:t>
      </w:r>
    </w:p>
    <w:p w14:paraId="3F7BEAF3" w14:textId="77777777" w:rsidR="007C6854" w:rsidRDefault="00E0219E">
      <w:pPr>
        <w:spacing w:after="0" w:line="240" w:lineRule="auto"/>
        <w:ind w:right="2260"/>
        <w:jc w:val="center"/>
        <w:rPr>
          <w:rFonts w:eastAsia="Arial" w:cs="Arial"/>
          <w:szCs w:val="24"/>
        </w:rPr>
      </w:pPr>
      <w:r>
        <w:rPr>
          <w:rFonts w:eastAsia="Arial" w:cs="Arial"/>
          <w:szCs w:val="24"/>
        </w:rPr>
        <w:t>Diploma in International Health</w:t>
      </w:r>
    </w:p>
    <w:p w14:paraId="0FF13CAE" w14:textId="77777777" w:rsidR="007C6854" w:rsidRDefault="00E0219E">
      <w:pPr>
        <w:spacing w:after="0" w:line="240" w:lineRule="auto"/>
        <w:ind w:right="2260"/>
        <w:jc w:val="center"/>
        <w:rPr>
          <w:rFonts w:eastAsia="Arial" w:cs="Arial"/>
          <w:szCs w:val="24"/>
        </w:rPr>
      </w:pPr>
      <w:r>
        <w:rPr>
          <w:rFonts w:eastAsia="Arial" w:cs="Arial"/>
          <w:szCs w:val="24"/>
        </w:rPr>
        <w:t xml:space="preserve">Public Health Specialist in Applied Epidemiology (Philippine FETP) </w:t>
      </w:r>
    </w:p>
    <w:p w14:paraId="34B18EDE" w14:textId="77777777" w:rsidR="007C6854" w:rsidRDefault="00E0219E">
      <w:pPr>
        <w:spacing w:after="0" w:line="240" w:lineRule="auto"/>
        <w:ind w:right="2260"/>
        <w:jc w:val="center"/>
        <w:rPr>
          <w:rFonts w:eastAsia="Arial" w:cs="Arial"/>
          <w:szCs w:val="24"/>
        </w:rPr>
      </w:pPr>
      <w:r>
        <w:rPr>
          <w:rFonts w:eastAsia="Arial" w:cs="Arial"/>
          <w:szCs w:val="24"/>
        </w:rPr>
        <w:t>Registered Nurse - PRC License #: 0265514</w:t>
      </w:r>
    </w:p>
    <w:p w14:paraId="1AC2A235" w14:textId="77777777" w:rsidR="007C6854" w:rsidRDefault="007C6854">
      <w:pPr>
        <w:spacing w:after="0" w:line="240" w:lineRule="auto"/>
        <w:ind w:right="2260"/>
        <w:jc w:val="center"/>
        <w:rPr>
          <w:rFonts w:eastAsia="Arial" w:cs="Arial"/>
          <w:szCs w:val="24"/>
        </w:rPr>
      </w:pPr>
    </w:p>
    <w:p w14:paraId="37D590A3" w14:textId="77777777" w:rsidR="007C6854" w:rsidRDefault="00E0219E">
      <w:pPr>
        <w:spacing w:after="0" w:line="240" w:lineRule="auto"/>
        <w:rPr>
          <w:rFonts w:eastAsia="Arial" w:cs="Arial"/>
          <w:szCs w:val="24"/>
        </w:rPr>
      </w:pPr>
      <w:r>
        <w:rPr>
          <w:rFonts w:eastAsia="Arial" w:cs="Arial"/>
          <w:szCs w:val="24"/>
        </w:rPr>
        <w:t xml:space="preserve">214 P. Rosales St.., Sta. Ana Pateros, Metro Manila, Philippines. 1621 </w:t>
      </w:r>
    </w:p>
    <w:p w14:paraId="171A9EB3" w14:textId="77777777" w:rsidR="007C6854" w:rsidRDefault="00E0219E">
      <w:pPr>
        <w:spacing w:after="0" w:line="240" w:lineRule="auto"/>
        <w:rPr>
          <w:rFonts w:eastAsia="Arial" w:cs="Arial"/>
          <w:szCs w:val="24"/>
        </w:rPr>
      </w:pPr>
      <w:r>
        <w:rPr>
          <w:rFonts w:eastAsia="Arial" w:cs="Arial"/>
          <w:szCs w:val="24"/>
        </w:rPr>
        <w:t>Mobile #: +63-917-5209614 or +63-921-447-7490</w:t>
      </w:r>
    </w:p>
    <w:p w14:paraId="7346F890" w14:textId="77777777" w:rsidR="007C6854" w:rsidRDefault="007C6854">
      <w:pPr>
        <w:spacing w:after="0" w:line="240" w:lineRule="auto"/>
        <w:rPr>
          <w:rFonts w:eastAsia="Arial" w:cs="Arial"/>
          <w:szCs w:val="24"/>
        </w:rPr>
      </w:pPr>
    </w:p>
    <w:p w14:paraId="04BAADB8" w14:textId="77777777" w:rsidR="007C6854" w:rsidRDefault="00E0219E">
      <w:pPr>
        <w:spacing w:after="0" w:line="240" w:lineRule="auto"/>
        <w:rPr>
          <w:rFonts w:eastAsia="Arial" w:cs="Arial"/>
          <w:szCs w:val="24"/>
        </w:rPr>
      </w:pPr>
      <w:r>
        <w:rPr>
          <w:rFonts w:eastAsia="Arial" w:cs="Arial"/>
          <w:szCs w:val="24"/>
        </w:rPr>
        <w:t xml:space="preserve">E-Mail Address: rammell.martinez@gmail.com / rcmartinez3@up.edu.ph </w:t>
      </w:r>
    </w:p>
    <w:p w14:paraId="08A713A2" w14:textId="77777777" w:rsidR="007C6854" w:rsidRDefault="007C6854">
      <w:pPr>
        <w:spacing w:line="20" w:lineRule="auto"/>
        <w:rPr>
          <w:rFonts w:eastAsia="Arial" w:cs="Arial"/>
          <w:szCs w:val="24"/>
        </w:rPr>
      </w:pPr>
    </w:p>
    <w:p w14:paraId="0CA8F2A4" w14:textId="77777777" w:rsidR="007C6854" w:rsidRDefault="00E0219E">
      <w:pPr>
        <w:spacing w:after="0"/>
        <w:rPr>
          <w:rFonts w:eastAsia="Arial" w:cs="Arial"/>
          <w:sz w:val="20"/>
          <w:szCs w:val="20"/>
        </w:rPr>
      </w:pPr>
      <w:r>
        <w:rPr>
          <w:rFonts w:eastAsia="Arial" w:cs="Arial"/>
          <w:b/>
          <w:i/>
          <w:sz w:val="20"/>
          <w:szCs w:val="20"/>
          <w:u w:val="single"/>
        </w:rPr>
        <w:t>Consultancy and Project Involvement from 2013 to present</w:t>
      </w:r>
    </w:p>
    <w:p w14:paraId="48712750" w14:textId="77777777" w:rsidR="007C6854" w:rsidRDefault="007C6854">
      <w:pPr>
        <w:spacing w:after="0" w:line="271" w:lineRule="auto"/>
        <w:rPr>
          <w:rFonts w:eastAsia="Arial" w:cs="Arial"/>
          <w:sz w:val="20"/>
          <w:szCs w:val="20"/>
        </w:rPr>
      </w:pPr>
    </w:p>
    <w:p w14:paraId="37FE0892" w14:textId="77777777" w:rsidR="007C6854" w:rsidRDefault="00E0219E">
      <w:pPr>
        <w:numPr>
          <w:ilvl w:val="0"/>
          <w:numId w:val="34"/>
        </w:numPr>
        <w:tabs>
          <w:tab w:val="left" w:pos="720"/>
        </w:tabs>
        <w:spacing w:after="0" w:line="223" w:lineRule="auto"/>
        <w:ind w:left="720" w:right="280" w:hanging="360"/>
        <w:rPr>
          <w:rFonts w:eastAsia="Arial" w:cs="Arial"/>
          <w:sz w:val="20"/>
          <w:szCs w:val="20"/>
        </w:rPr>
      </w:pPr>
      <w:r>
        <w:rPr>
          <w:rFonts w:eastAsia="Arial" w:cs="Arial"/>
          <w:b/>
          <w:sz w:val="20"/>
          <w:szCs w:val="20"/>
        </w:rPr>
        <w:t xml:space="preserve">COVID-19 Response </w:t>
      </w:r>
      <w:r>
        <w:rPr>
          <w:rFonts w:eastAsia="Arial" w:cs="Arial"/>
          <w:sz w:val="20"/>
          <w:szCs w:val="20"/>
        </w:rPr>
        <w:t>(Re-purpose)</w:t>
      </w:r>
      <w:r>
        <w:rPr>
          <w:rFonts w:eastAsia="Arial" w:cs="Arial"/>
          <w:b/>
          <w:sz w:val="20"/>
          <w:szCs w:val="20"/>
        </w:rPr>
        <w:t xml:space="preserve">, </w:t>
      </w:r>
      <w:r>
        <w:rPr>
          <w:rFonts w:eastAsia="Arial" w:cs="Arial"/>
          <w:sz w:val="20"/>
          <w:szCs w:val="20"/>
        </w:rPr>
        <w:t>World health Organization, under a Special Service Agreement (SSA) contract. April, 2020 – 30 November 2020</w:t>
      </w:r>
    </w:p>
    <w:p w14:paraId="279BA115" w14:textId="77777777" w:rsidR="007C6854" w:rsidRDefault="00E0219E">
      <w:pPr>
        <w:numPr>
          <w:ilvl w:val="1"/>
          <w:numId w:val="7"/>
        </w:numPr>
        <w:tabs>
          <w:tab w:val="left" w:pos="720"/>
        </w:tabs>
        <w:spacing w:after="0" w:line="223" w:lineRule="auto"/>
        <w:ind w:right="280"/>
        <w:rPr>
          <w:rFonts w:eastAsia="Arial" w:cs="Arial"/>
          <w:sz w:val="20"/>
          <w:szCs w:val="20"/>
        </w:rPr>
      </w:pPr>
      <w:r>
        <w:rPr>
          <w:rFonts w:eastAsia="Arial" w:cs="Arial"/>
          <w:sz w:val="20"/>
          <w:szCs w:val="20"/>
        </w:rPr>
        <w:t xml:space="preserve">      </w:t>
      </w:r>
      <w:r>
        <w:rPr>
          <w:rFonts w:eastAsia="Arial" w:cs="Arial"/>
          <w:sz w:val="20"/>
          <w:szCs w:val="20"/>
        </w:rPr>
        <w:tab/>
        <w:t>Re-purpose to assist in the Regional Operation on the Drafting and Roll-out Training of Contact Tracing Module (April to June 2020)</w:t>
      </w:r>
    </w:p>
    <w:p w14:paraId="187F6684" w14:textId="77777777" w:rsidR="007C6854" w:rsidRDefault="00E0219E">
      <w:pPr>
        <w:numPr>
          <w:ilvl w:val="1"/>
          <w:numId w:val="7"/>
        </w:numPr>
        <w:tabs>
          <w:tab w:val="left" w:pos="720"/>
        </w:tabs>
        <w:spacing w:after="0" w:line="223" w:lineRule="auto"/>
        <w:ind w:right="280"/>
        <w:rPr>
          <w:rFonts w:eastAsia="Arial" w:cs="Arial"/>
          <w:sz w:val="20"/>
          <w:szCs w:val="20"/>
        </w:rPr>
      </w:pPr>
      <w:r>
        <w:rPr>
          <w:rFonts w:eastAsia="Arial" w:cs="Arial"/>
          <w:sz w:val="20"/>
          <w:szCs w:val="20"/>
        </w:rPr>
        <w:t xml:space="preserve">            Deployed in Central Visayas to assist in strengthening surveillance and contact tracing system in the region (June to July 2020)</w:t>
      </w:r>
    </w:p>
    <w:p w14:paraId="6A8C9F28" w14:textId="77777777" w:rsidR="007C6854" w:rsidRDefault="00E0219E">
      <w:pPr>
        <w:numPr>
          <w:ilvl w:val="1"/>
          <w:numId w:val="7"/>
        </w:numPr>
        <w:tabs>
          <w:tab w:val="left" w:pos="720"/>
        </w:tabs>
        <w:spacing w:after="0" w:line="223" w:lineRule="auto"/>
        <w:ind w:right="280"/>
        <w:rPr>
          <w:rFonts w:eastAsia="Arial" w:cs="Arial"/>
          <w:sz w:val="20"/>
          <w:szCs w:val="20"/>
        </w:rPr>
      </w:pPr>
      <w:r>
        <w:rPr>
          <w:rFonts w:eastAsia="Arial" w:cs="Arial"/>
          <w:sz w:val="20"/>
          <w:szCs w:val="20"/>
        </w:rPr>
        <w:t xml:space="preserve">            Re-purpose to support COVID-19 Response in the NCR as Sub-pillar lead and assist </w:t>
      </w:r>
      <w:proofErr w:type="spellStart"/>
      <w:r>
        <w:rPr>
          <w:rFonts w:eastAsia="Arial" w:cs="Arial"/>
          <w:sz w:val="20"/>
          <w:szCs w:val="20"/>
        </w:rPr>
        <w:t>Navotas</w:t>
      </w:r>
      <w:proofErr w:type="spellEnd"/>
      <w:r>
        <w:rPr>
          <w:rFonts w:eastAsia="Arial" w:cs="Arial"/>
          <w:sz w:val="20"/>
          <w:szCs w:val="20"/>
        </w:rPr>
        <w:t xml:space="preserve"> City in strengthening surveillance system through data analytics (July to September 2020)</w:t>
      </w:r>
    </w:p>
    <w:p w14:paraId="2FC2AD21" w14:textId="77777777" w:rsidR="007C6854" w:rsidRDefault="00E0219E">
      <w:pPr>
        <w:numPr>
          <w:ilvl w:val="1"/>
          <w:numId w:val="7"/>
        </w:numPr>
        <w:tabs>
          <w:tab w:val="left" w:pos="720"/>
        </w:tabs>
        <w:spacing w:after="0" w:line="223" w:lineRule="auto"/>
        <w:ind w:right="280"/>
        <w:rPr>
          <w:rFonts w:eastAsia="Arial" w:cs="Arial"/>
          <w:sz w:val="20"/>
          <w:szCs w:val="20"/>
        </w:rPr>
      </w:pPr>
      <w:r>
        <w:rPr>
          <w:rFonts w:eastAsia="Arial" w:cs="Arial"/>
          <w:sz w:val="20"/>
          <w:szCs w:val="20"/>
        </w:rPr>
        <w:t xml:space="preserve">            Re-purpose to support One Hospital Command (October - November 2020)</w:t>
      </w:r>
    </w:p>
    <w:p w14:paraId="5A789E88" w14:textId="77777777" w:rsidR="007C6854" w:rsidRDefault="007C6854">
      <w:pPr>
        <w:tabs>
          <w:tab w:val="left" w:pos="720"/>
        </w:tabs>
        <w:spacing w:after="0" w:line="223" w:lineRule="auto"/>
        <w:ind w:left="720" w:right="280"/>
        <w:rPr>
          <w:rFonts w:eastAsia="Arial" w:cs="Arial"/>
          <w:sz w:val="20"/>
          <w:szCs w:val="20"/>
        </w:rPr>
      </w:pPr>
    </w:p>
    <w:p w14:paraId="6066B58D" w14:textId="77777777" w:rsidR="007C6854" w:rsidRDefault="00E0219E">
      <w:pPr>
        <w:numPr>
          <w:ilvl w:val="0"/>
          <w:numId w:val="34"/>
        </w:numPr>
        <w:tabs>
          <w:tab w:val="left" w:pos="720"/>
        </w:tabs>
        <w:spacing w:after="0" w:line="223" w:lineRule="auto"/>
        <w:ind w:left="720" w:right="280" w:hanging="360"/>
        <w:rPr>
          <w:rFonts w:eastAsia="Arial" w:cs="Arial"/>
          <w:sz w:val="20"/>
          <w:szCs w:val="20"/>
        </w:rPr>
      </w:pPr>
      <w:r>
        <w:rPr>
          <w:rFonts w:eastAsia="Arial" w:cs="Arial"/>
          <w:b/>
          <w:sz w:val="20"/>
          <w:szCs w:val="20"/>
        </w:rPr>
        <w:t>Improving the health of the urban poor and adolescents in Metro Manila</w:t>
      </w:r>
      <w:r>
        <w:rPr>
          <w:rFonts w:eastAsia="Arial" w:cs="Arial"/>
          <w:sz w:val="20"/>
          <w:szCs w:val="20"/>
        </w:rPr>
        <w:t>, World Health</w:t>
      </w:r>
      <w:r>
        <w:rPr>
          <w:rFonts w:eastAsia="Arial" w:cs="Arial"/>
          <w:b/>
          <w:sz w:val="20"/>
          <w:szCs w:val="20"/>
        </w:rPr>
        <w:t xml:space="preserve"> </w:t>
      </w:r>
      <w:r>
        <w:rPr>
          <w:rFonts w:eastAsia="Arial" w:cs="Arial"/>
          <w:sz w:val="20"/>
          <w:szCs w:val="20"/>
        </w:rPr>
        <w:t>Organization as Project Coordinator under a Special Service Agreement (SSA) contract, 10 September, 2018 to Present.</w:t>
      </w:r>
    </w:p>
    <w:p w14:paraId="5F4FBC82" w14:textId="77777777" w:rsidR="007C6854" w:rsidRDefault="007C6854">
      <w:pPr>
        <w:spacing w:after="0" w:line="223" w:lineRule="auto"/>
        <w:rPr>
          <w:rFonts w:eastAsia="Arial" w:cs="Arial"/>
          <w:sz w:val="20"/>
          <w:szCs w:val="20"/>
        </w:rPr>
      </w:pPr>
    </w:p>
    <w:p w14:paraId="10FFC2B6" w14:textId="77777777" w:rsidR="007C6854" w:rsidRDefault="00E0219E">
      <w:pPr>
        <w:numPr>
          <w:ilvl w:val="0"/>
          <w:numId w:val="34"/>
        </w:numPr>
        <w:tabs>
          <w:tab w:val="left" w:pos="720"/>
        </w:tabs>
        <w:spacing w:after="0" w:line="224" w:lineRule="auto"/>
        <w:ind w:left="720" w:right="280" w:hanging="360"/>
        <w:jc w:val="both"/>
        <w:rPr>
          <w:rFonts w:eastAsia="Arial" w:cs="Arial"/>
          <w:sz w:val="20"/>
          <w:szCs w:val="20"/>
        </w:rPr>
      </w:pPr>
      <w:r>
        <w:rPr>
          <w:rFonts w:eastAsia="Arial" w:cs="Arial"/>
          <w:b/>
          <w:sz w:val="20"/>
          <w:szCs w:val="20"/>
        </w:rPr>
        <w:t xml:space="preserve">2018 Philippine Integrated HIV Behavior and Serologic Surveillance (IHBSS) – Taguig City, </w:t>
      </w:r>
      <w:r>
        <w:rPr>
          <w:rFonts w:eastAsia="Arial" w:cs="Arial"/>
          <w:sz w:val="20"/>
          <w:szCs w:val="20"/>
        </w:rPr>
        <w:t>Field Epidemiology Training Program Alumni Foundation, Incorporated (FETPAFI) as</w:t>
      </w:r>
      <w:r>
        <w:rPr>
          <w:rFonts w:eastAsia="Arial" w:cs="Arial"/>
          <w:b/>
          <w:sz w:val="20"/>
          <w:szCs w:val="20"/>
        </w:rPr>
        <w:t xml:space="preserve"> </w:t>
      </w:r>
      <w:r>
        <w:rPr>
          <w:rFonts w:eastAsia="Arial" w:cs="Arial"/>
          <w:sz w:val="20"/>
          <w:szCs w:val="20"/>
        </w:rPr>
        <w:t>External Monitoring and Quality Assurance Officer.</w:t>
      </w:r>
    </w:p>
    <w:p w14:paraId="3EDD80C8" w14:textId="77777777" w:rsidR="007C6854" w:rsidRDefault="007C6854">
      <w:pPr>
        <w:spacing w:after="0" w:line="218" w:lineRule="auto"/>
        <w:rPr>
          <w:rFonts w:eastAsia="Arial" w:cs="Arial"/>
          <w:sz w:val="20"/>
          <w:szCs w:val="20"/>
        </w:rPr>
      </w:pPr>
    </w:p>
    <w:p w14:paraId="52A24921" w14:textId="77777777" w:rsidR="007C6854" w:rsidRDefault="00E0219E">
      <w:pPr>
        <w:numPr>
          <w:ilvl w:val="0"/>
          <w:numId w:val="34"/>
        </w:numPr>
        <w:tabs>
          <w:tab w:val="left" w:pos="720"/>
        </w:tabs>
        <w:spacing w:after="0" w:line="226" w:lineRule="auto"/>
        <w:ind w:left="720" w:right="260" w:hanging="360"/>
        <w:rPr>
          <w:rFonts w:eastAsia="Arial" w:cs="Arial"/>
          <w:sz w:val="20"/>
          <w:szCs w:val="20"/>
        </w:rPr>
      </w:pPr>
      <w:r>
        <w:rPr>
          <w:rFonts w:eastAsia="Arial" w:cs="Arial"/>
          <w:b/>
          <w:sz w:val="20"/>
          <w:szCs w:val="20"/>
        </w:rPr>
        <w:t xml:space="preserve">Development of Drug Abuse Treatment Center Standard and Manual of Procedure for Special Group (PLHIV). </w:t>
      </w:r>
      <w:r>
        <w:rPr>
          <w:rFonts w:eastAsia="Arial" w:cs="Arial"/>
          <w:sz w:val="20"/>
          <w:szCs w:val="20"/>
        </w:rPr>
        <w:t>Department of Health. January to March, 2018.</w:t>
      </w:r>
    </w:p>
    <w:p w14:paraId="36DC53FA" w14:textId="77777777" w:rsidR="007C6854" w:rsidRDefault="007C6854">
      <w:pPr>
        <w:spacing w:after="0" w:line="219" w:lineRule="auto"/>
        <w:rPr>
          <w:rFonts w:eastAsia="Arial" w:cs="Arial"/>
          <w:sz w:val="20"/>
          <w:szCs w:val="20"/>
        </w:rPr>
      </w:pPr>
    </w:p>
    <w:p w14:paraId="3D8E6142" w14:textId="77777777" w:rsidR="007C6854" w:rsidRDefault="00E0219E">
      <w:pPr>
        <w:numPr>
          <w:ilvl w:val="0"/>
          <w:numId w:val="34"/>
        </w:numPr>
        <w:tabs>
          <w:tab w:val="left" w:pos="720"/>
        </w:tabs>
        <w:spacing w:after="0" w:line="223" w:lineRule="auto"/>
        <w:ind w:left="720" w:right="300" w:hanging="360"/>
        <w:rPr>
          <w:rFonts w:eastAsia="Arial" w:cs="Arial"/>
          <w:sz w:val="20"/>
          <w:szCs w:val="20"/>
        </w:rPr>
      </w:pPr>
      <w:r>
        <w:rPr>
          <w:rFonts w:eastAsia="Arial" w:cs="Arial"/>
          <w:b/>
          <w:sz w:val="20"/>
          <w:szCs w:val="20"/>
        </w:rPr>
        <w:t>Drowning Prevention Project in Davao Region</w:t>
      </w:r>
      <w:r>
        <w:rPr>
          <w:rFonts w:eastAsia="Arial" w:cs="Arial"/>
          <w:sz w:val="20"/>
          <w:szCs w:val="20"/>
        </w:rPr>
        <w:t>, World Health Organization as a</w:t>
      </w:r>
      <w:r>
        <w:rPr>
          <w:rFonts w:eastAsia="Arial" w:cs="Arial"/>
          <w:b/>
          <w:sz w:val="20"/>
          <w:szCs w:val="20"/>
        </w:rPr>
        <w:t xml:space="preserve"> </w:t>
      </w:r>
      <w:r>
        <w:rPr>
          <w:rFonts w:eastAsia="Arial" w:cs="Arial"/>
          <w:sz w:val="20"/>
          <w:szCs w:val="20"/>
        </w:rPr>
        <w:t>Technical Consultant under a Special Service Agreement (SSA) contract, 1 August 2016 to 31 July 2017.</w:t>
      </w:r>
    </w:p>
    <w:p w14:paraId="1A35E6BD" w14:textId="77777777" w:rsidR="007C6854" w:rsidRDefault="007C6854">
      <w:pPr>
        <w:spacing w:after="0" w:line="223" w:lineRule="auto"/>
        <w:rPr>
          <w:rFonts w:eastAsia="Arial" w:cs="Arial"/>
          <w:sz w:val="20"/>
          <w:szCs w:val="20"/>
        </w:rPr>
      </w:pPr>
    </w:p>
    <w:p w14:paraId="20E19842" w14:textId="77777777" w:rsidR="007C6854" w:rsidRDefault="00E0219E">
      <w:pPr>
        <w:numPr>
          <w:ilvl w:val="0"/>
          <w:numId w:val="34"/>
        </w:numPr>
        <w:tabs>
          <w:tab w:val="left" w:pos="720"/>
        </w:tabs>
        <w:spacing w:after="0" w:line="221" w:lineRule="auto"/>
        <w:ind w:left="720" w:right="600" w:hanging="360"/>
        <w:jc w:val="both"/>
        <w:rPr>
          <w:rFonts w:eastAsia="Arial" w:cs="Arial"/>
          <w:sz w:val="20"/>
          <w:szCs w:val="20"/>
        </w:rPr>
      </w:pPr>
      <w:r>
        <w:rPr>
          <w:rFonts w:eastAsia="Arial" w:cs="Arial"/>
          <w:b/>
          <w:sz w:val="20"/>
          <w:szCs w:val="20"/>
        </w:rPr>
        <w:t>Technical Support for Strengthening Violence and Injury Prevention and NCD and Injury Surveillance</w:t>
      </w:r>
      <w:r>
        <w:rPr>
          <w:rFonts w:eastAsia="Arial" w:cs="Arial"/>
          <w:sz w:val="20"/>
          <w:szCs w:val="20"/>
        </w:rPr>
        <w:t>, World Health Organization as a</w:t>
      </w:r>
      <w:r>
        <w:rPr>
          <w:rFonts w:eastAsia="Arial" w:cs="Arial"/>
          <w:b/>
          <w:sz w:val="20"/>
          <w:szCs w:val="20"/>
        </w:rPr>
        <w:t xml:space="preserve"> Short-term Consultant (STC)</w:t>
      </w:r>
      <w:r>
        <w:rPr>
          <w:rFonts w:eastAsia="Arial" w:cs="Arial"/>
          <w:sz w:val="20"/>
          <w:szCs w:val="20"/>
        </w:rPr>
        <w:t>, 14</w:t>
      </w:r>
      <w:r>
        <w:rPr>
          <w:rFonts w:eastAsia="Arial" w:cs="Arial"/>
          <w:b/>
          <w:sz w:val="20"/>
          <w:szCs w:val="20"/>
        </w:rPr>
        <w:t xml:space="preserve"> </w:t>
      </w:r>
      <w:r>
        <w:rPr>
          <w:rFonts w:eastAsia="Arial" w:cs="Arial"/>
          <w:sz w:val="20"/>
          <w:szCs w:val="20"/>
        </w:rPr>
        <w:t>January 2016 to 14 July 2016. Contract No. 201413839; WHO Reference No.</w:t>
      </w:r>
    </w:p>
    <w:p w14:paraId="099AED47" w14:textId="77777777" w:rsidR="007C6854" w:rsidRDefault="00E0219E">
      <w:pPr>
        <w:spacing w:after="0" w:line="226" w:lineRule="auto"/>
        <w:ind w:left="720"/>
        <w:rPr>
          <w:rFonts w:eastAsia="Arial" w:cs="Arial"/>
          <w:sz w:val="20"/>
          <w:szCs w:val="20"/>
        </w:rPr>
      </w:pPr>
      <w:r>
        <w:rPr>
          <w:rFonts w:eastAsia="Arial" w:cs="Arial"/>
          <w:sz w:val="20"/>
          <w:szCs w:val="20"/>
        </w:rPr>
        <w:t>2015/594465-0; Project: WPPHL1611480.</w:t>
      </w:r>
    </w:p>
    <w:p w14:paraId="178D7358" w14:textId="77777777" w:rsidR="007C6854" w:rsidRDefault="007C6854">
      <w:pPr>
        <w:spacing w:after="0" w:line="221" w:lineRule="auto"/>
        <w:rPr>
          <w:rFonts w:eastAsia="Arial" w:cs="Arial"/>
          <w:sz w:val="20"/>
          <w:szCs w:val="20"/>
        </w:rPr>
      </w:pPr>
    </w:p>
    <w:p w14:paraId="288EB370" w14:textId="77777777" w:rsidR="007C6854" w:rsidRDefault="00E0219E">
      <w:pPr>
        <w:numPr>
          <w:ilvl w:val="0"/>
          <w:numId w:val="34"/>
        </w:numPr>
        <w:tabs>
          <w:tab w:val="left" w:pos="720"/>
        </w:tabs>
        <w:spacing w:after="0" w:line="222" w:lineRule="auto"/>
        <w:ind w:left="720" w:right="320" w:hanging="360"/>
        <w:jc w:val="both"/>
        <w:rPr>
          <w:rFonts w:eastAsia="Arial" w:cs="Arial"/>
          <w:sz w:val="20"/>
          <w:szCs w:val="20"/>
        </w:rPr>
      </w:pPr>
      <w:r>
        <w:rPr>
          <w:rFonts w:eastAsia="Arial" w:cs="Arial"/>
          <w:b/>
          <w:sz w:val="20"/>
          <w:szCs w:val="20"/>
        </w:rPr>
        <w:t>NCD Support for Enhancing PEN Implementation and Injury Prevention</w:t>
      </w:r>
      <w:r>
        <w:rPr>
          <w:rFonts w:eastAsia="Arial" w:cs="Arial"/>
          <w:sz w:val="20"/>
          <w:szCs w:val="20"/>
        </w:rPr>
        <w:t>, World Health</w:t>
      </w:r>
      <w:r>
        <w:rPr>
          <w:rFonts w:eastAsia="Arial" w:cs="Arial"/>
          <w:b/>
          <w:sz w:val="20"/>
          <w:szCs w:val="20"/>
        </w:rPr>
        <w:t xml:space="preserve"> </w:t>
      </w:r>
      <w:r>
        <w:rPr>
          <w:rFonts w:eastAsia="Arial" w:cs="Arial"/>
          <w:sz w:val="20"/>
          <w:szCs w:val="20"/>
        </w:rPr>
        <w:t xml:space="preserve">Organization as a </w:t>
      </w:r>
      <w:r>
        <w:rPr>
          <w:rFonts w:eastAsia="Arial" w:cs="Arial"/>
          <w:b/>
          <w:sz w:val="20"/>
          <w:szCs w:val="20"/>
        </w:rPr>
        <w:t>Short-term Consultant (STC)</w:t>
      </w:r>
      <w:r>
        <w:rPr>
          <w:rFonts w:eastAsia="Arial" w:cs="Arial"/>
          <w:sz w:val="20"/>
          <w:szCs w:val="20"/>
        </w:rPr>
        <w:t xml:space="preserve"> </w:t>
      </w:r>
      <w:r>
        <w:rPr>
          <w:rFonts w:eastAsia="Arial" w:cs="Arial"/>
          <w:b/>
          <w:sz w:val="20"/>
          <w:szCs w:val="20"/>
        </w:rPr>
        <w:t>–</w:t>
      </w:r>
      <w:r>
        <w:rPr>
          <w:rFonts w:eastAsia="Arial" w:cs="Arial"/>
          <w:sz w:val="20"/>
          <w:szCs w:val="20"/>
        </w:rPr>
        <w:t xml:space="preserve"> </w:t>
      </w:r>
      <w:r>
        <w:rPr>
          <w:rFonts w:eastAsia="Arial" w:cs="Arial"/>
          <w:b/>
          <w:sz w:val="20"/>
          <w:szCs w:val="20"/>
        </w:rPr>
        <w:t>Technical Coordinator/Consultant,</w:t>
      </w:r>
      <w:r>
        <w:rPr>
          <w:rFonts w:eastAsia="Arial" w:cs="Arial"/>
          <w:sz w:val="20"/>
          <w:szCs w:val="20"/>
        </w:rPr>
        <w:t xml:space="preserve"> 1 June 2015 to 31 December 2015. Contract No. 201246124; WHO Reference No.</w:t>
      </w:r>
    </w:p>
    <w:p w14:paraId="05869992" w14:textId="77777777" w:rsidR="007C6854" w:rsidRDefault="00E0219E">
      <w:pPr>
        <w:spacing w:after="0" w:line="226" w:lineRule="auto"/>
        <w:ind w:left="720"/>
        <w:rPr>
          <w:rFonts w:eastAsia="Arial" w:cs="Arial"/>
          <w:sz w:val="20"/>
          <w:szCs w:val="20"/>
        </w:rPr>
      </w:pPr>
      <w:r>
        <w:rPr>
          <w:rFonts w:eastAsia="Arial" w:cs="Arial"/>
          <w:sz w:val="20"/>
          <w:szCs w:val="20"/>
        </w:rPr>
        <w:t>2015/528504-0; WHO REG. FILE NO. PHL-15-NCD-002526.</w:t>
      </w:r>
    </w:p>
    <w:p w14:paraId="17BE2D44" w14:textId="77777777" w:rsidR="007C6854" w:rsidRDefault="007C6854">
      <w:pPr>
        <w:spacing w:after="0" w:line="218" w:lineRule="auto"/>
        <w:rPr>
          <w:rFonts w:eastAsia="Arial" w:cs="Arial"/>
          <w:sz w:val="20"/>
          <w:szCs w:val="20"/>
        </w:rPr>
      </w:pPr>
    </w:p>
    <w:p w14:paraId="75DB3828" w14:textId="77777777" w:rsidR="007C6854" w:rsidRDefault="00E0219E">
      <w:pPr>
        <w:numPr>
          <w:ilvl w:val="0"/>
          <w:numId w:val="34"/>
        </w:numPr>
        <w:tabs>
          <w:tab w:val="left" w:pos="720"/>
        </w:tabs>
        <w:spacing w:after="0" w:line="221" w:lineRule="auto"/>
        <w:ind w:left="720" w:right="360" w:hanging="360"/>
        <w:rPr>
          <w:rFonts w:eastAsia="Arial" w:cs="Arial"/>
          <w:sz w:val="20"/>
          <w:szCs w:val="20"/>
        </w:rPr>
      </w:pPr>
      <w:r>
        <w:rPr>
          <w:rFonts w:eastAsia="Arial" w:cs="Arial"/>
          <w:b/>
          <w:sz w:val="20"/>
          <w:szCs w:val="20"/>
        </w:rPr>
        <w:t xml:space="preserve">Technical Assistance in Haiyan-affected Areas on WHO Package of Noncommunicable Diseases Intervention in the Primary Health Care Facilities </w:t>
      </w:r>
      <w:r>
        <w:rPr>
          <w:rFonts w:eastAsia="Arial" w:cs="Arial"/>
          <w:sz w:val="20"/>
          <w:szCs w:val="20"/>
        </w:rPr>
        <w:t>in</w:t>
      </w:r>
      <w:r>
        <w:rPr>
          <w:rFonts w:eastAsia="Arial" w:cs="Arial"/>
          <w:b/>
          <w:sz w:val="20"/>
          <w:szCs w:val="20"/>
        </w:rPr>
        <w:t xml:space="preserve"> </w:t>
      </w:r>
      <w:r>
        <w:rPr>
          <w:rFonts w:eastAsia="Arial" w:cs="Arial"/>
          <w:sz w:val="20"/>
          <w:szCs w:val="20"/>
        </w:rPr>
        <w:t xml:space="preserve">Region 8 – Eastern Visayas Region, World Health Organization as a </w:t>
      </w:r>
      <w:r>
        <w:rPr>
          <w:rFonts w:eastAsia="Arial" w:cs="Arial"/>
          <w:b/>
          <w:sz w:val="20"/>
          <w:szCs w:val="20"/>
        </w:rPr>
        <w:t>Short-term</w:t>
      </w:r>
      <w:r>
        <w:rPr>
          <w:rFonts w:eastAsia="Arial" w:cs="Arial"/>
          <w:sz w:val="20"/>
          <w:szCs w:val="20"/>
        </w:rPr>
        <w:t xml:space="preserve"> </w:t>
      </w:r>
      <w:r>
        <w:rPr>
          <w:rFonts w:eastAsia="Arial" w:cs="Arial"/>
          <w:b/>
          <w:sz w:val="20"/>
          <w:szCs w:val="20"/>
        </w:rPr>
        <w:t xml:space="preserve">Consultant (STC) - Assistant Technical Officer/Consultant, </w:t>
      </w:r>
      <w:r>
        <w:rPr>
          <w:rFonts w:eastAsia="Arial" w:cs="Arial"/>
          <w:sz w:val="20"/>
          <w:szCs w:val="20"/>
        </w:rPr>
        <w:t>26 July 2014 to 31 March</w:t>
      </w:r>
      <w:r>
        <w:rPr>
          <w:rFonts w:eastAsia="Arial" w:cs="Arial"/>
          <w:b/>
          <w:sz w:val="20"/>
          <w:szCs w:val="20"/>
        </w:rPr>
        <w:t xml:space="preserve"> </w:t>
      </w:r>
      <w:r>
        <w:rPr>
          <w:rFonts w:eastAsia="Arial" w:cs="Arial"/>
          <w:sz w:val="20"/>
          <w:szCs w:val="20"/>
        </w:rPr>
        <w:lastRenderedPageBreak/>
        <w:t>2015. Contract No. 201153612; WHO Reference No. 2015/92005-0; WHO REG. FILE NO. PHL-15-EHA-000125.</w:t>
      </w:r>
    </w:p>
    <w:p w14:paraId="7606480B" w14:textId="77777777" w:rsidR="007C6854" w:rsidRDefault="007C6854">
      <w:pPr>
        <w:tabs>
          <w:tab w:val="left" w:pos="720"/>
        </w:tabs>
        <w:spacing w:after="0" w:line="221" w:lineRule="auto"/>
        <w:ind w:right="360"/>
        <w:rPr>
          <w:rFonts w:eastAsia="Arial" w:cs="Arial"/>
          <w:sz w:val="20"/>
          <w:szCs w:val="20"/>
        </w:rPr>
      </w:pPr>
    </w:p>
    <w:p w14:paraId="6A06D564" w14:textId="77777777" w:rsidR="007C6854" w:rsidRDefault="00E0219E">
      <w:pPr>
        <w:numPr>
          <w:ilvl w:val="0"/>
          <w:numId w:val="34"/>
        </w:numPr>
        <w:tabs>
          <w:tab w:val="left" w:pos="720"/>
        </w:tabs>
        <w:spacing w:after="0" w:line="221" w:lineRule="auto"/>
        <w:ind w:left="720" w:right="360" w:hanging="360"/>
        <w:rPr>
          <w:rFonts w:eastAsia="Arial" w:cs="Arial"/>
          <w:sz w:val="20"/>
          <w:szCs w:val="20"/>
        </w:rPr>
      </w:pPr>
      <w:r>
        <w:rPr>
          <w:rFonts w:eastAsia="Arial" w:cs="Arial"/>
          <w:b/>
          <w:sz w:val="20"/>
          <w:szCs w:val="20"/>
        </w:rPr>
        <w:t xml:space="preserve">Adaptation of WHO Package of Essential Noncommunicable (PEN) Interventions for countries in the Western Pacific Region: </w:t>
      </w:r>
      <w:r>
        <w:rPr>
          <w:rFonts w:eastAsia="Arial" w:cs="Arial"/>
          <w:sz w:val="20"/>
          <w:szCs w:val="20"/>
        </w:rPr>
        <w:t xml:space="preserve">A Sourcebook for </w:t>
      </w:r>
      <w:proofErr w:type="spellStart"/>
      <w:r>
        <w:rPr>
          <w:rFonts w:eastAsia="Arial" w:cs="Arial"/>
          <w:sz w:val="20"/>
          <w:szCs w:val="20"/>
        </w:rPr>
        <w:t>Programme</w:t>
      </w:r>
      <w:proofErr w:type="spellEnd"/>
      <w:r>
        <w:rPr>
          <w:rFonts w:eastAsia="Arial" w:cs="Arial"/>
          <w:sz w:val="20"/>
          <w:szCs w:val="20"/>
        </w:rPr>
        <w:t xml:space="preserve"> Managers;</w:t>
      </w:r>
      <w:r>
        <w:rPr>
          <w:rFonts w:eastAsia="Arial" w:cs="Arial"/>
          <w:b/>
          <w:sz w:val="20"/>
          <w:szCs w:val="20"/>
        </w:rPr>
        <w:t xml:space="preserve"> </w:t>
      </w:r>
      <w:r>
        <w:rPr>
          <w:rFonts w:eastAsia="Arial" w:cs="Arial"/>
          <w:sz w:val="20"/>
          <w:szCs w:val="20"/>
        </w:rPr>
        <w:t xml:space="preserve">Medical Emergency Relief International-Philippines (Merlin Philippines) as a </w:t>
      </w:r>
      <w:r>
        <w:rPr>
          <w:rFonts w:eastAsia="Arial" w:cs="Arial"/>
          <w:b/>
          <w:sz w:val="20"/>
          <w:szCs w:val="20"/>
        </w:rPr>
        <w:t>Local Service</w:t>
      </w:r>
      <w:r>
        <w:rPr>
          <w:rFonts w:eastAsia="Arial" w:cs="Arial"/>
          <w:sz w:val="20"/>
          <w:szCs w:val="20"/>
        </w:rPr>
        <w:t xml:space="preserve"> </w:t>
      </w:r>
      <w:r>
        <w:rPr>
          <w:rFonts w:eastAsia="Arial" w:cs="Arial"/>
          <w:b/>
          <w:sz w:val="20"/>
          <w:szCs w:val="20"/>
        </w:rPr>
        <w:t xml:space="preserve">Provider, </w:t>
      </w:r>
      <w:r>
        <w:rPr>
          <w:rFonts w:eastAsia="Arial" w:cs="Arial"/>
          <w:sz w:val="20"/>
          <w:szCs w:val="20"/>
        </w:rPr>
        <w:t>January 28, 2013 to March 31, 2013.</w:t>
      </w:r>
    </w:p>
    <w:p w14:paraId="23353FDC" w14:textId="77777777" w:rsidR="007C6854" w:rsidRDefault="007C6854">
      <w:pPr>
        <w:tabs>
          <w:tab w:val="left" w:pos="720"/>
        </w:tabs>
        <w:spacing w:line="238" w:lineRule="auto"/>
        <w:ind w:right="300"/>
        <w:rPr>
          <w:rFonts w:eastAsia="Arial" w:cs="Arial"/>
          <w:sz w:val="20"/>
          <w:szCs w:val="20"/>
        </w:rPr>
      </w:pPr>
    </w:p>
    <w:p w14:paraId="4CDFAF4A" w14:textId="77777777" w:rsidR="007C6854" w:rsidRDefault="00E0219E">
      <w:pPr>
        <w:tabs>
          <w:tab w:val="left" w:pos="720"/>
        </w:tabs>
        <w:spacing w:line="238" w:lineRule="auto"/>
        <w:ind w:right="300"/>
        <w:rPr>
          <w:rFonts w:eastAsia="Arial" w:cs="Arial"/>
          <w:sz w:val="20"/>
          <w:szCs w:val="20"/>
        </w:rPr>
      </w:pPr>
      <w:r>
        <w:rPr>
          <w:rFonts w:eastAsia="Arial" w:cs="Arial"/>
          <w:sz w:val="20"/>
          <w:szCs w:val="20"/>
        </w:rPr>
        <w:t>Other Consultancy involvement includes: Capacity-building among HRH deployed to Visayas Region; Conduct of rapid assessment survey during disaster; Involved in the scale up of Reaching the Urban Poor Approach; Piloting of FP-MNCHN approach in the context of Universal Health in the National Capital Region in the Philippines; Piloting project for reversal of NCD epidemic using the Package of Essential Noncommunicable disease interventions (WHO-PEN); Conducting of survey and rapid assessment as the primary investigator on Tobacco control (Mini-GATS), Road Traffic Accident Estimation, and Behavioral risk factors survey among Business Process Outsourcing agents in Manila, Philippines; and Evaluation of a surveillance systems.</w:t>
      </w:r>
    </w:p>
    <w:p w14:paraId="3C5497F4" w14:textId="77777777" w:rsidR="007C6854" w:rsidRDefault="00E0219E">
      <w:pPr>
        <w:rPr>
          <w:rFonts w:eastAsia="Arial" w:cs="Arial"/>
          <w:sz w:val="20"/>
          <w:szCs w:val="20"/>
        </w:rPr>
      </w:pPr>
      <w:r>
        <w:rPr>
          <w:rFonts w:eastAsia="Arial" w:cs="Arial"/>
          <w:b/>
          <w:i/>
          <w:sz w:val="20"/>
          <w:szCs w:val="20"/>
          <w:u w:val="single"/>
        </w:rPr>
        <w:t>Publication</w:t>
      </w:r>
    </w:p>
    <w:p w14:paraId="14563EF7" w14:textId="77777777" w:rsidR="007C6854" w:rsidRDefault="00E0219E">
      <w:pPr>
        <w:numPr>
          <w:ilvl w:val="0"/>
          <w:numId w:val="22"/>
        </w:numPr>
        <w:tabs>
          <w:tab w:val="left" w:pos="720"/>
        </w:tabs>
        <w:spacing w:after="0" w:line="237" w:lineRule="auto"/>
        <w:ind w:left="720" w:right="500" w:hanging="360"/>
        <w:rPr>
          <w:rFonts w:eastAsia="Arial" w:cs="Arial"/>
          <w:color w:val="424242"/>
          <w:sz w:val="20"/>
          <w:szCs w:val="20"/>
        </w:rPr>
      </w:pPr>
      <w:r>
        <w:rPr>
          <w:rFonts w:eastAsia="Arial" w:cs="Arial"/>
          <w:color w:val="424242"/>
          <w:sz w:val="20"/>
          <w:szCs w:val="20"/>
        </w:rPr>
        <w:t xml:space="preserve">Martinez RE, Go JJ and Guevarra J. Epidemiology of drowning deaths in the Philippines, 1980 to 2011. Western Pac </w:t>
      </w:r>
      <w:proofErr w:type="spellStart"/>
      <w:r>
        <w:rPr>
          <w:rFonts w:eastAsia="Arial" w:cs="Arial"/>
          <w:color w:val="424242"/>
          <w:sz w:val="20"/>
          <w:szCs w:val="20"/>
        </w:rPr>
        <w:t>Surveill</w:t>
      </w:r>
      <w:proofErr w:type="spellEnd"/>
      <w:r>
        <w:rPr>
          <w:rFonts w:eastAsia="Arial" w:cs="Arial"/>
          <w:color w:val="424242"/>
          <w:sz w:val="20"/>
          <w:szCs w:val="20"/>
        </w:rPr>
        <w:t xml:space="preserve"> Response J. 2016 Nov 8;7(4). doi:10.5365/wpsar.2016.7.2.005. (Author)</w:t>
      </w:r>
    </w:p>
    <w:p w14:paraId="4BBA3C9B" w14:textId="77777777" w:rsidR="007C6854" w:rsidRDefault="00E0219E">
      <w:pPr>
        <w:numPr>
          <w:ilvl w:val="0"/>
          <w:numId w:val="22"/>
        </w:numPr>
        <w:tabs>
          <w:tab w:val="left" w:pos="720"/>
        </w:tabs>
        <w:spacing w:after="0" w:line="236" w:lineRule="auto"/>
        <w:ind w:left="720" w:right="240" w:hanging="360"/>
        <w:rPr>
          <w:rFonts w:eastAsia="Arial" w:cs="Arial"/>
          <w:color w:val="424242"/>
          <w:sz w:val="20"/>
          <w:szCs w:val="20"/>
        </w:rPr>
      </w:pPr>
      <w:r>
        <w:rPr>
          <w:rFonts w:eastAsia="Arial" w:cs="Arial"/>
          <w:color w:val="424242"/>
          <w:sz w:val="20"/>
          <w:szCs w:val="20"/>
        </w:rPr>
        <w:t xml:space="preserve">Martinez RE et al. Surveillance for and issues relating to noncommunicable diseases post-Haiyan in Region 8. Western Pacific Surveillance and Response Journal, 2015, 6 (Suppl 1). </w:t>
      </w:r>
      <w:proofErr w:type="gramStart"/>
      <w:r>
        <w:rPr>
          <w:rFonts w:eastAsia="Arial" w:cs="Arial"/>
          <w:color w:val="424242"/>
          <w:sz w:val="20"/>
          <w:szCs w:val="20"/>
        </w:rPr>
        <w:t>doi:10.5365/wpsar.2015.6.3.HYN</w:t>
      </w:r>
      <w:proofErr w:type="gramEnd"/>
      <w:r>
        <w:rPr>
          <w:rFonts w:eastAsia="Arial" w:cs="Arial"/>
          <w:color w:val="424242"/>
          <w:sz w:val="20"/>
          <w:szCs w:val="20"/>
        </w:rPr>
        <w:t>_020 (Author)</w:t>
      </w:r>
    </w:p>
    <w:p w14:paraId="42B3ECF6" w14:textId="77777777" w:rsidR="007C6854" w:rsidRDefault="00E0219E">
      <w:pPr>
        <w:numPr>
          <w:ilvl w:val="0"/>
          <w:numId w:val="22"/>
        </w:numPr>
        <w:tabs>
          <w:tab w:val="left" w:pos="720"/>
        </w:tabs>
        <w:spacing w:after="0" w:line="237" w:lineRule="auto"/>
        <w:ind w:left="720" w:right="480" w:hanging="360"/>
        <w:rPr>
          <w:rFonts w:eastAsia="Arial" w:cs="Arial"/>
          <w:color w:val="424242"/>
          <w:sz w:val="20"/>
          <w:szCs w:val="20"/>
        </w:rPr>
      </w:pPr>
      <w:r>
        <w:rPr>
          <w:rFonts w:eastAsia="Arial" w:cs="Arial"/>
          <w:color w:val="424242"/>
          <w:sz w:val="20"/>
          <w:szCs w:val="20"/>
        </w:rPr>
        <w:t xml:space="preserve">Martinez RE et al. Use of WHO Package of Essential Noncommunicable Disease Interventions after Typhoon Haiyan. Western Pacific Surveillance and Response Journal, 2015, 6 (Suppl 1). </w:t>
      </w:r>
      <w:proofErr w:type="gramStart"/>
      <w:r>
        <w:rPr>
          <w:rFonts w:eastAsia="Arial" w:cs="Arial"/>
          <w:color w:val="424242"/>
          <w:sz w:val="20"/>
          <w:szCs w:val="20"/>
        </w:rPr>
        <w:t>doi:10.5365/wpsar.2015.6.3.HYN</w:t>
      </w:r>
      <w:proofErr w:type="gramEnd"/>
      <w:r>
        <w:rPr>
          <w:rFonts w:eastAsia="Arial" w:cs="Arial"/>
          <w:color w:val="424242"/>
          <w:sz w:val="20"/>
          <w:szCs w:val="20"/>
        </w:rPr>
        <w:t>_024 (Author)</w:t>
      </w:r>
    </w:p>
    <w:p w14:paraId="0B966D5E" w14:textId="77777777" w:rsidR="007C6854" w:rsidRDefault="00E0219E">
      <w:pPr>
        <w:numPr>
          <w:ilvl w:val="0"/>
          <w:numId w:val="22"/>
        </w:numPr>
        <w:tabs>
          <w:tab w:val="left" w:pos="720"/>
        </w:tabs>
        <w:spacing w:after="0" w:line="237" w:lineRule="auto"/>
        <w:ind w:left="720" w:right="40" w:hanging="360"/>
        <w:rPr>
          <w:rFonts w:eastAsia="Arial" w:cs="Arial"/>
          <w:color w:val="424242"/>
          <w:sz w:val="20"/>
          <w:szCs w:val="20"/>
        </w:rPr>
      </w:pPr>
      <w:r>
        <w:rPr>
          <w:rFonts w:eastAsia="Arial" w:cs="Arial"/>
          <w:color w:val="424242"/>
          <w:sz w:val="20"/>
          <w:szCs w:val="20"/>
        </w:rPr>
        <w:t xml:space="preserve">Joyce P. Parco, Rammell Eric C. Martinez, </w:t>
      </w:r>
      <w:proofErr w:type="spellStart"/>
      <w:r>
        <w:rPr>
          <w:rFonts w:eastAsia="Arial" w:cs="Arial"/>
          <w:color w:val="424242"/>
          <w:sz w:val="20"/>
          <w:szCs w:val="20"/>
        </w:rPr>
        <w:t>Ernani</w:t>
      </w:r>
      <w:proofErr w:type="spellEnd"/>
      <w:r>
        <w:rPr>
          <w:rFonts w:eastAsia="Arial" w:cs="Arial"/>
          <w:color w:val="424242"/>
          <w:sz w:val="20"/>
          <w:szCs w:val="20"/>
        </w:rPr>
        <w:t xml:space="preserve"> R. </w:t>
      </w:r>
      <w:proofErr w:type="spellStart"/>
      <w:r>
        <w:rPr>
          <w:rFonts w:eastAsia="Arial" w:cs="Arial"/>
          <w:color w:val="424242"/>
          <w:sz w:val="20"/>
          <w:szCs w:val="20"/>
        </w:rPr>
        <w:t>Bullecer</w:t>
      </w:r>
      <w:proofErr w:type="spellEnd"/>
      <w:r>
        <w:rPr>
          <w:rFonts w:eastAsia="Arial" w:cs="Arial"/>
          <w:color w:val="424242"/>
          <w:sz w:val="20"/>
          <w:szCs w:val="20"/>
        </w:rPr>
        <w:t>. Assessment of the Capacity to Prevent and Manage Major Non-</w:t>
      </w:r>
      <w:proofErr w:type="gramStart"/>
      <w:r>
        <w:rPr>
          <w:rFonts w:eastAsia="Arial" w:cs="Arial"/>
          <w:color w:val="424242"/>
          <w:sz w:val="20"/>
          <w:szCs w:val="20"/>
        </w:rPr>
        <w:t>communicable</w:t>
      </w:r>
      <w:proofErr w:type="gramEnd"/>
      <w:r>
        <w:rPr>
          <w:rFonts w:eastAsia="Arial" w:cs="Arial"/>
          <w:color w:val="424242"/>
          <w:sz w:val="20"/>
          <w:szCs w:val="20"/>
        </w:rPr>
        <w:t xml:space="preserve"> Diseases in Primary Health Care Centers in Pateros, Metro Manila, Philippines. Philippine Journal of Health Research and Development, Vol. 19, Issue 3 (2015) ISSN: 0118-08-78 (Co-Author)</w:t>
      </w:r>
    </w:p>
    <w:p w14:paraId="24EE5404" w14:textId="77777777" w:rsidR="007C6854" w:rsidRDefault="00E0219E">
      <w:pPr>
        <w:numPr>
          <w:ilvl w:val="0"/>
          <w:numId w:val="22"/>
        </w:numPr>
        <w:tabs>
          <w:tab w:val="left" w:pos="720"/>
        </w:tabs>
        <w:spacing w:after="0" w:line="237" w:lineRule="auto"/>
        <w:ind w:left="720" w:right="40" w:hanging="360"/>
        <w:rPr>
          <w:rFonts w:eastAsia="Arial" w:cs="Arial"/>
          <w:color w:val="424242"/>
          <w:sz w:val="20"/>
          <w:szCs w:val="20"/>
        </w:rPr>
      </w:pPr>
      <w:proofErr w:type="gramStart"/>
      <w:r>
        <w:rPr>
          <w:rFonts w:eastAsia="Arial" w:cs="Arial"/>
          <w:color w:val="424242"/>
          <w:sz w:val="20"/>
          <w:szCs w:val="20"/>
        </w:rPr>
        <w:t>Guevarra,J.P.</w:t>
      </w:r>
      <w:proofErr w:type="gramEnd"/>
      <w:r>
        <w:rPr>
          <w:rFonts w:eastAsia="Arial" w:cs="Arial"/>
          <w:color w:val="424242"/>
          <w:sz w:val="20"/>
          <w:szCs w:val="20"/>
        </w:rPr>
        <w:t>;</w:t>
      </w:r>
      <w:proofErr w:type="spellStart"/>
      <w:r>
        <w:rPr>
          <w:rFonts w:eastAsia="Arial" w:cs="Arial"/>
          <w:color w:val="424242"/>
          <w:sz w:val="20"/>
          <w:szCs w:val="20"/>
        </w:rPr>
        <w:t>Peden,A.E</w:t>
      </w:r>
      <w:proofErr w:type="spellEnd"/>
      <w:r>
        <w:rPr>
          <w:rFonts w:eastAsia="Arial" w:cs="Arial"/>
          <w:color w:val="424242"/>
          <w:sz w:val="20"/>
          <w:szCs w:val="20"/>
        </w:rPr>
        <w:t xml:space="preserve">.; </w:t>
      </w:r>
      <w:proofErr w:type="spellStart"/>
      <w:r>
        <w:rPr>
          <w:rFonts w:eastAsia="Arial" w:cs="Arial"/>
          <w:color w:val="424242"/>
          <w:sz w:val="20"/>
          <w:szCs w:val="20"/>
        </w:rPr>
        <w:t>Orbillo</w:t>
      </w:r>
      <w:proofErr w:type="spellEnd"/>
      <w:r>
        <w:rPr>
          <w:rFonts w:eastAsia="Arial" w:cs="Arial"/>
          <w:color w:val="424242"/>
          <w:sz w:val="20"/>
          <w:szCs w:val="20"/>
        </w:rPr>
        <w:t xml:space="preserve">, L.L.; Uy, M.R.S.Z.; </w:t>
      </w:r>
      <w:proofErr w:type="spellStart"/>
      <w:r>
        <w:rPr>
          <w:rFonts w:eastAsia="Arial" w:cs="Arial"/>
          <w:color w:val="424242"/>
          <w:sz w:val="20"/>
          <w:szCs w:val="20"/>
        </w:rPr>
        <w:t>Madrilejos</w:t>
      </w:r>
      <w:proofErr w:type="spellEnd"/>
      <w:r>
        <w:rPr>
          <w:rFonts w:eastAsia="Arial" w:cs="Arial"/>
          <w:color w:val="424242"/>
          <w:sz w:val="20"/>
          <w:szCs w:val="20"/>
        </w:rPr>
        <w:t xml:space="preserve">, J.J.R.; Go, J.J.L.; Martinez, R.E.C.; </w:t>
      </w:r>
      <w:proofErr w:type="spellStart"/>
      <w:r>
        <w:rPr>
          <w:rFonts w:eastAsia="Arial" w:cs="Arial"/>
          <w:color w:val="424242"/>
          <w:sz w:val="20"/>
          <w:szCs w:val="20"/>
        </w:rPr>
        <w:t>Cavinta</w:t>
      </w:r>
      <w:proofErr w:type="spellEnd"/>
      <w:r>
        <w:rPr>
          <w:rFonts w:eastAsia="Arial" w:cs="Arial"/>
          <w:color w:val="424242"/>
          <w:sz w:val="20"/>
          <w:szCs w:val="20"/>
        </w:rPr>
        <w:t>, L.L.; Franklin, R.C. Preventing Child Drowning in the Philippines: The Need to Address the Determinants of Health. Children 2021, 8, 29. https://doi.org/10.3390/ children8010029 (Co-Author)</w:t>
      </w:r>
    </w:p>
    <w:p w14:paraId="6619DF03" w14:textId="77777777" w:rsidR="007C6854" w:rsidRDefault="007C6854">
      <w:pPr>
        <w:spacing w:line="257" w:lineRule="auto"/>
        <w:rPr>
          <w:rFonts w:eastAsia="Arial" w:cs="Arial"/>
          <w:sz w:val="20"/>
          <w:szCs w:val="20"/>
        </w:rPr>
      </w:pPr>
    </w:p>
    <w:p w14:paraId="098D73D3" w14:textId="77777777" w:rsidR="007C6854" w:rsidRDefault="00E0219E">
      <w:pPr>
        <w:rPr>
          <w:rFonts w:eastAsia="Arial" w:cs="Arial"/>
          <w:sz w:val="20"/>
          <w:szCs w:val="20"/>
        </w:rPr>
      </w:pPr>
      <w:r>
        <w:rPr>
          <w:rFonts w:eastAsia="Arial" w:cs="Arial"/>
          <w:b/>
          <w:i/>
          <w:sz w:val="20"/>
          <w:szCs w:val="20"/>
          <w:u w:val="single"/>
        </w:rPr>
        <w:t>ACADEMIC and PROFESSIONAL EXPERIENCE</w:t>
      </w:r>
    </w:p>
    <w:p w14:paraId="12A11130" w14:textId="77777777" w:rsidR="007C6854" w:rsidRDefault="00E0219E">
      <w:pPr>
        <w:rPr>
          <w:rFonts w:eastAsia="Arial" w:cs="Arial"/>
          <w:sz w:val="20"/>
          <w:szCs w:val="20"/>
        </w:rPr>
      </w:pPr>
      <w:r>
        <w:rPr>
          <w:rFonts w:eastAsia="Arial" w:cs="Arial"/>
          <w:b/>
          <w:i/>
          <w:sz w:val="20"/>
          <w:szCs w:val="20"/>
          <w:u w:val="single"/>
        </w:rPr>
        <w:t>International Disaster Response</w:t>
      </w:r>
    </w:p>
    <w:p w14:paraId="481D265E" w14:textId="77777777" w:rsidR="007C6854" w:rsidRDefault="00E0219E">
      <w:pPr>
        <w:numPr>
          <w:ilvl w:val="0"/>
          <w:numId w:val="23"/>
        </w:numPr>
        <w:tabs>
          <w:tab w:val="left" w:pos="720"/>
        </w:tabs>
        <w:spacing w:after="0" w:line="218" w:lineRule="auto"/>
        <w:ind w:left="720" w:right="960" w:hanging="360"/>
        <w:rPr>
          <w:rFonts w:eastAsia="Arial" w:cs="Arial"/>
          <w:sz w:val="20"/>
          <w:szCs w:val="20"/>
        </w:rPr>
      </w:pPr>
      <w:r>
        <w:rPr>
          <w:rFonts w:eastAsia="Arial" w:cs="Arial"/>
          <w:sz w:val="20"/>
          <w:szCs w:val="20"/>
        </w:rPr>
        <w:t>Haiti Earthquake – Philippine Medical Team to Haiti (Epidemiologist/Public Health Specialist), January 25, 2010 to February 15, 2010</w:t>
      </w:r>
    </w:p>
    <w:p w14:paraId="2155CC60" w14:textId="77777777" w:rsidR="007C6854" w:rsidRDefault="007C6854">
      <w:pPr>
        <w:spacing w:line="245" w:lineRule="auto"/>
        <w:rPr>
          <w:rFonts w:eastAsia="Arial" w:cs="Arial"/>
          <w:sz w:val="20"/>
          <w:szCs w:val="20"/>
        </w:rPr>
      </w:pPr>
    </w:p>
    <w:p w14:paraId="738E4BC0" w14:textId="77777777" w:rsidR="007C6854" w:rsidRDefault="00E0219E">
      <w:pPr>
        <w:spacing w:after="0" w:line="240" w:lineRule="auto"/>
        <w:rPr>
          <w:rFonts w:eastAsia="Arial" w:cs="Arial"/>
          <w:sz w:val="20"/>
          <w:szCs w:val="20"/>
        </w:rPr>
      </w:pPr>
      <w:r>
        <w:rPr>
          <w:rFonts w:eastAsia="Arial" w:cs="Arial"/>
          <w:b/>
          <w:i/>
          <w:sz w:val="20"/>
          <w:szCs w:val="20"/>
          <w:u w:val="single"/>
        </w:rPr>
        <w:t>Primary Investigator and Author – Outbreak and Disaster Response</w:t>
      </w:r>
    </w:p>
    <w:p w14:paraId="34FCEC87" w14:textId="77777777" w:rsidR="007C6854" w:rsidRDefault="007C6854">
      <w:pPr>
        <w:spacing w:after="0" w:line="240" w:lineRule="auto"/>
        <w:rPr>
          <w:rFonts w:eastAsia="Arial" w:cs="Arial"/>
          <w:sz w:val="20"/>
          <w:szCs w:val="20"/>
        </w:rPr>
      </w:pPr>
    </w:p>
    <w:p w14:paraId="660AC08C" w14:textId="77777777" w:rsidR="007C6854" w:rsidRDefault="00E0219E">
      <w:pPr>
        <w:numPr>
          <w:ilvl w:val="0"/>
          <w:numId w:val="8"/>
        </w:numPr>
        <w:tabs>
          <w:tab w:val="left" w:pos="720"/>
        </w:tabs>
        <w:spacing w:after="0" w:line="240" w:lineRule="auto"/>
        <w:ind w:left="720" w:right="780" w:hanging="360"/>
        <w:rPr>
          <w:rFonts w:eastAsia="Arial" w:cs="Arial"/>
          <w:sz w:val="20"/>
          <w:szCs w:val="20"/>
        </w:rPr>
      </w:pPr>
      <w:r>
        <w:rPr>
          <w:rFonts w:eastAsia="Arial" w:cs="Arial"/>
          <w:i/>
          <w:sz w:val="20"/>
          <w:szCs w:val="20"/>
        </w:rPr>
        <w:t xml:space="preserve">Shigellosis Outbreak </w:t>
      </w:r>
      <w:r>
        <w:rPr>
          <w:rFonts w:eastAsia="Arial" w:cs="Arial"/>
          <w:sz w:val="20"/>
          <w:szCs w:val="20"/>
        </w:rPr>
        <w:t xml:space="preserve">in Sitio </w:t>
      </w:r>
      <w:proofErr w:type="spellStart"/>
      <w:r>
        <w:rPr>
          <w:rFonts w:eastAsia="Arial" w:cs="Arial"/>
          <w:sz w:val="20"/>
          <w:szCs w:val="20"/>
        </w:rPr>
        <w:t>Talibong</w:t>
      </w:r>
      <w:proofErr w:type="spellEnd"/>
      <w:r>
        <w:rPr>
          <w:rFonts w:eastAsia="Arial" w:cs="Arial"/>
          <w:sz w:val="20"/>
          <w:szCs w:val="20"/>
        </w:rPr>
        <w:t xml:space="preserve">, </w:t>
      </w:r>
      <w:proofErr w:type="spellStart"/>
      <w:r>
        <w:rPr>
          <w:rFonts w:eastAsia="Arial" w:cs="Arial"/>
          <w:sz w:val="20"/>
          <w:szCs w:val="20"/>
        </w:rPr>
        <w:t>Sto</w:t>
      </w:r>
      <w:proofErr w:type="spellEnd"/>
      <w:r>
        <w:rPr>
          <w:rFonts w:eastAsia="Arial" w:cs="Arial"/>
          <w:sz w:val="20"/>
          <w:szCs w:val="20"/>
        </w:rPr>
        <w:t>. Rosario-</w:t>
      </w:r>
      <w:proofErr w:type="spellStart"/>
      <w:r>
        <w:rPr>
          <w:rFonts w:eastAsia="Arial" w:cs="Arial"/>
          <w:sz w:val="20"/>
          <w:szCs w:val="20"/>
        </w:rPr>
        <w:t>Kanluran</w:t>
      </w:r>
      <w:proofErr w:type="spellEnd"/>
      <w:r>
        <w:rPr>
          <w:rFonts w:eastAsia="Arial" w:cs="Arial"/>
          <w:sz w:val="20"/>
          <w:szCs w:val="20"/>
        </w:rPr>
        <w:t>, Pateros, Metro Manila.</w:t>
      </w:r>
      <w:r>
        <w:rPr>
          <w:rFonts w:eastAsia="Arial" w:cs="Arial"/>
          <w:i/>
          <w:sz w:val="20"/>
          <w:szCs w:val="20"/>
        </w:rPr>
        <w:t xml:space="preserve"> </w:t>
      </w:r>
      <w:r>
        <w:rPr>
          <w:rFonts w:eastAsia="Arial" w:cs="Arial"/>
          <w:sz w:val="20"/>
          <w:szCs w:val="20"/>
        </w:rPr>
        <w:t>National Capital Region. Philippines. 2011(Unpublished)</w:t>
      </w:r>
    </w:p>
    <w:p w14:paraId="45899BF7" w14:textId="77777777" w:rsidR="007C6854" w:rsidRDefault="00E0219E">
      <w:pPr>
        <w:numPr>
          <w:ilvl w:val="0"/>
          <w:numId w:val="8"/>
        </w:numPr>
        <w:tabs>
          <w:tab w:val="left" w:pos="720"/>
        </w:tabs>
        <w:spacing w:after="0" w:line="240" w:lineRule="auto"/>
        <w:ind w:left="720" w:hanging="360"/>
        <w:rPr>
          <w:rFonts w:eastAsia="Arial" w:cs="Arial"/>
          <w:sz w:val="20"/>
          <w:szCs w:val="20"/>
        </w:rPr>
      </w:pPr>
      <w:r>
        <w:rPr>
          <w:rFonts w:eastAsia="Arial" w:cs="Arial"/>
          <w:i/>
          <w:sz w:val="20"/>
          <w:szCs w:val="20"/>
        </w:rPr>
        <w:t xml:space="preserve">Salmonella Typhi </w:t>
      </w:r>
      <w:r>
        <w:rPr>
          <w:rFonts w:eastAsia="Arial" w:cs="Arial"/>
          <w:sz w:val="20"/>
          <w:szCs w:val="20"/>
        </w:rPr>
        <w:t>Outbreak in Calamba City, Laguna. Philippines. 2008 (Unpublished)</w:t>
      </w:r>
    </w:p>
    <w:p w14:paraId="4B313C27" w14:textId="77777777" w:rsidR="007C6854" w:rsidRDefault="00E0219E">
      <w:pPr>
        <w:numPr>
          <w:ilvl w:val="0"/>
          <w:numId w:val="8"/>
        </w:numPr>
        <w:tabs>
          <w:tab w:val="left" w:pos="720"/>
        </w:tabs>
        <w:spacing w:after="0" w:line="240" w:lineRule="auto"/>
        <w:ind w:left="720" w:right="460" w:hanging="360"/>
        <w:rPr>
          <w:rFonts w:eastAsia="Arial" w:cs="Arial"/>
          <w:sz w:val="20"/>
          <w:szCs w:val="20"/>
        </w:rPr>
      </w:pPr>
      <w:r>
        <w:rPr>
          <w:rFonts w:eastAsia="Arial" w:cs="Arial"/>
          <w:i/>
          <w:sz w:val="20"/>
          <w:szCs w:val="20"/>
        </w:rPr>
        <w:t xml:space="preserve">Staphylococcus aureus </w:t>
      </w:r>
      <w:r>
        <w:rPr>
          <w:rFonts w:eastAsia="Arial" w:cs="Arial"/>
          <w:sz w:val="20"/>
          <w:szCs w:val="20"/>
        </w:rPr>
        <w:t>Outbreak in the three Municipalities in Rizal: Case control Study.</w:t>
      </w:r>
      <w:r>
        <w:rPr>
          <w:rFonts w:eastAsia="Arial" w:cs="Arial"/>
          <w:i/>
          <w:sz w:val="20"/>
          <w:szCs w:val="20"/>
        </w:rPr>
        <w:t xml:space="preserve"> </w:t>
      </w:r>
      <w:r>
        <w:rPr>
          <w:rFonts w:eastAsia="Arial" w:cs="Arial"/>
          <w:sz w:val="20"/>
          <w:szCs w:val="20"/>
        </w:rPr>
        <w:t>Philippines. 2008 (Unpublished)</w:t>
      </w:r>
    </w:p>
    <w:p w14:paraId="3ADD93D0" w14:textId="77777777" w:rsidR="007C6854" w:rsidRDefault="00E0219E">
      <w:pPr>
        <w:numPr>
          <w:ilvl w:val="0"/>
          <w:numId w:val="8"/>
        </w:numPr>
        <w:tabs>
          <w:tab w:val="left" w:pos="740"/>
        </w:tabs>
        <w:spacing w:after="0" w:line="240" w:lineRule="auto"/>
        <w:ind w:left="740" w:hanging="380"/>
        <w:rPr>
          <w:rFonts w:eastAsia="Arial" w:cs="Arial"/>
          <w:sz w:val="20"/>
          <w:szCs w:val="20"/>
        </w:rPr>
      </w:pPr>
      <w:r>
        <w:rPr>
          <w:rFonts w:eastAsia="Arial" w:cs="Arial"/>
          <w:sz w:val="20"/>
          <w:szCs w:val="20"/>
        </w:rPr>
        <w:t>Rapid Health Assessment and Disease Surveillance after heavy rainfall brought by Typhoon</w:t>
      </w:r>
    </w:p>
    <w:p w14:paraId="617C5EC3" w14:textId="77777777" w:rsidR="007C6854" w:rsidRDefault="00E0219E">
      <w:pPr>
        <w:spacing w:after="0" w:line="240" w:lineRule="auto"/>
        <w:ind w:left="720"/>
        <w:rPr>
          <w:rFonts w:eastAsia="Arial" w:cs="Arial"/>
          <w:sz w:val="20"/>
          <w:szCs w:val="20"/>
        </w:rPr>
      </w:pPr>
      <w:r>
        <w:rPr>
          <w:rFonts w:eastAsia="Arial" w:cs="Arial"/>
          <w:sz w:val="20"/>
          <w:szCs w:val="20"/>
        </w:rPr>
        <w:t>“Frank” in Iloilo City, Philippines. 2008 (Unpublished)</w:t>
      </w:r>
    </w:p>
    <w:p w14:paraId="7B4C54A0" w14:textId="77777777" w:rsidR="007C6854" w:rsidRDefault="00E0219E">
      <w:pPr>
        <w:spacing w:after="0" w:line="240" w:lineRule="auto"/>
        <w:rPr>
          <w:rFonts w:eastAsia="Arial" w:cs="Arial"/>
          <w:sz w:val="20"/>
          <w:szCs w:val="20"/>
        </w:rPr>
      </w:pPr>
      <w:r>
        <w:rPr>
          <w:rFonts w:eastAsia="Arial" w:cs="Arial"/>
          <w:b/>
          <w:i/>
          <w:sz w:val="20"/>
          <w:szCs w:val="20"/>
          <w:u w:val="single"/>
        </w:rPr>
        <w:t>Co-Author</w:t>
      </w:r>
    </w:p>
    <w:p w14:paraId="3A576CA5" w14:textId="77777777" w:rsidR="007C6854" w:rsidRDefault="007C6854">
      <w:pPr>
        <w:spacing w:after="0" w:line="240" w:lineRule="auto"/>
        <w:rPr>
          <w:rFonts w:eastAsia="Arial" w:cs="Arial"/>
          <w:sz w:val="20"/>
          <w:szCs w:val="20"/>
        </w:rPr>
      </w:pPr>
    </w:p>
    <w:p w14:paraId="46EFCCC8" w14:textId="77777777" w:rsidR="007C6854" w:rsidRDefault="00E0219E">
      <w:pPr>
        <w:numPr>
          <w:ilvl w:val="0"/>
          <w:numId w:val="10"/>
        </w:numPr>
        <w:tabs>
          <w:tab w:val="left" w:pos="720"/>
        </w:tabs>
        <w:spacing w:after="0" w:line="240" w:lineRule="auto"/>
        <w:ind w:left="720" w:right="1220" w:hanging="360"/>
        <w:rPr>
          <w:rFonts w:eastAsia="Arial" w:cs="Arial"/>
          <w:sz w:val="20"/>
          <w:szCs w:val="20"/>
        </w:rPr>
      </w:pPr>
      <w:r>
        <w:rPr>
          <w:rFonts w:eastAsia="Arial" w:cs="Arial"/>
          <w:sz w:val="20"/>
          <w:szCs w:val="20"/>
        </w:rPr>
        <w:t xml:space="preserve">Vibrio Cholerae Outbreak: Case control Study, </w:t>
      </w:r>
      <w:proofErr w:type="spellStart"/>
      <w:r>
        <w:rPr>
          <w:rFonts w:eastAsia="Arial" w:cs="Arial"/>
          <w:sz w:val="20"/>
          <w:szCs w:val="20"/>
        </w:rPr>
        <w:t>Palimbang</w:t>
      </w:r>
      <w:proofErr w:type="spellEnd"/>
      <w:r>
        <w:rPr>
          <w:rFonts w:eastAsia="Arial" w:cs="Arial"/>
          <w:sz w:val="20"/>
          <w:szCs w:val="20"/>
        </w:rPr>
        <w:t xml:space="preserve">, Sultan Kudarat. 2008 </w:t>
      </w:r>
    </w:p>
    <w:p w14:paraId="7890027F" w14:textId="77777777" w:rsidR="007C6854" w:rsidRDefault="00E0219E">
      <w:pPr>
        <w:numPr>
          <w:ilvl w:val="0"/>
          <w:numId w:val="10"/>
        </w:numPr>
        <w:tabs>
          <w:tab w:val="left" w:pos="720"/>
        </w:tabs>
        <w:spacing w:after="0" w:line="240" w:lineRule="auto"/>
        <w:ind w:left="720" w:hanging="360"/>
        <w:rPr>
          <w:rFonts w:eastAsia="Arial" w:cs="Arial"/>
          <w:sz w:val="20"/>
          <w:szCs w:val="20"/>
        </w:rPr>
      </w:pPr>
      <w:r>
        <w:rPr>
          <w:rFonts w:eastAsia="Arial" w:cs="Arial"/>
          <w:sz w:val="20"/>
          <w:szCs w:val="20"/>
        </w:rPr>
        <w:t xml:space="preserve">Leptospirosis Outbreak in Iloilo City. 2008 </w:t>
      </w:r>
    </w:p>
    <w:p w14:paraId="1904208C" w14:textId="77777777" w:rsidR="007C6854" w:rsidRDefault="00E0219E">
      <w:pPr>
        <w:numPr>
          <w:ilvl w:val="0"/>
          <w:numId w:val="10"/>
        </w:numPr>
        <w:tabs>
          <w:tab w:val="left" w:pos="720"/>
        </w:tabs>
        <w:spacing w:after="0" w:line="240" w:lineRule="auto"/>
        <w:ind w:left="720" w:right="240" w:hanging="360"/>
        <w:rPr>
          <w:rFonts w:eastAsia="Arial" w:cs="Arial"/>
          <w:sz w:val="20"/>
          <w:szCs w:val="20"/>
        </w:rPr>
        <w:sectPr w:rsidR="007C6854">
          <w:headerReference w:type="default" r:id="rId222"/>
          <w:footerReference w:type="default" r:id="rId223"/>
          <w:pgSz w:w="11906" w:h="16838"/>
          <w:pgMar w:top="1440" w:right="1440" w:bottom="1440" w:left="1440" w:header="0" w:footer="0" w:gutter="0"/>
          <w:pgNumType w:start="1"/>
          <w:cols w:space="720"/>
        </w:sectPr>
      </w:pPr>
      <w:proofErr w:type="spellStart"/>
      <w:r>
        <w:rPr>
          <w:rFonts w:eastAsia="Arial" w:cs="Arial"/>
          <w:sz w:val="20"/>
          <w:szCs w:val="20"/>
        </w:rPr>
        <w:lastRenderedPageBreak/>
        <w:t>Psuedo</w:t>
      </w:r>
      <w:proofErr w:type="spellEnd"/>
      <w:r>
        <w:rPr>
          <w:rFonts w:eastAsia="Arial" w:cs="Arial"/>
          <w:sz w:val="20"/>
          <w:szCs w:val="20"/>
        </w:rPr>
        <w:t xml:space="preserve"> Outbreak of Typhoid Fever, Municipality of </w:t>
      </w:r>
      <w:proofErr w:type="spellStart"/>
      <w:r>
        <w:rPr>
          <w:rFonts w:eastAsia="Arial" w:cs="Arial"/>
          <w:sz w:val="20"/>
          <w:szCs w:val="20"/>
        </w:rPr>
        <w:t>Rapu-Rapu</w:t>
      </w:r>
      <w:proofErr w:type="spellEnd"/>
      <w:r>
        <w:rPr>
          <w:rFonts w:eastAsia="Arial" w:cs="Arial"/>
          <w:sz w:val="20"/>
          <w:szCs w:val="20"/>
        </w:rPr>
        <w:t>, Bicol. 2008</w:t>
      </w:r>
    </w:p>
    <w:p w14:paraId="4E61645D" w14:textId="77777777" w:rsidR="007C6854" w:rsidRDefault="00E0219E">
      <w:pPr>
        <w:rPr>
          <w:rFonts w:eastAsia="Arial" w:cs="Arial"/>
          <w:sz w:val="20"/>
          <w:szCs w:val="20"/>
        </w:rPr>
      </w:pPr>
      <w:r>
        <w:rPr>
          <w:rFonts w:eastAsia="Arial" w:cs="Arial"/>
          <w:b/>
          <w:i/>
          <w:sz w:val="20"/>
          <w:szCs w:val="20"/>
          <w:u w:val="single"/>
        </w:rPr>
        <w:t>Epidemiology and Disease Surveillance</w:t>
      </w:r>
    </w:p>
    <w:p w14:paraId="095424E5" w14:textId="77777777" w:rsidR="007C6854" w:rsidRDefault="00E0219E">
      <w:pPr>
        <w:numPr>
          <w:ilvl w:val="0"/>
          <w:numId w:val="17"/>
        </w:numPr>
        <w:tabs>
          <w:tab w:val="left" w:pos="720"/>
        </w:tabs>
        <w:spacing w:after="0" w:line="236" w:lineRule="auto"/>
        <w:ind w:left="720" w:hanging="360"/>
        <w:jc w:val="both"/>
        <w:rPr>
          <w:rFonts w:eastAsia="Arial" w:cs="Arial"/>
          <w:sz w:val="20"/>
          <w:szCs w:val="20"/>
        </w:rPr>
      </w:pPr>
      <w:r>
        <w:rPr>
          <w:rFonts w:eastAsia="Arial" w:cs="Arial"/>
          <w:b/>
          <w:sz w:val="20"/>
          <w:szCs w:val="20"/>
        </w:rPr>
        <w:t>Pateros Epidemiology and Surveillance Unit</w:t>
      </w:r>
      <w:r>
        <w:rPr>
          <w:rFonts w:eastAsia="Arial" w:cs="Arial"/>
          <w:sz w:val="20"/>
          <w:szCs w:val="20"/>
        </w:rPr>
        <w:t>: Analyzed and produced weekly morbidity</w:t>
      </w:r>
      <w:r>
        <w:rPr>
          <w:rFonts w:eastAsia="Arial" w:cs="Arial"/>
          <w:b/>
          <w:sz w:val="20"/>
          <w:szCs w:val="20"/>
        </w:rPr>
        <w:t xml:space="preserve"> </w:t>
      </w:r>
      <w:r>
        <w:rPr>
          <w:rFonts w:eastAsia="Arial" w:cs="Arial"/>
          <w:sz w:val="20"/>
          <w:szCs w:val="20"/>
        </w:rPr>
        <w:t>report; Epidemic Response; Facilitate and conduct Surveys; and Monitor and evaluate Health Programs</w:t>
      </w:r>
    </w:p>
    <w:p w14:paraId="7C182840" w14:textId="77777777" w:rsidR="007C6854" w:rsidRDefault="00E0219E">
      <w:pPr>
        <w:numPr>
          <w:ilvl w:val="0"/>
          <w:numId w:val="17"/>
        </w:numPr>
        <w:tabs>
          <w:tab w:val="left" w:pos="720"/>
        </w:tabs>
        <w:spacing w:after="0" w:line="235" w:lineRule="auto"/>
        <w:ind w:left="720" w:hanging="360"/>
        <w:rPr>
          <w:rFonts w:eastAsia="Arial" w:cs="Arial"/>
          <w:sz w:val="20"/>
          <w:szCs w:val="20"/>
        </w:rPr>
      </w:pPr>
      <w:r>
        <w:rPr>
          <w:rFonts w:eastAsia="Arial" w:cs="Arial"/>
          <w:b/>
          <w:sz w:val="20"/>
          <w:szCs w:val="20"/>
        </w:rPr>
        <w:t>National Epidemic Sentinel Surveillance System Rotation</w:t>
      </w:r>
      <w:r>
        <w:rPr>
          <w:rFonts w:eastAsia="Arial" w:cs="Arial"/>
          <w:sz w:val="20"/>
          <w:szCs w:val="20"/>
        </w:rPr>
        <w:t>: Analyzed and produced Weekly</w:t>
      </w:r>
      <w:r>
        <w:rPr>
          <w:rFonts w:eastAsia="Arial" w:cs="Arial"/>
          <w:b/>
          <w:sz w:val="20"/>
          <w:szCs w:val="20"/>
        </w:rPr>
        <w:t xml:space="preserve"> </w:t>
      </w:r>
      <w:r>
        <w:rPr>
          <w:rFonts w:eastAsia="Arial" w:cs="Arial"/>
          <w:sz w:val="20"/>
          <w:szCs w:val="20"/>
        </w:rPr>
        <w:t>Morbidity Report</w:t>
      </w:r>
    </w:p>
    <w:p w14:paraId="45CD0EE5" w14:textId="77777777" w:rsidR="007C6854" w:rsidRDefault="00E0219E">
      <w:pPr>
        <w:numPr>
          <w:ilvl w:val="0"/>
          <w:numId w:val="17"/>
        </w:numPr>
        <w:tabs>
          <w:tab w:val="left" w:pos="720"/>
        </w:tabs>
        <w:spacing w:after="0" w:line="237" w:lineRule="auto"/>
        <w:ind w:left="720" w:hanging="360"/>
        <w:jc w:val="both"/>
        <w:rPr>
          <w:rFonts w:eastAsia="Arial" w:cs="Arial"/>
          <w:sz w:val="20"/>
          <w:szCs w:val="20"/>
        </w:rPr>
      </w:pPr>
      <w:r>
        <w:rPr>
          <w:rFonts w:eastAsia="Arial" w:cs="Arial"/>
          <w:b/>
          <w:sz w:val="20"/>
          <w:szCs w:val="20"/>
        </w:rPr>
        <w:t>Provincial and Municipal Epidemic and Surveillance Unit Rotation</w:t>
      </w:r>
      <w:r>
        <w:rPr>
          <w:rFonts w:eastAsia="Arial" w:cs="Arial"/>
          <w:sz w:val="20"/>
          <w:szCs w:val="20"/>
        </w:rPr>
        <w:t>: Analyzed and produced</w:t>
      </w:r>
      <w:r>
        <w:rPr>
          <w:rFonts w:eastAsia="Arial" w:cs="Arial"/>
          <w:b/>
          <w:sz w:val="20"/>
          <w:szCs w:val="20"/>
        </w:rPr>
        <w:t xml:space="preserve"> </w:t>
      </w:r>
      <w:r>
        <w:rPr>
          <w:rFonts w:eastAsia="Arial" w:cs="Arial"/>
          <w:sz w:val="20"/>
          <w:szCs w:val="20"/>
        </w:rPr>
        <w:t xml:space="preserve">Weekly Morbidity Report and Responded to Outbreaks (Typhoid Fever in </w:t>
      </w:r>
      <w:proofErr w:type="spellStart"/>
      <w:r>
        <w:rPr>
          <w:rFonts w:eastAsia="Arial" w:cs="Arial"/>
          <w:sz w:val="20"/>
          <w:szCs w:val="20"/>
        </w:rPr>
        <w:t>Iraya</w:t>
      </w:r>
      <w:proofErr w:type="spellEnd"/>
      <w:r>
        <w:rPr>
          <w:rFonts w:eastAsia="Arial" w:cs="Arial"/>
          <w:sz w:val="20"/>
          <w:szCs w:val="20"/>
        </w:rPr>
        <w:t xml:space="preserve">, </w:t>
      </w:r>
      <w:proofErr w:type="spellStart"/>
      <w:r>
        <w:rPr>
          <w:rFonts w:eastAsia="Arial" w:cs="Arial"/>
          <w:sz w:val="20"/>
          <w:szCs w:val="20"/>
        </w:rPr>
        <w:t>Buhi</w:t>
      </w:r>
      <w:proofErr w:type="spellEnd"/>
      <w:r>
        <w:rPr>
          <w:rFonts w:eastAsia="Arial" w:cs="Arial"/>
          <w:sz w:val="20"/>
          <w:szCs w:val="20"/>
        </w:rPr>
        <w:t xml:space="preserve">, Camarines Sur. Bicol. Philippines and Increase in Diarrheal Cases in </w:t>
      </w:r>
      <w:proofErr w:type="spellStart"/>
      <w:r>
        <w:rPr>
          <w:rFonts w:eastAsia="Arial" w:cs="Arial"/>
          <w:sz w:val="20"/>
          <w:szCs w:val="20"/>
        </w:rPr>
        <w:t>Poblacion</w:t>
      </w:r>
      <w:proofErr w:type="spellEnd"/>
      <w:r>
        <w:rPr>
          <w:rFonts w:eastAsia="Arial" w:cs="Arial"/>
          <w:sz w:val="20"/>
          <w:szCs w:val="20"/>
        </w:rPr>
        <w:t xml:space="preserve">, </w:t>
      </w:r>
      <w:proofErr w:type="spellStart"/>
      <w:r>
        <w:rPr>
          <w:rFonts w:eastAsia="Arial" w:cs="Arial"/>
          <w:sz w:val="20"/>
          <w:szCs w:val="20"/>
        </w:rPr>
        <w:t>Buhi</w:t>
      </w:r>
      <w:proofErr w:type="spellEnd"/>
      <w:r>
        <w:rPr>
          <w:rFonts w:eastAsia="Arial" w:cs="Arial"/>
          <w:sz w:val="20"/>
          <w:szCs w:val="20"/>
        </w:rPr>
        <w:t>, Camarines Sur. Bicol. Philippines. 2008)</w:t>
      </w:r>
    </w:p>
    <w:p w14:paraId="66C1338B" w14:textId="77777777" w:rsidR="007C6854" w:rsidRDefault="007C6854">
      <w:pPr>
        <w:spacing w:line="304" w:lineRule="auto"/>
        <w:rPr>
          <w:rFonts w:eastAsia="Arial" w:cs="Arial"/>
          <w:sz w:val="20"/>
          <w:szCs w:val="20"/>
        </w:rPr>
      </w:pPr>
    </w:p>
    <w:p w14:paraId="1CE338DC" w14:textId="77777777" w:rsidR="007C6854" w:rsidRDefault="00E0219E">
      <w:pPr>
        <w:rPr>
          <w:rFonts w:eastAsia="Arial" w:cs="Arial"/>
          <w:sz w:val="20"/>
          <w:szCs w:val="20"/>
        </w:rPr>
      </w:pPr>
      <w:r>
        <w:rPr>
          <w:rFonts w:eastAsia="Arial" w:cs="Arial"/>
          <w:b/>
          <w:i/>
          <w:sz w:val="20"/>
          <w:szCs w:val="20"/>
          <w:u w:val="single"/>
        </w:rPr>
        <w:t>OTHER RELEVANT INFORMATION</w:t>
      </w:r>
    </w:p>
    <w:p w14:paraId="54090FD6" w14:textId="77777777" w:rsidR="007C6854" w:rsidRDefault="00E0219E">
      <w:pPr>
        <w:rPr>
          <w:rFonts w:eastAsia="Arial" w:cs="Arial"/>
          <w:sz w:val="20"/>
          <w:szCs w:val="20"/>
        </w:rPr>
      </w:pPr>
      <w:r>
        <w:rPr>
          <w:rFonts w:eastAsia="Arial" w:cs="Arial"/>
          <w:b/>
          <w:sz w:val="20"/>
          <w:szCs w:val="20"/>
          <w:u w:val="single"/>
        </w:rPr>
        <w:t>International Presentation</w:t>
      </w:r>
    </w:p>
    <w:p w14:paraId="7AB15C41" w14:textId="77777777" w:rsidR="007C6854" w:rsidRDefault="00E0219E">
      <w:pPr>
        <w:numPr>
          <w:ilvl w:val="0"/>
          <w:numId w:val="25"/>
        </w:numPr>
        <w:tabs>
          <w:tab w:val="left" w:pos="720"/>
        </w:tabs>
        <w:spacing w:after="0" w:line="220" w:lineRule="auto"/>
        <w:ind w:left="720" w:right="40" w:hanging="360"/>
        <w:rPr>
          <w:rFonts w:eastAsia="Arial" w:cs="Arial"/>
          <w:sz w:val="20"/>
          <w:szCs w:val="20"/>
        </w:rPr>
      </w:pPr>
      <w:r>
        <w:rPr>
          <w:rFonts w:eastAsia="Arial" w:cs="Arial"/>
          <w:sz w:val="20"/>
          <w:szCs w:val="20"/>
        </w:rPr>
        <w:t xml:space="preserve">Oral Presentation – </w:t>
      </w:r>
      <w:r>
        <w:rPr>
          <w:rFonts w:eastAsia="Arial" w:cs="Arial"/>
          <w:i/>
          <w:sz w:val="20"/>
          <w:szCs w:val="20"/>
        </w:rPr>
        <w:t>Staphylococcus aureus</w:t>
      </w:r>
      <w:r>
        <w:rPr>
          <w:rFonts w:eastAsia="Arial" w:cs="Arial"/>
          <w:sz w:val="20"/>
          <w:szCs w:val="20"/>
        </w:rPr>
        <w:t xml:space="preserve"> outbreak: Case control Study (2009); Seoul, South Korea</w:t>
      </w:r>
    </w:p>
    <w:p w14:paraId="012D2FD0" w14:textId="77777777" w:rsidR="007C6854" w:rsidRDefault="00E0219E">
      <w:pPr>
        <w:numPr>
          <w:ilvl w:val="0"/>
          <w:numId w:val="25"/>
        </w:numPr>
        <w:tabs>
          <w:tab w:val="left" w:pos="720"/>
        </w:tabs>
        <w:spacing w:after="0" w:line="240" w:lineRule="auto"/>
        <w:ind w:left="720" w:hanging="360"/>
        <w:rPr>
          <w:rFonts w:eastAsia="Arial" w:cs="Arial"/>
          <w:sz w:val="20"/>
          <w:szCs w:val="20"/>
        </w:rPr>
      </w:pPr>
      <w:r>
        <w:rPr>
          <w:rFonts w:eastAsia="Arial" w:cs="Arial"/>
          <w:sz w:val="20"/>
          <w:szCs w:val="20"/>
        </w:rPr>
        <w:t xml:space="preserve">Poster Presentation – </w:t>
      </w:r>
      <w:r>
        <w:rPr>
          <w:rFonts w:eastAsia="Arial" w:cs="Arial"/>
          <w:i/>
          <w:sz w:val="20"/>
          <w:szCs w:val="20"/>
        </w:rPr>
        <w:t>Salmonella Typhi</w:t>
      </w:r>
      <w:r>
        <w:rPr>
          <w:rFonts w:eastAsia="Arial" w:cs="Arial"/>
          <w:sz w:val="20"/>
          <w:szCs w:val="20"/>
        </w:rPr>
        <w:t xml:space="preserve"> outbreak (2009); Seoul, South Korea</w:t>
      </w:r>
    </w:p>
    <w:p w14:paraId="3D8FFE54" w14:textId="77777777" w:rsidR="007C6854" w:rsidRDefault="00E0219E">
      <w:pPr>
        <w:numPr>
          <w:ilvl w:val="0"/>
          <w:numId w:val="25"/>
        </w:numPr>
        <w:tabs>
          <w:tab w:val="left" w:pos="720"/>
        </w:tabs>
        <w:spacing w:after="0" w:line="218" w:lineRule="auto"/>
        <w:ind w:left="720" w:hanging="360"/>
        <w:rPr>
          <w:rFonts w:eastAsia="Arial" w:cs="Arial"/>
          <w:sz w:val="20"/>
          <w:szCs w:val="20"/>
        </w:rPr>
      </w:pPr>
      <w:r>
        <w:rPr>
          <w:rFonts w:eastAsia="Arial" w:cs="Arial"/>
          <w:sz w:val="20"/>
          <w:szCs w:val="20"/>
        </w:rPr>
        <w:t>Poster Presentation – Foodborne Disease outbreak: Retrospective Cohort Study (2008); Kuala Lumpur, Malaysia</w:t>
      </w:r>
    </w:p>
    <w:p w14:paraId="581CA618" w14:textId="77777777" w:rsidR="007C6854" w:rsidRDefault="007C6854">
      <w:pPr>
        <w:spacing w:line="246" w:lineRule="auto"/>
        <w:rPr>
          <w:rFonts w:eastAsia="Arial" w:cs="Arial"/>
          <w:sz w:val="20"/>
          <w:szCs w:val="20"/>
        </w:rPr>
      </w:pPr>
    </w:p>
    <w:p w14:paraId="5E1CDA42" w14:textId="77777777" w:rsidR="007C6854" w:rsidRDefault="00E0219E">
      <w:pPr>
        <w:rPr>
          <w:rFonts w:eastAsia="Arial" w:cs="Arial"/>
          <w:sz w:val="20"/>
          <w:szCs w:val="20"/>
        </w:rPr>
      </w:pPr>
      <w:r>
        <w:rPr>
          <w:rFonts w:eastAsia="Arial" w:cs="Arial"/>
          <w:b/>
          <w:sz w:val="20"/>
          <w:szCs w:val="20"/>
          <w:u w:val="single"/>
        </w:rPr>
        <w:t>Local Presentation</w:t>
      </w:r>
    </w:p>
    <w:p w14:paraId="13EDF344" w14:textId="77777777" w:rsidR="007C6854" w:rsidRDefault="00E0219E">
      <w:pPr>
        <w:numPr>
          <w:ilvl w:val="0"/>
          <w:numId w:val="3"/>
        </w:numPr>
        <w:tabs>
          <w:tab w:val="left" w:pos="720"/>
        </w:tabs>
        <w:spacing w:after="0" w:line="219" w:lineRule="auto"/>
        <w:ind w:left="720" w:right="1120" w:hanging="360"/>
        <w:rPr>
          <w:rFonts w:eastAsia="Arial" w:cs="Arial"/>
          <w:i/>
          <w:sz w:val="20"/>
          <w:szCs w:val="20"/>
        </w:rPr>
      </w:pPr>
      <w:r>
        <w:rPr>
          <w:rFonts w:eastAsia="Arial" w:cs="Arial"/>
          <w:i/>
          <w:sz w:val="20"/>
          <w:szCs w:val="20"/>
        </w:rPr>
        <w:t xml:space="preserve">Capture-Recapture Study along C5 Road (2009) </w:t>
      </w:r>
      <w:r>
        <w:rPr>
          <w:rFonts w:eastAsia="Arial" w:cs="Arial"/>
          <w:sz w:val="20"/>
          <w:szCs w:val="20"/>
        </w:rPr>
        <w:t>during the Workshop meeting on</w:t>
      </w:r>
      <w:r>
        <w:rPr>
          <w:rFonts w:eastAsia="Arial" w:cs="Arial"/>
          <w:i/>
          <w:sz w:val="20"/>
          <w:szCs w:val="20"/>
        </w:rPr>
        <w:t xml:space="preserve"> </w:t>
      </w:r>
      <w:r>
        <w:rPr>
          <w:rFonts w:eastAsia="Arial" w:cs="Arial"/>
          <w:sz w:val="20"/>
          <w:szCs w:val="20"/>
        </w:rPr>
        <w:t>Enhancing Road Safety Data in the Philippines. 2011.</w:t>
      </w:r>
    </w:p>
    <w:p w14:paraId="2A9A30A6" w14:textId="77777777" w:rsidR="007C6854" w:rsidRDefault="007C6854">
      <w:pPr>
        <w:spacing w:line="238" w:lineRule="auto"/>
        <w:rPr>
          <w:rFonts w:eastAsia="Arial" w:cs="Arial"/>
          <w:sz w:val="20"/>
          <w:szCs w:val="20"/>
        </w:rPr>
      </w:pPr>
    </w:p>
    <w:p w14:paraId="78492BF0" w14:textId="77777777" w:rsidR="007C6854" w:rsidRDefault="00E0219E">
      <w:pPr>
        <w:rPr>
          <w:rFonts w:eastAsia="Arial" w:cs="Arial"/>
          <w:sz w:val="20"/>
          <w:szCs w:val="20"/>
        </w:rPr>
      </w:pPr>
      <w:r>
        <w:rPr>
          <w:rFonts w:eastAsia="Arial" w:cs="Arial"/>
          <w:b/>
          <w:sz w:val="20"/>
          <w:szCs w:val="20"/>
          <w:u w:val="single"/>
        </w:rPr>
        <w:t>Engagement as Resource Speaker or Facilitator (In the past 5 years)</w:t>
      </w:r>
    </w:p>
    <w:p w14:paraId="2A279C03" w14:textId="77777777" w:rsidR="007C6854" w:rsidRDefault="00E0219E">
      <w:pPr>
        <w:numPr>
          <w:ilvl w:val="0"/>
          <w:numId w:val="26"/>
        </w:numPr>
        <w:tabs>
          <w:tab w:val="left" w:pos="360"/>
        </w:tabs>
        <w:spacing w:after="0" w:line="240" w:lineRule="auto"/>
        <w:rPr>
          <w:rFonts w:eastAsia="Arial" w:cs="Arial"/>
          <w:sz w:val="20"/>
          <w:szCs w:val="20"/>
        </w:rPr>
      </w:pPr>
      <w:r>
        <w:rPr>
          <w:rFonts w:eastAsia="Arial" w:cs="Arial"/>
          <w:sz w:val="20"/>
          <w:szCs w:val="20"/>
        </w:rPr>
        <w:t>Resource Speaker during the training of Contact Tracer in Central Visayas. Cebu City Health Department and DILG. June - July, 2020</w:t>
      </w:r>
    </w:p>
    <w:p w14:paraId="4C98E273" w14:textId="77777777" w:rsidR="007C6854" w:rsidRDefault="00E0219E">
      <w:pPr>
        <w:numPr>
          <w:ilvl w:val="0"/>
          <w:numId w:val="26"/>
        </w:numPr>
        <w:tabs>
          <w:tab w:val="left" w:pos="360"/>
        </w:tabs>
        <w:spacing w:after="0" w:line="240" w:lineRule="auto"/>
        <w:rPr>
          <w:rFonts w:eastAsia="Arial" w:cs="Arial"/>
          <w:sz w:val="20"/>
          <w:szCs w:val="20"/>
        </w:rPr>
      </w:pPr>
      <w:r>
        <w:rPr>
          <w:rFonts w:eastAsia="Arial" w:cs="Arial"/>
          <w:sz w:val="20"/>
          <w:szCs w:val="20"/>
        </w:rPr>
        <w:t xml:space="preserve">Resource Speaker during the roll-out training of Contact Tracing Module in the region, May to July 2020 </w:t>
      </w:r>
    </w:p>
    <w:p w14:paraId="20343AEF" w14:textId="77777777" w:rsidR="007C6854" w:rsidRDefault="00E0219E">
      <w:pPr>
        <w:numPr>
          <w:ilvl w:val="0"/>
          <w:numId w:val="26"/>
        </w:numPr>
        <w:tabs>
          <w:tab w:val="left" w:pos="360"/>
        </w:tabs>
        <w:spacing w:after="0" w:line="240" w:lineRule="auto"/>
        <w:rPr>
          <w:rFonts w:eastAsia="Arial" w:cs="Arial"/>
          <w:sz w:val="20"/>
          <w:szCs w:val="20"/>
        </w:rPr>
      </w:pPr>
      <w:r>
        <w:rPr>
          <w:rFonts w:eastAsia="Arial" w:cs="Arial"/>
          <w:sz w:val="20"/>
          <w:szCs w:val="20"/>
        </w:rPr>
        <w:t>Resource Speaker and Facilitator in the training of Valenzuela City Health Department staff on Basic Epidemiology and Disease Surveillance (BEDS), March 2020</w:t>
      </w:r>
    </w:p>
    <w:p w14:paraId="0EC59E8C" w14:textId="77777777" w:rsidR="007C6854" w:rsidRDefault="00E0219E">
      <w:pPr>
        <w:numPr>
          <w:ilvl w:val="0"/>
          <w:numId w:val="26"/>
        </w:numPr>
        <w:tabs>
          <w:tab w:val="left" w:pos="360"/>
        </w:tabs>
        <w:spacing w:after="0" w:line="240" w:lineRule="auto"/>
        <w:rPr>
          <w:rFonts w:eastAsia="Arial" w:cs="Arial"/>
          <w:sz w:val="20"/>
          <w:szCs w:val="20"/>
        </w:rPr>
      </w:pPr>
      <w:r>
        <w:rPr>
          <w:rFonts w:eastAsia="Arial" w:cs="Arial"/>
          <w:sz w:val="20"/>
          <w:szCs w:val="20"/>
        </w:rPr>
        <w:t xml:space="preserve">Resource Speaker during the </w:t>
      </w:r>
      <w:proofErr w:type="spellStart"/>
      <w:r>
        <w:rPr>
          <w:rFonts w:eastAsia="Arial" w:cs="Arial"/>
          <w:sz w:val="20"/>
          <w:szCs w:val="20"/>
        </w:rPr>
        <w:t>Navotas</w:t>
      </w:r>
      <w:proofErr w:type="spellEnd"/>
      <w:r>
        <w:rPr>
          <w:rFonts w:eastAsia="Arial" w:cs="Arial"/>
          <w:sz w:val="20"/>
          <w:szCs w:val="20"/>
        </w:rPr>
        <w:t xml:space="preserve"> Health Summit. July 26, 2019</w:t>
      </w:r>
    </w:p>
    <w:p w14:paraId="4E600B6B" w14:textId="77777777" w:rsidR="007C6854" w:rsidRDefault="00E0219E">
      <w:pPr>
        <w:numPr>
          <w:ilvl w:val="0"/>
          <w:numId w:val="26"/>
        </w:numPr>
        <w:tabs>
          <w:tab w:val="left" w:pos="360"/>
        </w:tabs>
        <w:spacing w:after="0" w:line="240" w:lineRule="auto"/>
        <w:rPr>
          <w:rFonts w:eastAsia="Arial" w:cs="Arial"/>
          <w:sz w:val="20"/>
          <w:szCs w:val="20"/>
        </w:rPr>
      </w:pPr>
      <w:r>
        <w:rPr>
          <w:rFonts w:eastAsia="Arial" w:cs="Arial"/>
          <w:sz w:val="20"/>
          <w:szCs w:val="20"/>
        </w:rPr>
        <w:t>Facilitator and Resource Speaker on Basic Epidemiology and Disease Surveillance &amp; Basic Epidemiology and Event-based Surveillance for Hospital Personnel and Primary Health Care in NCR. May and July 2019.</w:t>
      </w:r>
    </w:p>
    <w:p w14:paraId="55A2E84E" w14:textId="77777777" w:rsidR="007C6854" w:rsidRDefault="00E0219E">
      <w:pPr>
        <w:numPr>
          <w:ilvl w:val="0"/>
          <w:numId w:val="26"/>
        </w:numPr>
        <w:tabs>
          <w:tab w:val="left" w:pos="360"/>
        </w:tabs>
        <w:spacing w:after="0" w:line="240" w:lineRule="auto"/>
        <w:rPr>
          <w:rFonts w:eastAsia="Arial" w:cs="Arial"/>
          <w:sz w:val="20"/>
          <w:szCs w:val="20"/>
        </w:rPr>
      </w:pPr>
      <w:r>
        <w:rPr>
          <w:rFonts w:eastAsia="Arial" w:cs="Arial"/>
          <w:sz w:val="20"/>
          <w:szCs w:val="20"/>
        </w:rPr>
        <w:t>Planning Workshop Facilitator during the development of the Local Investment Plan for Health for City Government of Taguig. 2018</w:t>
      </w:r>
    </w:p>
    <w:p w14:paraId="65B6C968" w14:textId="77777777" w:rsidR="007C6854" w:rsidRDefault="00E0219E">
      <w:pPr>
        <w:numPr>
          <w:ilvl w:val="0"/>
          <w:numId w:val="26"/>
        </w:numPr>
        <w:tabs>
          <w:tab w:val="left" w:pos="360"/>
        </w:tabs>
        <w:spacing w:after="0" w:line="240" w:lineRule="auto"/>
        <w:rPr>
          <w:rFonts w:eastAsia="Arial" w:cs="Arial"/>
          <w:sz w:val="20"/>
          <w:szCs w:val="20"/>
        </w:rPr>
      </w:pPr>
      <w:r>
        <w:rPr>
          <w:rFonts w:eastAsia="Arial" w:cs="Arial"/>
          <w:sz w:val="20"/>
          <w:szCs w:val="20"/>
        </w:rPr>
        <w:t>Facilitator and Resource Speaker in the development of Drowning Prevention and Road Safety Regional Plan for Davao Region, 2016-2017.</w:t>
      </w:r>
    </w:p>
    <w:p w14:paraId="30598927" w14:textId="77777777" w:rsidR="007C6854" w:rsidRDefault="00E0219E">
      <w:pPr>
        <w:numPr>
          <w:ilvl w:val="0"/>
          <w:numId w:val="26"/>
        </w:numPr>
        <w:tabs>
          <w:tab w:val="left" w:pos="360"/>
        </w:tabs>
        <w:spacing w:after="0" w:line="240" w:lineRule="auto"/>
        <w:rPr>
          <w:rFonts w:eastAsia="Arial" w:cs="Arial"/>
          <w:sz w:val="20"/>
          <w:szCs w:val="20"/>
        </w:rPr>
      </w:pPr>
      <w:r>
        <w:rPr>
          <w:rFonts w:eastAsia="Arial" w:cs="Arial"/>
          <w:sz w:val="20"/>
          <w:szCs w:val="20"/>
        </w:rPr>
        <w:t>Forum/Workshop Speaker in Violence and Injury Prevention Alliance for the development of the regional action plan for drowning prevention and road safety in Region 11. 2017</w:t>
      </w:r>
    </w:p>
    <w:p w14:paraId="75EF65FF" w14:textId="77777777" w:rsidR="007C6854" w:rsidRDefault="00E0219E">
      <w:pPr>
        <w:numPr>
          <w:ilvl w:val="0"/>
          <w:numId w:val="26"/>
        </w:numPr>
        <w:tabs>
          <w:tab w:val="left" w:pos="360"/>
        </w:tabs>
        <w:spacing w:after="0" w:line="240" w:lineRule="auto"/>
        <w:rPr>
          <w:rFonts w:eastAsia="Arial" w:cs="Arial"/>
          <w:sz w:val="20"/>
          <w:szCs w:val="20"/>
        </w:rPr>
      </w:pPr>
      <w:r>
        <w:rPr>
          <w:rFonts w:eastAsia="Arial" w:cs="Arial"/>
          <w:sz w:val="20"/>
          <w:szCs w:val="20"/>
        </w:rPr>
        <w:t>Forum Speaker in Violence and Injury Prevention Alliance in Region 6. 2016</w:t>
      </w:r>
    </w:p>
    <w:p w14:paraId="7C28D6C1" w14:textId="77777777" w:rsidR="007C6854" w:rsidRDefault="00E0219E">
      <w:pPr>
        <w:numPr>
          <w:ilvl w:val="0"/>
          <w:numId w:val="26"/>
        </w:numPr>
        <w:tabs>
          <w:tab w:val="left" w:pos="360"/>
        </w:tabs>
        <w:spacing w:after="0" w:line="240" w:lineRule="auto"/>
        <w:rPr>
          <w:rFonts w:eastAsia="Arial" w:cs="Arial"/>
          <w:sz w:val="20"/>
          <w:szCs w:val="20"/>
        </w:rPr>
      </w:pPr>
      <w:r>
        <w:rPr>
          <w:rFonts w:eastAsia="Arial" w:cs="Arial"/>
          <w:sz w:val="20"/>
          <w:szCs w:val="20"/>
        </w:rPr>
        <w:t>Resources Speaker and Facilitator in the Roll-out of the Package of Noncommunicable Diseases Intervention in Region 8. 2014-2015</w:t>
      </w:r>
    </w:p>
    <w:p w14:paraId="45C39257" w14:textId="77777777" w:rsidR="007C6854" w:rsidRDefault="00E0219E">
      <w:pPr>
        <w:numPr>
          <w:ilvl w:val="0"/>
          <w:numId w:val="26"/>
        </w:numPr>
        <w:tabs>
          <w:tab w:val="left" w:pos="360"/>
        </w:tabs>
        <w:spacing w:after="0" w:line="240" w:lineRule="auto"/>
        <w:rPr>
          <w:rFonts w:eastAsia="Arial" w:cs="Arial"/>
          <w:sz w:val="20"/>
          <w:szCs w:val="20"/>
        </w:rPr>
      </w:pPr>
      <w:r>
        <w:rPr>
          <w:rFonts w:eastAsia="Arial" w:cs="Arial"/>
          <w:sz w:val="20"/>
          <w:szCs w:val="20"/>
        </w:rPr>
        <w:t>Workshop Facilitator during the Program Implementation Review and Development of the Annual Operational Plan for Health 2011 to 2015 – Pateros Health Department.</w:t>
      </w:r>
    </w:p>
    <w:p w14:paraId="7AD1E08E" w14:textId="77777777" w:rsidR="007C6854" w:rsidRDefault="007C6854">
      <w:pPr>
        <w:tabs>
          <w:tab w:val="left" w:pos="360"/>
        </w:tabs>
        <w:rPr>
          <w:rFonts w:eastAsia="Arial" w:cs="Arial"/>
          <w:sz w:val="20"/>
          <w:szCs w:val="20"/>
        </w:rPr>
      </w:pPr>
    </w:p>
    <w:p w14:paraId="60A09654" w14:textId="77777777" w:rsidR="007C6854" w:rsidRDefault="00E0219E">
      <w:pPr>
        <w:tabs>
          <w:tab w:val="left" w:pos="360"/>
        </w:tabs>
        <w:rPr>
          <w:rFonts w:eastAsia="Arial" w:cs="Arial"/>
          <w:b/>
          <w:sz w:val="20"/>
          <w:szCs w:val="20"/>
          <w:u w:val="single"/>
        </w:rPr>
      </w:pPr>
      <w:r>
        <w:rPr>
          <w:rFonts w:eastAsia="Arial" w:cs="Arial"/>
          <w:b/>
          <w:sz w:val="20"/>
          <w:szCs w:val="20"/>
          <w:u w:val="single"/>
        </w:rPr>
        <w:t>Engagement as Resource Speaker or Facilitator at the start of career up to 2013</w:t>
      </w:r>
    </w:p>
    <w:p w14:paraId="0BB40057" w14:textId="77777777" w:rsidR="007C6854" w:rsidRDefault="00E0219E">
      <w:pPr>
        <w:numPr>
          <w:ilvl w:val="0"/>
          <w:numId w:val="11"/>
        </w:numPr>
        <w:tabs>
          <w:tab w:val="left" w:pos="360"/>
        </w:tabs>
        <w:spacing w:after="0" w:line="240" w:lineRule="auto"/>
        <w:rPr>
          <w:rFonts w:eastAsia="Arial" w:cs="Arial"/>
          <w:sz w:val="20"/>
          <w:szCs w:val="20"/>
        </w:rPr>
      </w:pPr>
      <w:r>
        <w:rPr>
          <w:rFonts w:eastAsia="Arial" w:cs="Arial"/>
          <w:sz w:val="20"/>
          <w:szCs w:val="20"/>
        </w:rPr>
        <w:lastRenderedPageBreak/>
        <w:t>Workshop Facilitator for the development of Standards for monitoring and supervising Health Programs in Pateros. 2013. – Pateros Health Department</w:t>
      </w:r>
    </w:p>
    <w:p w14:paraId="137DCBB2" w14:textId="77777777" w:rsidR="007C6854" w:rsidRDefault="00E0219E">
      <w:pPr>
        <w:numPr>
          <w:ilvl w:val="0"/>
          <w:numId w:val="11"/>
        </w:numPr>
        <w:tabs>
          <w:tab w:val="left" w:pos="360"/>
        </w:tabs>
        <w:spacing w:after="0" w:line="240" w:lineRule="auto"/>
        <w:rPr>
          <w:rFonts w:eastAsia="Arial" w:cs="Arial"/>
          <w:sz w:val="20"/>
          <w:szCs w:val="20"/>
        </w:rPr>
      </w:pPr>
      <w:r>
        <w:rPr>
          <w:rFonts w:eastAsia="Arial" w:cs="Arial"/>
          <w:sz w:val="20"/>
          <w:szCs w:val="20"/>
        </w:rPr>
        <w:t>Training Facilitator on the Training on the Integrated Tuberculosis Information System. 2013. – Pateros Health Department</w:t>
      </w:r>
    </w:p>
    <w:p w14:paraId="5BFC2715" w14:textId="77777777" w:rsidR="007C6854" w:rsidRDefault="00E0219E">
      <w:pPr>
        <w:numPr>
          <w:ilvl w:val="0"/>
          <w:numId w:val="11"/>
        </w:numPr>
        <w:tabs>
          <w:tab w:val="left" w:pos="360"/>
        </w:tabs>
        <w:spacing w:after="0" w:line="240" w:lineRule="auto"/>
        <w:rPr>
          <w:rFonts w:eastAsia="Arial" w:cs="Arial"/>
          <w:sz w:val="20"/>
          <w:szCs w:val="20"/>
        </w:rPr>
      </w:pPr>
      <w:r>
        <w:rPr>
          <w:rFonts w:eastAsia="Arial" w:cs="Arial"/>
          <w:sz w:val="20"/>
          <w:szCs w:val="20"/>
        </w:rPr>
        <w:t>Workshop Facilitator for the development of IEC materials for MNCHN, TB, STI/HIV/AIDS, Dengue and Healthy Lifestyle. 2013. – Pateros Health Department</w:t>
      </w:r>
    </w:p>
    <w:p w14:paraId="73742C0A" w14:textId="77777777" w:rsidR="007C6854" w:rsidRDefault="00E0219E">
      <w:pPr>
        <w:numPr>
          <w:ilvl w:val="0"/>
          <w:numId w:val="11"/>
        </w:numPr>
        <w:tabs>
          <w:tab w:val="left" w:pos="360"/>
        </w:tabs>
        <w:spacing w:after="0" w:line="240" w:lineRule="auto"/>
        <w:rPr>
          <w:rFonts w:eastAsia="Arial" w:cs="Arial"/>
          <w:sz w:val="20"/>
          <w:szCs w:val="20"/>
        </w:rPr>
      </w:pPr>
      <w:r>
        <w:rPr>
          <w:rFonts w:eastAsia="Arial" w:cs="Arial"/>
          <w:sz w:val="20"/>
          <w:szCs w:val="20"/>
        </w:rPr>
        <w:t>Training on the Philippine Integrated Disease Surveillance and Response (PIDSR) System among Hospital Personnel in Quezon City, Contemporary Hotel, Quezon City</w:t>
      </w:r>
    </w:p>
    <w:p w14:paraId="4ACA6C8D" w14:textId="77777777" w:rsidR="007C6854" w:rsidRDefault="00E0219E">
      <w:pPr>
        <w:numPr>
          <w:ilvl w:val="0"/>
          <w:numId w:val="11"/>
        </w:numPr>
        <w:tabs>
          <w:tab w:val="left" w:pos="360"/>
        </w:tabs>
        <w:spacing w:after="0" w:line="240" w:lineRule="auto"/>
        <w:rPr>
          <w:rFonts w:eastAsia="Arial" w:cs="Arial"/>
          <w:sz w:val="20"/>
          <w:szCs w:val="20"/>
        </w:rPr>
      </w:pPr>
      <w:r>
        <w:rPr>
          <w:rFonts w:eastAsia="Arial" w:cs="Arial"/>
          <w:sz w:val="20"/>
          <w:szCs w:val="20"/>
        </w:rPr>
        <w:t>Training Facilitator on the Training of Health Personnel on the use of the Wireless Access for Health Electronic Medical Records. 2012. – Pateros Health Department.</w:t>
      </w:r>
    </w:p>
    <w:p w14:paraId="52B32CDF" w14:textId="77777777" w:rsidR="007C6854" w:rsidRDefault="00E0219E">
      <w:pPr>
        <w:numPr>
          <w:ilvl w:val="0"/>
          <w:numId w:val="11"/>
        </w:numPr>
        <w:tabs>
          <w:tab w:val="left" w:pos="360"/>
        </w:tabs>
        <w:spacing w:after="0" w:line="240" w:lineRule="auto"/>
        <w:rPr>
          <w:rFonts w:eastAsia="Arial" w:cs="Arial"/>
          <w:sz w:val="20"/>
          <w:szCs w:val="20"/>
        </w:rPr>
      </w:pPr>
      <w:r>
        <w:rPr>
          <w:rFonts w:eastAsia="Arial" w:cs="Arial"/>
          <w:sz w:val="20"/>
          <w:szCs w:val="20"/>
        </w:rPr>
        <w:t>PIDSR: Data Analysis and Interpretation for Health Center Physician, Nurses, Midwives and Sanitary Inspectors, City of Makati</w:t>
      </w:r>
    </w:p>
    <w:p w14:paraId="3ECD4413" w14:textId="77777777" w:rsidR="007C6854" w:rsidRDefault="00E0219E">
      <w:pPr>
        <w:numPr>
          <w:ilvl w:val="0"/>
          <w:numId w:val="11"/>
        </w:numPr>
        <w:tabs>
          <w:tab w:val="left" w:pos="360"/>
        </w:tabs>
        <w:spacing w:after="0" w:line="240" w:lineRule="auto"/>
        <w:rPr>
          <w:rFonts w:eastAsia="Arial" w:cs="Arial"/>
          <w:sz w:val="20"/>
          <w:szCs w:val="20"/>
        </w:rPr>
      </w:pPr>
      <w:r>
        <w:rPr>
          <w:rFonts w:eastAsia="Arial" w:cs="Arial"/>
          <w:sz w:val="20"/>
          <w:szCs w:val="20"/>
        </w:rPr>
        <w:t>Training of Community Health Team in Pateros, Pateros Health Department, Pateros, Metro Manila.</w:t>
      </w:r>
    </w:p>
    <w:p w14:paraId="63B9574E" w14:textId="77777777" w:rsidR="007C6854" w:rsidRDefault="00E0219E">
      <w:pPr>
        <w:numPr>
          <w:ilvl w:val="0"/>
          <w:numId w:val="11"/>
        </w:numPr>
        <w:tabs>
          <w:tab w:val="left" w:pos="360"/>
        </w:tabs>
        <w:spacing w:after="0" w:line="240" w:lineRule="auto"/>
        <w:rPr>
          <w:rFonts w:eastAsia="Arial" w:cs="Arial"/>
          <w:sz w:val="20"/>
          <w:szCs w:val="20"/>
        </w:rPr>
      </w:pPr>
      <w:r>
        <w:rPr>
          <w:rFonts w:eastAsia="Arial" w:cs="Arial"/>
          <w:sz w:val="20"/>
          <w:szCs w:val="20"/>
        </w:rPr>
        <w:t>Training on the Philippine Disease Surveillance and Response System and the Field Health Service Information System, Candelaria, Zambales. – Pateros Health Office</w:t>
      </w:r>
    </w:p>
    <w:p w14:paraId="58573356" w14:textId="77777777" w:rsidR="007C6854" w:rsidRDefault="00E0219E">
      <w:pPr>
        <w:numPr>
          <w:ilvl w:val="0"/>
          <w:numId w:val="11"/>
        </w:numPr>
        <w:tabs>
          <w:tab w:val="left" w:pos="360"/>
        </w:tabs>
        <w:spacing w:after="0" w:line="240" w:lineRule="auto"/>
        <w:rPr>
          <w:rFonts w:eastAsia="Arial" w:cs="Arial"/>
          <w:sz w:val="20"/>
          <w:szCs w:val="20"/>
        </w:rPr>
      </w:pPr>
      <w:r>
        <w:rPr>
          <w:rFonts w:eastAsia="Arial" w:cs="Arial"/>
          <w:sz w:val="20"/>
          <w:szCs w:val="20"/>
        </w:rPr>
        <w:t>Training on Basic Epidemiology and Disease Surveillance, Sunview Hotel, Alfonso, Tagaytay City – Center for Health Development in Metro Manila</w:t>
      </w:r>
    </w:p>
    <w:p w14:paraId="24594894" w14:textId="77777777" w:rsidR="007C6854" w:rsidRDefault="00E0219E">
      <w:pPr>
        <w:numPr>
          <w:ilvl w:val="0"/>
          <w:numId w:val="11"/>
        </w:numPr>
        <w:tabs>
          <w:tab w:val="left" w:pos="360"/>
        </w:tabs>
        <w:spacing w:after="0" w:line="240" w:lineRule="auto"/>
        <w:rPr>
          <w:rFonts w:eastAsia="Arial" w:cs="Arial"/>
          <w:sz w:val="20"/>
          <w:szCs w:val="20"/>
        </w:rPr>
      </w:pPr>
      <w:r>
        <w:rPr>
          <w:rFonts w:eastAsia="Arial" w:cs="Arial"/>
          <w:sz w:val="20"/>
          <w:szCs w:val="20"/>
        </w:rPr>
        <w:t>Training of Trainers on the Promotion of Health Lifestyle, Center for Health Development – Metro Manila.</w:t>
      </w:r>
    </w:p>
    <w:p w14:paraId="1042238B" w14:textId="77777777" w:rsidR="007C6854" w:rsidRDefault="00E0219E">
      <w:pPr>
        <w:numPr>
          <w:ilvl w:val="0"/>
          <w:numId w:val="11"/>
        </w:numPr>
        <w:tabs>
          <w:tab w:val="left" w:pos="360"/>
        </w:tabs>
        <w:spacing w:after="0" w:line="240" w:lineRule="auto"/>
        <w:rPr>
          <w:rFonts w:eastAsia="Arial" w:cs="Arial"/>
          <w:sz w:val="20"/>
          <w:szCs w:val="20"/>
        </w:rPr>
      </w:pPr>
      <w:r>
        <w:rPr>
          <w:rFonts w:eastAsia="Arial" w:cs="Arial"/>
          <w:sz w:val="20"/>
          <w:szCs w:val="20"/>
        </w:rPr>
        <w:t>Epidemiology Perspective for Nurses, Trinity University of Asia, Quezon City</w:t>
      </w:r>
    </w:p>
    <w:p w14:paraId="545A53CD" w14:textId="77777777" w:rsidR="007C6854" w:rsidRDefault="00E0219E">
      <w:pPr>
        <w:numPr>
          <w:ilvl w:val="0"/>
          <w:numId w:val="11"/>
        </w:numPr>
        <w:tabs>
          <w:tab w:val="left" w:pos="360"/>
        </w:tabs>
        <w:spacing w:after="0" w:line="240" w:lineRule="auto"/>
        <w:rPr>
          <w:rFonts w:eastAsia="Arial" w:cs="Arial"/>
          <w:sz w:val="20"/>
          <w:szCs w:val="20"/>
        </w:rPr>
      </w:pPr>
      <w:r>
        <w:rPr>
          <w:rFonts w:eastAsia="Arial" w:cs="Arial"/>
          <w:sz w:val="20"/>
          <w:szCs w:val="20"/>
        </w:rPr>
        <w:t>Training on Basic Epidemiology and Disease Surveillance, Department of Health - Center for Health Development in Metro Manila</w:t>
      </w:r>
    </w:p>
    <w:p w14:paraId="284DC42E" w14:textId="77777777" w:rsidR="007C6854" w:rsidRDefault="00E0219E">
      <w:pPr>
        <w:numPr>
          <w:ilvl w:val="0"/>
          <w:numId w:val="11"/>
        </w:numPr>
        <w:tabs>
          <w:tab w:val="left" w:pos="360"/>
        </w:tabs>
        <w:spacing w:after="0" w:line="240" w:lineRule="auto"/>
        <w:rPr>
          <w:rFonts w:eastAsia="Arial" w:cs="Arial"/>
          <w:sz w:val="20"/>
          <w:szCs w:val="20"/>
        </w:rPr>
      </w:pPr>
      <w:r>
        <w:rPr>
          <w:rFonts w:eastAsia="Arial" w:cs="Arial"/>
          <w:sz w:val="20"/>
          <w:szCs w:val="20"/>
        </w:rPr>
        <w:t>Training of National Core Trainers on the Promotion of Healthy Lifestyle World Health Organization, Department of Health, University of the Philippines College of Nursing</w:t>
      </w:r>
    </w:p>
    <w:p w14:paraId="4A6BD0FB" w14:textId="77777777" w:rsidR="007C6854" w:rsidRDefault="00E0219E">
      <w:pPr>
        <w:numPr>
          <w:ilvl w:val="0"/>
          <w:numId w:val="11"/>
        </w:numPr>
        <w:tabs>
          <w:tab w:val="left" w:pos="360"/>
        </w:tabs>
        <w:spacing w:after="0" w:line="240" w:lineRule="auto"/>
        <w:rPr>
          <w:rFonts w:eastAsia="Arial" w:cs="Arial"/>
          <w:sz w:val="20"/>
          <w:szCs w:val="20"/>
        </w:rPr>
      </w:pPr>
      <w:r>
        <w:rPr>
          <w:rFonts w:eastAsia="Arial" w:cs="Arial"/>
          <w:sz w:val="20"/>
          <w:szCs w:val="20"/>
        </w:rPr>
        <w:t>Training of Pateros Health Workers on Integrated Community-Based Prevention and Control of Non-communicable diseases World Health Organization, Department of Health, University of the Philippines College of Nursing</w:t>
      </w:r>
    </w:p>
    <w:p w14:paraId="253D16D6" w14:textId="77777777" w:rsidR="007C6854" w:rsidRDefault="00E0219E">
      <w:pPr>
        <w:numPr>
          <w:ilvl w:val="0"/>
          <w:numId w:val="11"/>
        </w:numPr>
        <w:tabs>
          <w:tab w:val="left" w:pos="360"/>
        </w:tabs>
        <w:spacing w:after="0" w:line="240" w:lineRule="auto"/>
        <w:rPr>
          <w:rFonts w:eastAsia="Arial" w:cs="Arial"/>
          <w:sz w:val="20"/>
          <w:szCs w:val="20"/>
        </w:rPr>
      </w:pPr>
      <w:r>
        <w:rPr>
          <w:rFonts w:eastAsia="Arial" w:cs="Arial"/>
          <w:sz w:val="20"/>
          <w:szCs w:val="20"/>
        </w:rPr>
        <w:t>Training on Community-Based Planning and Management of Nutrition Program (CBPM-NP) – Urban Health and Nutrition Project.</w:t>
      </w:r>
    </w:p>
    <w:p w14:paraId="33A1C791" w14:textId="77777777" w:rsidR="007C6854" w:rsidRDefault="007C6854">
      <w:pPr>
        <w:spacing w:line="300" w:lineRule="auto"/>
        <w:rPr>
          <w:rFonts w:eastAsia="Arial" w:cs="Arial"/>
          <w:sz w:val="20"/>
          <w:szCs w:val="20"/>
        </w:rPr>
      </w:pPr>
    </w:p>
    <w:p w14:paraId="6071C583" w14:textId="77777777" w:rsidR="007C6854" w:rsidRDefault="00E0219E">
      <w:pPr>
        <w:rPr>
          <w:rFonts w:eastAsia="Arial" w:cs="Arial"/>
          <w:sz w:val="20"/>
          <w:szCs w:val="20"/>
        </w:rPr>
      </w:pPr>
      <w:r>
        <w:rPr>
          <w:rFonts w:eastAsia="Arial" w:cs="Arial"/>
          <w:b/>
          <w:i/>
          <w:sz w:val="20"/>
          <w:szCs w:val="20"/>
          <w:u w:val="single"/>
        </w:rPr>
        <w:t>PRESENT EMPLOYMENT AND OFFICE POSITION</w:t>
      </w:r>
    </w:p>
    <w:p w14:paraId="07B32981" w14:textId="77777777" w:rsidR="007C6854" w:rsidRDefault="00E0219E">
      <w:pPr>
        <w:spacing w:line="259" w:lineRule="auto"/>
        <w:rPr>
          <w:rFonts w:eastAsia="Arial" w:cs="Arial"/>
          <w:b/>
          <w:sz w:val="20"/>
          <w:szCs w:val="20"/>
        </w:rPr>
      </w:pPr>
      <w:r>
        <w:rPr>
          <w:rFonts w:eastAsia="Arial" w:cs="Arial"/>
          <w:b/>
          <w:sz w:val="20"/>
          <w:szCs w:val="20"/>
        </w:rPr>
        <w:t>Department of Health Epidemiology Bureau (1 October 2021 to Present)</w:t>
      </w:r>
    </w:p>
    <w:p w14:paraId="7F4BF773" w14:textId="77777777" w:rsidR="007C6854" w:rsidRDefault="00E0219E">
      <w:pPr>
        <w:numPr>
          <w:ilvl w:val="0"/>
          <w:numId w:val="32"/>
        </w:numPr>
        <w:pBdr>
          <w:top w:val="nil"/>
          <w:left w:val="nil"/>
          <w:bottom w:val="nil"/>
          <w:right w:val="nil"/>
          <w:between w:val="nil"/>
        </w:pBdr>
        <w:spacing w:after="0" w:line="259" w:lineRule="auto"/>
        <w:rPr>
          <w:rFonts w:eastAsia="Arial" w:cs="Arial"/>
          <w:color w:val="000000"/>
          <w:sz w:val="20"/>
          <w:szCs w:val="20"/>
        </w:rPr>
      </w:pPr>
      <w:r>
        <w:rPr>
          <w:rFonts w:eastAsia="Arial" w:cs="Arial"/>
          <w:color w:val="000000"/>
          <w:sz w:val="20"/>
          <w:szCs w:val="20"/>
        </w:rPr>
        <w:t>Senior Health Program Officer (Permanent) tasked to supervise the Field Epidemiology Training Program</w:t>
      </w:r>
    </w:p>
    <w:p w14:paraId="206102D2" w14:textId="77777777" w:rsidR="007C6854" w:rsidRDefault="00E0219E">
      <w:pPr>
        <w:spacing w:line="259" w:lineRule="auto"/>
        <w:rPr>
          <w:rFonts w:eastAsia="Arial" w:cs="Arial"/>
          <w:b/>
          <w:sz w:val="20"/>
          <w:szCs w:val="20"/>
        </w:rPr>
      </w:pPr>
      <w:r>
        <w:rPr>
          <w:rFonts w:eastAsia="Arial" w:cs="Arial"/>
          <w:b/>
          <w:sz w:val="20"/>
          <w:szCs w:val="20"/>
        </w:rPr>
        <w:t>Department of Health Epidemiology Bureau (1 October 2021 to Present)</w:t>
      </w:r>
    </w:p>
    <w:p w14:paraId="44B5F87F" w14:textId="77777777" w:rsidR="007C6854" w:rsidRDefault="00E0219E">
      <w:pPr>
        <w:numPr>
          <w:ilvl w:val="0"/>
          <w:numId w:val="32"/>
        </w:numPr>
        <w:pBdr>
          <w:top w:val="nil"/>
          <w:left w:val="nil"/>
          <w:bottom w:val="nil"/>
          <w:right w:val="nil"/>
          <w:between w:val="nil"/>
        </w:pBdr>
        <w:spacing w:after="0" w:line="259" w:lineRule="auto"/>
        <w:rPr>
          <w:rFonts w:eastAsia="Arial" w:cs="Arial"/>
          <w:color w:val="000000"/>
          <w:sz w:val="20"/>
          <w:szCs w:val="20"/>
        </w:rPr>
      </w:pPr>
      <w:r>
        <w:rPr>
          <w:rFonts w:eastAsia="Arial" w:cs="Arial"/>
          <w:color w:val="000000"/>
          <w:sz w:val="20"/>
          <w:szCs w:val="20"/>
        </w:rPr>
        <w:t>Training Specialist IV (Contract of Service) tasked to supervise the Field Epidemiology Training Program</w:t>
      </w:r>
    </w:p>
    <w:p w14:paraId="140B018C" w14:textId="77777777" w:rsidR="007C6854" w:rsidRDefault="00E0219E">
      <w:pPr>
        <w:spacing w:line="259" w:lineRule="auto"/>
        <w:rPr>
          <w:rFonts w:eastAsia="Arial" w:cs="Arial"/>
          <w:b/>
          <w:sz w:val="20"/>
          <w:szCs w:val="20"/>
        </w:rPr>
      </w:pPr>
      <w:r>
        <w:rPr>
          <w:rFonts w:eastAsia="Arial" w:cs="Arial"/>
          <w:b/>
          <w:sz w:val="20"/>
          <w:szCs w:val="20"/>
        </w:rPr>
        <w:t>Metro Manila Center for Health Development (22 February 2021 to 20 September 2021)</w:t>
      </w:r>
    </w:p>
    <w:p w14:paraId="0547106F" w14:textId="77777777" w:rsidR="007C6854" w:rsidRDefault="00E0219E">
      <w:pPr>
        <w:numPr>
          <w:ilvl w:val="0"/>
          <w:numId w:val="29"/>
        </w:numPr>
        <w:spacing w:after="0" w:line="259" w:lineRule="auto"/>
        <w:rPr>
          <w:rFonts w:eastAsia="Arial" w:cs="Arial"/>
          <w:sz w:val="20"/>
          <w:szCs w:val="20"/>
        </w:rPr>
      </w:pPr>
      <w:r>
        <w:rPr>
          <w:rFonts w:eastAsia="Arial" w:cs="Arial"/>
          <w:sz w:val="20"/>
          <w:szCs w:val="20"/>
        </w:rPr>
        <w:t>Senior Health Program Officer (Job Order) assigned in the Regional Epidemiology and Surveillance Unit</w:t>
      </w:r>
    </w:p>
    <w:p w14:paraId="124E2B1F" w14:textId="77777777" w:rsidR="007C6854" w:rsidRDefault="00E0219E">
      <w:pPr>
        <w:numPr>
          <w:ilvl w:val="0"/>
          <w:numId w:val="29"/>
        </w:numPr>
        <w:spacing w:after="0" w:line="259" w:lineRule="auto"/>
        <w:rPr>
          <w:rFonts w:eastAsia="Arial" w:cs="Arial"/>
          <w:sz w:val="20"/>
          <w:szCs w:val="20"/>
        </w:rPr>
      </w:pPr>
      <w:r>
        <w:rPr>
          <w:rFonts w:eastAsia="Arial" w:cs="Arial"/>
          <w:sz w:val="20"/>
          <w:szCs w:val="20"/>
        </w:rPr>
        <w:t>RESU-Response Team Supervisor</w:t>
      </w:r>
    </w:p>
    <w:p w14:paraId="5BD911F6" w14:textId="77777777" w:rsidR="007C6854" w:rsidRDefault="007C6854">
      <w:pPr>
        <w:spacing w:line="237" w:lineRule="auto"/>
        <w:rPr>
          <w:rFonts w:eastAsia="Arial" w:cs="Arial"/>
          <w:b/>
          <w:sz w:val="20"/>
          <w:szCs w:val="20"/>
        </w:rPr>
      </w:pPr>
    </w:p>
    <w:p w14:paraId="3192F212" w14:textId="77777777" w:rsidR="007C6854" w:rsidRDefault="00E0219E">
      <w:pPr>
        <w:spacing w:line="237" w:lineRule="auto"/>
        <w:rPr>
          <w:rFonts w:eastAsia="Arial" w:cs="Arial"/>
          <w:sz w:val="20"/>
          <w:szCs w:val="20"/>
        </w:rPr>
      </w:pPr>
      <w:r>
        <w:rPr>
          <w:rFonts w:eastAsia="Arial" w:cs="Arial"/>
          <w:b/>
          <w:sz w:val="20"/>
          <w:szCs w:val="20"/>
        </w:rPr>
        <w:t xml:space="preserve">World Health Organization Office of the WHO Representative to the Philippines (10 September, 2018 to 30 November 2020) - </w:t>
      </w:r>
      <w:r>
        <w:rPr>
          <w:rFonts w:eastAsia="Arial" w:cs="Arial"/>
          <w:sz w:val="20"/>
          <w:szCs w:val="20"/>
        </w:rPr>
        <w:t>Technical Coordinator of the Urban Health Project in Metro Manila under the Special Service Agreement (SSA)</w:t>
      </w:r>
      <w:r>
        <w:rPr>
          <w:rFonts w:eastAsia="Arial" w:cs="Arial"/>
          <w:b/>
          <w:sz w:val="20"/>
          <w:szCs w:val="20"/>
        </w:rPr>
        <w:t xml:space="preserve">; Re-purpose Scope of Work (April 2020) for COVID-19 Response </w:t>
      </w:r>
      <w:r>
        <w:rPr>
          <w:rFonts w:eastAsia="Arial" w:cs="Arial"/>
          <w:sz w:val="20"/>
          <w:szCs w:val="20"/>
        </w:rPr>
        <w:t>(Deployment Region 7: Central Visayas; the NCR (</w:t>
      </w:r>
      <w:proofErr w:type="spellStart"/>
      <w:r>
        <w:rPr>
          <w:rFonts w:eastAsia="Arial" w:cs="Arial"/>
          <w:sz w:val="20"/>
          <w:szCs w:val="20"/>
        </w:rPr>
        <w:t>Navotas</w:t>
      </w:r>
      <w:proofErr w:type="spellEnd"/>
      <w:r>
        <w:rPr>
          <w:rFonts w:eastAsia="Arial" w:cs="Arial"/>
          <w:sz w:val="20"/>
          <w:szCs w:val="20"/>
        </w:rPr>
        <w:t xml:space="preserve"> City); Technical Support: 1) Drafting of the Contact Tracing Module and 2) One Hospital Command (OCS) - Data Analytics and Roll-out of One Hospital Command System)</w:t>
      </w:r>
    </w:p>
    <w:p w14:paraId="6D5D5EFF" w14:textId="77777777" w:rsidR="007C6854" w:rsidRDefault="00E0219E">
      <w:pPr>
        <w:spacing w:after="0"/>
        <w:rPr>
          <w:rFonts w:eastAsia="Arial" w:cs="Arial"/>
          <w:sz w:val="20"/>
          <w:szCs w:val="20"/>
        </w:rPr>
      </w:pPr>
      <w:r>
        <w:rPr>
          <w:rFonts w:eastAsia="Arial" w:cs="Arial"/>
          <w:b/>
          <w:sz w:val="20"/>
          <w:szCs w:val="20"/>
        </w:rPr>
        <w:lastRenderedPageBreak/>
        <w:t>City Government of Taguig (1 October, 2017 to 15 September, 2018)</w:t>
      </w:r>
    </w:p>
    <w:p w14:paraId="32126143" w14:textId="77777777" w:rsidR="007C6854" w:rsidRDefault="00E0219E">
      <w:pPr>
        <w:numPr>
          <w:ilvl w:val="0"/>
          <w:numId w:val="19"/>
        </w:numPr>
        <w:spacing w:after="0" w:line="240" w:lineRule="auto"/>
        <w:rPr>
          <w:rFonts w:eastAsia="Arial" w:cs="Arial"/>
          <w:sz w:val="20"/>
          <w:szCs w:val="20"/>
        </w:rPr>
      </w:pPr>
      <w:r>
        <w:rPr>
          <w:rFonts w:eastAsia="Arial" w:cs="Arial"/>
          <w:sz w:val="20"/>
          <w:szCs w:val="20"/>
        </w:rPr>
        <w:t>Contractual Contract - Nurse III, Head of the City Epidemiology and Surveillance Unit</w:t>
      </w:r>
    </w:p>
    <w:p w14:paraId="062A0E4D" w14:textId="77777777" w:rsidR="007C6854" w:rsidRDefault="007C6854">
      <w:pPr>
        <w:spacing w:line="261" w:lineRule="auto"/>
        <w:rPr>
          <w:rFonts w:eastAsia="Arial" w:cs="Arial"/>
          <w:sz w:val="20"/>
          <w:szCs w:val="20"/>
        </w:rPr>
      </w:pPr>
    </w:p>
    <w:p w14:paraId="167353FA" w14:textId="77777777" w:rsidR="007C6854" w:rsidRDefault="00E0219E">
      <w:pPr>
        <w:spacing w:line="235" w:lineRule="auto"/>
        <w:ind w:right="80"/>
        <w:rPr>
          <w:rFonts w:eastAsia="Arial" w:cs="Arial"/>
          <w:sz w:val="20"/>
          <w:szCs w:val="20"/>
        </w:rPr>
      </w:pPr>
      <w:r>
        <w:rPr>
          <w:rFonts w:eastAsia="Arial" w:cs="Arial"/>
          <w:b/>
          <w:sz w:val="20"/>
          <w:szCs w:val="20"/>
        </w:rPr>
        <w:t>WORLD HEALTH ORGANIZATION Office of the WHO Representative to the Philippines (March 2014 to 31 July 2017)</w:t>
      </w:r>
    </w:p>
    <w:p w14:paraId="6169538B" w14:textId="77777777" w:rsidR="007C6854" w:rsidRDefault="00E0219E">
      <w:pPr>
        <w:numPr>
          <w:ilvl w:val="0"/>
          <w:numId w:val="27"/>
        </w:numPr>
        <w:tabs>
          <w:tab w:val="left" w:pos="720"/>
        </w:tabs>
        <w:spacing w:after="0" w:line="240" w:lineRule="auto"/>
        <w:ind w:left="720" w:hanging="360"/>
        <w:rPr>
          <w:rFonts w:eastAsia="Arial" w:cs="Arial"/>
          <w:sz w:val="20"/>
          <w:szCs w:val="20"/>
        </w:rPr>
      </w:pPr>
      <w:r>
        <w:rPr>
          <w:rFonts w:eastAsia="Arial" w:cs="Arial"/>
          <w:sz w:val="20"/>
          <w:szCs w:val="20"/>
        </w:rPr>
        <w:t>Special Service Agreement on NCD, Violence and Injury Prevention, Drowning Prevention Project (1 August 2016 to 31 July 2017)</w:t>
      </w:r>
    </w:p>
    <w:p w14:paraId="20B6DE67" w14:textId="77777777" w:rsidR="007C6854" w:rsidRDefault="00E0219E">
      <w:pPr>
        <w:numPr>
          <w:ilvl w:val="0"/>
          <w:numId w:val="27"/>
        </w:numPr>
        <w:tabs>
          <w:tab w:val="left" w:pos="720"/>
        </w:tabs>
        <w:spacing w:after="0" w:line="240" w:lineRule="auto"/>
        <w:ind w:left="720" w:hanging="360"/>
        <w:rPr>
          <w:rFonts w:eastAsia="Arial" w:cs="Arial"/>
          <w:sz w:val="20"/>
          <w:szCs w:val="20"/>
        </w:rPr>
      </w:pPr>
      <w:r>
        <w:rPr>
          <w:rFonts w:eastAsia="Arial" w:cs="Arial"/>
          <w:sz w:val="20"/>
          <w:szCs w:val="20"/>
        </w:rPr>
        <w:t>Short-term Consultant on WHO-Package of Essential NCD implementation (July 2014 to July 2016)</w:t>
      </w:r>
    </w:p>
    <w:p w14:paraId="227EE645" w14:textId="77777777" w:rsidR="007C6854" w:rsidRDefault="007C6854">
      <w:pPr>
        <w:rPr>
          <w:rFonts w:eastAsia="Arial" w:cs="Arial"/>
          <w:sz w:val="20"/>
          <w:szCs w:val="20"/>
        </w:rPr>
      </w:pPr>
    </w:p>
    <w:p w14:paraId="7954982A" w14:textId="77777777" w:rsidR="007C6854" w:rsidRDefault="00E0219E">
      <w:pPr>
        <w:rPr>
          <w:rFonts w:eastAsia="Arial" w:cs="Arial"/>
          <w:sz w:val="20"/>
          <w:szCs w:val="20"/>
        </w:rPr>
      </w:pPr>
      <w:r>
        <w:rPr>
          <w:rFonts w:eastAsia="Arial" w:cs="Arial"/>
          <w:b/>
          <w:sz w:val="20"/>
          <w:szCs w:val="20"/>
        </w:rPr>
        <w:t>MUNICIPAL GOVERNMENT OF PATEROS (February 1998 – June 2015 [Retired])</w:t>
      </w:r>
    </w:p>
    <w:p w14:paraId="3D5E7ED1" w14:textId="77777777" w:rsidR="007C6854" w:rsidRDefault="00E0219E">
      <w:pPr>
        <w:numPr>
          <w:ilvl w:val="0"/>
          <w:numId w:val="28"/>
        </w:numPr>
        <w:tabs>
          <w:tab w:val="left" w:pos="720"/>
        </w:tabs>
        <w:spacing w:after="0" w:line="240" w:lineRule="auto"/>
        <w:ind w:left="720" w:hanging="360"/>
        <w:rPr>
          <w:rFonts w:eastAsia="Arial" w:cs="Arial"/>
          <w:sz w:val="20"/>
          <w:szCs w:val="20"/>
        </w:rPr>
      </w:pPr>
      <w:r>
        <w:rPr>
          <w:rFonts w:eastAsia="Arial" w:cs="Arial"/>
          <w:sz w:val="20"/>
          <w:szCs w:val="20"/>
        </w:rPr>
        <w:t>Public Health Nurse (Nurse II) – Pateros Health Department (2000 – 2015)</w:t>
      </w:r>
    </w:p>
    <w:p w14:paraId="6D33DFA1" w14:textId="77777777" w:rsidR="007C6854" w:rsidRDefault="00E0219E">
      <w:pPr>
        <w:numPr>
          <w:ilvl w:val="1"/>
          <w:numId w:val="28"/>
        </w:numPr>
        <w:tabs>
          <w:tab w:val="left" w:pos="1440"/>
        </w:tabs>
        <w:spacing w:after="0" w:line="240" w:lineRule="auto"/>
        <w:ind w:left="1440" w:hanging="360"/>
        <w:rPr>
          <w:rFonts w:eastAsia="Arial" w:cs="Arial"/>
          <w:sz w:val="20"/>
          <w:szCs w:val="20"/>
        </w:rPr>
      </w:pPr>
      <w:r>
        <w:rPr>
          <w:rFonts w:eastAsia="Arial" w:cs="Arial"/>
          <w:sz w:val="20"/>
          <w:szCs w:val="20"/>
        </w:rPr>
        <w:t>Act as the Coordinator of the Health Management Information System</w:t>
      </w:r>
    </w:p>
    <w:p w14:paraId="7A171D2B" w14:textId="77777777" w:rsidR="007C6854" w:rsidRDefault="00E0219E">
      <w:pPr>
        <w:numPr>
          <w:ilvl w:val="1"/>
          <w:numId w:val="28"/>
        </w:numPr>
        <w:tabs>
          <w:tab w:val="left" w:pos="1440"/>
        </w:tabs>
        <w:spacing w:after="0" w:line="240" w:lineRule="auto"/>
        <w:ind w:left="1440" w:hanging="360"/>
        <w:rPr>
          <w:rFonts w:eastAsia="Arial" w:cs="Arial"/>
          <w:sz w:val="20"/>
          <w:szCs w:val="20"/>
        </w:rPr>
      </w:pPr>
      <w:r>
        <w:rPr>
          <w:rFonts w:eastAsia="Arial" w:cs="Arial"/>
          <w:sz w:val="20"/>
          <w:szCs w:val="20"/>
        </w:rPr>
        <w:t>Pateros Wireless Access for Health - Health Information System Administrator</w:t>
      </w:r>
    </w:p>
    <w:p w14:paraId="63C6FA39" w14:textId="77777777" w:rsidR="007C6854" w:rsidRDefault="00E0219E">
      <w:pPr>
        <w:numPr>
          <w:ilvl w:val="1"/>
          <w:numId w:val="28"/>
        </w:numPr>
        <w:tabs>
          <w:tab w:val="left" w:pos="1440"/>
        </w:tabs>
        <w:spacing w:after="0" w:line="240" w:lineRule="auto"/>
        <w:ind w:left="1440" w:hanging="360"/>
        <w:rPr>
          <w:rFonts w:eastAsia="Arial" w:cs="Arial"/>
          <w:sz w:val="20"/>
          <w:szCs w:val="20"/>
        </w:rPr>
      </w:pPr>
      <w:r>
        <w:rPr>
          <w:rFonts w:eastAsia="Arial" w:cs="Arial"/>
          <w:sz w:val="20"/>
          <w:szCs w:val="20"/>
        </w:rPr>
        <w:t>Act as the Nurse Coordinator for Community Health Team Strategy</w:t>
      </w:r>
    </w:p>
    <w:p w14:paraId="637A436F" w14:textId="77777777" w:rsidR="007C6854" w:rsidRDefault="00E0219E">
      <w:pPr>
        <w:numPr>
          <w:ilvl w:val="1"/>
          <w:numId w:val="28"/>
        </w:numPr>
        <w:tabs>
          <w:tab w:val="left" w:pos="1440"/>
        </w:tabs>
        <w:spacing w:after="0" w:line="240" w:lineRule="auto"/>
        <w:ind w:left="1440" w:hanging="360"/>
        <w:rPr>
          <w:rFonts w:eastAsia="Arial" w:cs="Arial"/>
          <w:sz w:val="20"/>
          <w:szCs w:val="20"/>
        </w:rPr>
      </w:pPr>
      <w:r>
        <w:rPr>
          <w:rFonts w:eastAsia="Arial" w:cs="Arial"/>
          <w:sz w:val="20"/>
          <w:szCs w:val="20"/>
        </w:rPr>
        <w:t>Act as the Nurse Coordinator for the Non-Communicable Diseases Prevention and Control Program; WHO-PEN</w:t>
      </w:r>
    </w:p>
    <w:p w14:paraId="6479D449" w14:textId="77777777" w:rsidR="007C6854" w:rsidRDefault="00E0219E">
      <w:pPr>
        <w:numPr>
          <w:ilvl w:val="0"/>
          <w:numId w:val="21"/>
        </w:numPr>
        <w:tabs>
          <w:tab w:val="left" w:pos="1440"/>
        </w:tabs>
        <w:spacing w:after="0" w:line="240" w:lineRule="auto"/>
        <w:ind w:left="1440" w:hanging="360"/>
        <w:rPr>
          <w:rFonts w:eastAsia="Arial" w:cs="Arial"/>
          <w:sz w:val="20"/>
          <w:szCs w:val="20"/>
        </w:rPr>
      </w:pPr>
      <w:r>
        <w:rPr>
          <w:rFonts w:eastAsia="Arial" w:cs="Arial"/>
          <w:sz w:val="20"/>
          <w:szCs w:val="20"/>
        </w:rPr>
        <w:t>Act as a Planning Officer for Health</w:t>
      </w:r>
    </w:p>
    <w:p w14:paraId="30D1E1FE" w14:textId="77777777" w:rsidR="007C6854" w:rsidRDefault="00E0219E">
      <w:pPr>
        <w:numPr>
          <w:ilvl w:val="0"/>
          <w:numId w:val="21"/>
        </w:numPr>
        <w:tabs>
          <w:tab w:val="left" w:pos="1440"/>
        </w:tabs>
        <w:spacing w:after="0" w:line="240" w:lineRule="auto"/>
        <w:ind w:left="1440" w:right="140" w:hanging="360"/>
        <w:rPr>
          <w:rFonts w:eastAsia="Arial" w:cs="Arial"/>
          <w:sz w:val="20"/>
          <w:szCs w:val="20"/>
        </w:rPr>
      </w:pPr>
      <w:r>
        <w:rPr>
          <w:rFonts w:eastAsia="Arial" w:cs="Arial"/>
          <w:sz w:val="20"/>
          <w:szCs w:val="20"/>
        </w:rPr>
        <w:t>Involve and Facilitate in developing the municipal health plan (WFP, AOP, CIPH, etc.)</w:t>
      </w:r>
    </w:p>
    <w:p w14:paraId="7ED78F35" w14:textId="77777777" w:rsidR="007C6854" w:rsidRDefault="00E0219E">
      <w:pPr>
        <w:numPr>
          <w:ilvl w:val="0"/>
          <w:numId w:val="21"/>
        </w:numPr>
        <w:tabs>
          <w:tab w:val="left" w:pos="1440"/>
        </w:tabs>
        <w:spacing w:after="0" w:line="240" w:lineRule="auto"/>
        <w:ind w:left="1440" w:hanging="360"/>
        <w:rPr>
          <w:rFonts w:eastAsia="Arial" w:cs="Arial"/>
          <w:sz w:val="20"/>
          <w:szCs w:val="20"/>
        </w:rPr>
      </w:pPr>
      <w:r>
        <w:rPr>
          <w:rFonts w:eastAsia="Arial" w:cs="Arial"/>
          <w:sz w:val="20"/>
          <w:szCs w:val="20"/>
        </w:rPr>
        <w:t>Technical Writer AOP 2012, AOP 2013, AOP 2014 and CIPH 2014-2016</w:t>
      </w:r>
    </w:p>
    <w:p w14:paraId="2E9DDE77" w14:textId="77777777" w:rsidR="007C6854" w:rsidRDefault="00E0219E">
      <w:pPr>
        <w:numPr>
          <w:ilvl w:val="0"/>
          <w:numId w:val="21"/>
        </w:numPr>
        <w:tabs>
          <w:tab w:val="left" w:pos="1480"/>
        </w:tabs>
        <w:spacing w:after="0" w:line="240" w:lineRule="auto"/>
        <w:ind w:left="1480" w:right="1180" w:hanging="400"/>
        <w:rPr>
          <w:rFonts w:eastAsia="Arial" w:cs="Arial"/>
          <w:sz w:val="20"/>
          <w:szCs w:val="20"/>
        </w:rPr>
      </w:pPr>
      <w:r>
        <w:rPr>
          <w:rFonts w:eastAsia="Arial" w:cs="Arial"/>
          <w:sz w:val="20"/>
          <w:szCs w:val="20"/>
        </w:rPr>
        <w:t>Involve in the writing and editing of written materials (e.g. Annual Report, Surveillance Report, and other Technical Reports of Projects/Programs)</w:t>
      </w:r>
    </w:p>
    <w:p w14:paraId="796C3898" w14:textId="77777777" w:rsidR="007C6854" w:rsidRDefault="00E0219E">
      <w:pPr>
        <w:numPr>
          <w:ilvl w:val="0"/>
          <w:numId w:val="21"/>
        </w:numPr>
        <w:tabs>
          <w:tab w:val="left" w:pos="1440"/>
        </w:tabs>
        <w:spacing w:after="0" w:line="240" w:lineRule="auto"/>
        <w:ind w:left="1440" w:hanging="360"/>
        <w:rPr>
          <w:rFonts w:eastAsia="Arial" w:cs="Arial"/>
          <w:sz w:val="20"/>
          <w:szCs w:val="20"/>
        </w:rPr>
      </w:pPr>
      <w:r>
        <w:rPr>
          <w:rFonts w:eastAsia="Arial" w:cs="Arial"/>
          <w:sz w:val="20"/>
          <w:szCs w:val="20"/>
        </w:rPr>
        <w:t>Act as the Municipal Epidemiologist and Surveillance Officer</w:t>
      </w:r>
    </w:p>
    <w:p w14:paraId="47C4165B" w14:textId="77777777" w:rsidR="007C6854" w:rsidRDefault="00E0219E">
      <w:pPr>
        <w:numPr>
          <w:ilvl w:val="0"/>
          <w:numId w:val="21"/>
        </w:numPr>
        <w:tabs>
          <w:tab w:val="left" w:pos="1440"/>
        </w:tabs>
        <w:spacing w:after="0" w:line="240" w:lineRule="auto"/>
        <w:ind w:left="1440" w:hanging="360"/>
        <w:rPr>
          <w:rFonts w:eastAsia="Arial" w:cs="Arial"/>
          <w:sz w:val="20"/>
          <w:szCs w:val="20"/>
        </w:rPr>
      </w:pPr>
      <w:r>
        <w:rPr>
          <w:rFonts w:eastAsia="Arial" w:cs="Arial"/>
          <w:sz w:val="20"/>
          <w:szCs w:val="20"/>
        </w:rPr>
        <w:t>Performs the task of a Health Facility Supervisor</w:t>
      </w:r>
    </w:p>
    <w:p w14:paraId="489A73B4" w14:textId="77777777" w:rsidR="007C6854" w:rsidRDefault="00E0219E">
      <w:pPr>
        <w:numPr>
          <w:ilvl w:val="0"/>
          <w:numId w:val="21"/>
        </w:numPr>
        <w:tabs>
          <w:tab w:val="left" w:pos="1440"/>
        </w:tabs>
        <w:spacing w:after="0" w:line="240" w:lineRule="auto"/>
        <w:ind w:left="1440" w:hanging="360"/>
        <w:rPr>
          <w:rFonts w:eastAsia="Arial" w:cs="Arial"/>
          <w:sz w:val="20"/>
          <w:szCs w:val="20"/>
        </w:rPr>
      </w:pPr>
      <w:r>
        <w:rPr>
          <w:rFonts w:eastAsia="Arial" w:cs="Arial"/>
          <w:sz w:val="20"/>
          <w:szCs w:val="20"/>
        </w:rPr>
        <w:t>Performs the task of a Health Educator/ Advocate</w:t>
      </w:r>
    </w:p>
    <w:p w14:paraId="6855A7A4" w14:textId="77777777" w:rsidR="007C6854" w:rsidRDefault="00E0219E">
      <w:pPr>
        <w:numPr>
          <w:ilvl w:val="0"/>
          <w:numId w:val="21"/>
        </w:numPr>
        <w:tabs>
          <w:tab w:val="left" w:pos="1440"/>
        </w:tabs>
        <w:spacing w:after="0" w:line="240" w:lineRule="auto"/>
        <w:ind w:left="1440" w:hanging="360"/>
        <w:rPr>
          <w:rFonts w:eastAsia="Arial" w:cs="Arial"/>
          <w:sz w:val="20"/>
          <w:szCs w:val="20"/>
        </w:rPr>
      </w:pPr>
      <w:r>
        <w:rPr>
          <w:rFonts w:eastAsia="Arial" w:cs="Arial"/>
          <w:sz w:val="20"/>
          <w:szCs w:val="20"/>
        </w:rPr>
        <w:t>Performs the task of a Health Facility Nurse</w:t>
      </w:r>
    </w:p>
    <w:p w14:paraId="390D23F5" w14:textId="77777777" w:rsidR="007C6854" w:rsidRDefault="007C6854">
      <w:pPr>
        <w:ind w:left="180"/>
        <w:rPr>
          <w:rFonts w:eastAsia="Arial" w:cs="Arial"/>
          <w:b/>
          <w:i/>
          <w:sz w:val="20"/>
          <w:szCs w:val="20"/>
          <w:u w:val="single"/>
        </w:rPr>
      </w:pPr>
    </w:p>
    <w:p w14:paraId="48293EA0" w14:textId="77777777" w:rsidR="007C6854" w:rsidRDefault="00E0219E">
      <w:pPr>
        <w:ind w:left="180"/>
        <w:rPr>
          <w:rFonts w:eastAsia="Arial" w:cs="Arial"/>
          <w:sz w:val="20"/>
          <w:szCs w:val="20"/>
        </w:rPr>
      </w:pPr>
      <w:r>
        <w:rPr>
          <w:rFonts w:eastAsia="Arial" w:cs="Arial"/>
          <w:b/>
          <w:i/>
          <w:sz w:val="20"/>
          <w:szCs w:val="20"/>
          <w:u w:val="single"/>
        </w:rPr>
        <w:t>EDUCATIONAL BACKGROUND</w:t>
      </w:r>
    </w:p>
    <w:tbl>
      <w:tblPr>
        <w:tblStyle w:val="afffc"/>
        <w:tblW w:w="8234" w:type="dxa"/>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17"/>
        <w:gridCol w:w="5217"/>
      </w:tblGrid>
      <w:tr w:rsidR="007C6854" w14:paraId="1DAE2366" w14:textId="77777777">
        <w:trPr>
          <w:trHeight w:val="276"/>
        </w:trPr>
        <w:tc>
          <w:tcPr>
            <w:tcW w:w="3017" w:type="dxa"/>
            <w:vMerge w:val="restart"/>
            <w:tcBorders>
              <w:top w:val="single" w:sz="8" w:space="0" w:color="000000"/>
              <w:left w:val="single" w:sz="8" w:space="0" w:color="000000"/>
              <w:right w:val="single" w:sz="8" w:space="0" w:color="000000"/>
            </w:tcBorders>
            <w:vAlign w:val="center"/>
          </w:tcPr>
          <w:p w14:paraId="71546B0C" w14:textId="77777777" w:rsidR="007C6854" w:rsidRDefault="00E0219E">
            <w:pPr>
              <w:ind w:left="80"/>
              <w:rPr>
                <w:rFonts w:eastAsia="Arial" w:cs="Arial"/>
              </w:rPr>
            </w:pPr>
            <w:r>
              <w:rPr>
                <w:rFonts w:eastAsia="Arial" w:cs="Arial"/>
              </w:rPr>
              <w:t>2018 - Present</w:t>
            </w:r>
          </w:p>
        </w:tc>
        <w:tc>
          <w:tcPr>
            <w:tcW w:w="5217" w:type="dxa"/>
            <w:vMerge w:val="restart"/>
            <w:tcBorders>
              <w:top w:val="single" w:sz="8" w:space="0" w:color="000000"/>
              <w:left w:val="single" w:sz="8" w:space="0" w:color="000000"/>
              <w:right w:val="single" w:sz="8" w:space="0" w:color="000000"/>
            </w:tcBorders>
            <w:vAlign w:val="center"/>
          </w:tcPr>
          <w:p w14:paraId="4E9B8CEA" w14:textId="77777777" w:rsidR="007C6854" w:rsidRDefault="00E0219E">
            <w:pPr>
              <w:ind w:left="160"/>
              <w:rPr>
                <w:rFonts w:eastAsia="Arial" w:cs="Arial"/>
              </w:rPr>
            </w:pPr>
            <w:r>
              <w:rPr>
                <w:rFonts w:eastAsia="Arial" w:cs="Arial"/>
              </w:rPr>
              <w:t>Master of International Health (Thesis Level) -Ongoing</w:t>
            </w:r>
          </w:p>
          <w:p w14:paraId="4079DA07" w14:textId="77777777" w:rsidR="007C6854" w:rsidRDefault="00E0219E">
            <w:pPr>
              <w:ind w:left="160"/>
              <w:rPr>
                <w:rFonts w:eastAsia="Arial" w:cs="Arial"/>
              </w:rPr>
            </w:pPr>
            <w:r>
              <w:rPr>
                <w:rFonts w:eastAsia="Arial" w:cs="Arial"/>
              </w:rPr>
              <w:t xml:space="preserve">University of the Philippines Open University </w:t>
            </w:r>
          </w:p>
        </w:tc>
      </w:tr>
      <w:tr w:rsidR="007C6854" w14:paraId="03385353" w14:textId="77777777">
        <w:trPr>
          <w:trHeight w:val="317"/>
        </w:trPr>
        <w:tc>
          <w:tcPr>
            <w:tcW w:w="3017" w:type="dxa"/>
            <w:vMerge/>
            <w:tcBorders>
              <w:top w:val="single" w:sz="8" w:space="0" w:color="000000"/>
              <w:left w:val="single" w:sz="8" w:space="0" w:color="000000"/>
              <w:right w:val="single" w:sz="8" w:space="0" w:color="000000"/>
            </w:tcBorders>
            <w:vAlign w:val="center"/>
          </w:tcPr>
          <w:p w14:paraId="3C90C643" w14:textId="77777777" w:rsidR="007C6854" w:rsidRDefault="007C6854">
            <w:pPr>
              <w:widowControl w:val="0"/>
              <w:pBdr>
                <w:top w:val="nil"/>
                <w:left w:val="nil"/>
                <w:bottom w:val="nil"/>
                <w:right w:val="nil"/>
                <w:between w:val="nil"/>
              </w:pBdr>
              <w:spacing w:line="276" w:lineRule="auto"/>
              <w:rPr>
                <w:rFonts w:eastAsia="Arial" w:cs="Arial"/>
              </w:rPr>
            </w:pPr>
          </w:p>
        </w:tc>
        <w:tc>
          <w:tcPr>
            <w:tcW w:w="5217" w:type="dxa"/>
            <w:vMerge/>
            <w:tcBorders>
              <w:top w:val="single" w:sz="8" w:space="0" w:color="000000"/>
              <w:left w:val="single" w:sz="8" w:space="0" w:color="000000"/>
              <w:right w:val="single" w:sz="8" w:space="0" w:color="000000"/>
            </w:tcBorders>
            <w:vAlign w:val="center"/>
          </w:tcPr>
          <w:p w14:paraId="1912D9C0" w14:textId="77777777" w:rsidR="007C6854" w:rsidRDefault="007C6854">
            <w:pPr>
              <w:widowControl w:val="0"/>
              <w:pBdr>
                <w:top w:val="nil"/>
                <w:left w:val="nil"/>
                <w:bottom w:val="nil"/>
                <w:right w:val="nil"/>
                <w:between w:val="nil"/>
              </w:pBdr>
              <w:spacing w:line="276" w:lineRule="auto"/>
              <w:rPr>
                <w:rFonts w:eastAsia="Arial" w:cs="Arial"/>
              </w:rPr>
            </w:pPr>
          </w:p>
        </w:tc>
      </w:tr>
      <w:tr w:rsidR="007C6854" w14:paraId="75777785" w14:textId="77777777">
        <w:trPr>
          <w:trHeight w:val="317"/>
        </w:trPr>
        <w:tc>
          <w:tcPr>
            <w:tcW w:w="3017" w:type="dxa"/>
            <w:vMerge/>
            <w:tcBorders>
              <w:top w:val="single" w:sz="8" w:space="0" w:color="000000"/>
              <w:left w:val="single" w:sz="8" w:space="0" w:color="000000"/>
              <w:right w:val="single" w:sz="8" w:space="0" w:color="000000"/>
            </w:tcBorders>
            <w:vAlign w:val="center"/>
          </w:tcPr>
          <w:p w14:paraId="22E14FF3" w14:textId="77777777" w:rsidR="007C6854" w:rsidRDefault="007C6854">
            <w:pPr>
              <w:widowControl w:val="0"/>
              <w:pBdr>
                <w:top w:val="nil"/>
                <w:left w:val="nil"/>
                <w:bottom w:val="nil"/>
                <w:right w:val="nil"/>
                <w:between w:val="nil"/>
              </w:pBdr>
              <w:spacing w:line="276" w:lineRule="auto"/>
              <w:rPr>
                <w:rFonts w:eastAsia="Arial" w:cs="Arial"/>
              </w:rPr>
            </w:pPr>
          </w:p>
        </w:tc>
        <w:tc>
          <w:tcPr>
            <w:tcW w:w="5217" w:type="dxa"/>
            <w:vMerge/>
            <w:tcBorders>
              <w:top w:val="single" w:sz="8" w:space="0" w:color="000000"/>
              <w:left w:val="single" w:sz="8" w:space="0" w:color="000000"/>
              <w:right w:val="single" w:sz="8" w:space="0" w:color="000000"/>
            </w:tcBorders>
            <w:vAlign w:val="center"/>
          </w:tcPr>
          <w:p w14:paraId="38C4EAFB" w14:textId="77777777" w:rsidR="007C6854" w:rsidRDefault="007C6854">
            <w:pPr>
              <w:widowControl w:val="0"/>
              <w:pBdr>
                <w:top w:val="nil"/>
                <w:left w:val="nil"/>
                <w:bottom w:val="nil"/>
                <w:right w:val="nil"/>
                <w:between w:val="nil"/>
              </w:pBdr>
              <w:spacing w:line="276" w:lineRule="auto"/>
              <w:rPr>
                <w:rFonts w:eastAsia="Arial" w:cs="Arial"/>
              </w:rPr>
            </w:pPr>
          </w:p>
        </w:tc>
      </w:tr>
      <w:tr w:rsidR="007C6854" w14:paraId="3E10C468" w14:textId="77777777">
        <w:trPr>
          <w:trHeight w:val="317"/>
        </w:trPr>
        <w:tc>
          <w:tcPr>
            <w:tcW w:w="3017" w:type="dxa"/>
            <w:vMerge/>
            <w:tcBorders>
              <w:top w:val="single" w:sz="8" w:space="0" w:color="000000"/>
              <w:left w:val="single" w:sz="8" w:space="0" w:color="000000"/>
              <w:right w:val="single" w:sz="8" w:space="0" w:color="000000"/>
            </w:tcBorders>
            <w:vAlign w:val="center"/>
          </w:tcPr>
          <w:p w14:paraId="03312F71" w14:textId="77777777" w:rsidR="007C6854" w:rsidRDefault="007C6854">
            <w:pPr>
              <w:widowControl w:val="0"/>
              <w:pBdr>
                <w:top w:val="nil"/>
                <w:left w:val="nil"/>
                <w:bottom w:val="nil"/>
                <w:right w:val="nil"/>
                <w:between w:val="nil"/>
              </w:pBdr>
              <w:spacing w:line="276" w:lineRule="auto"/>
              <w:rPr>
                <w:rFonts w:eastAsia="Arial" w:cs="Arial"/>
              </w:rPr>
            </w:pPr>
          </w:p>
        </w:tc>
        <w:tc>
          <w:tcPr>
            <w:tcW w:w="5217" w:type="dxa"/>
            <w:vMerge/>
            <w:tcBorders>
              <w:top w:val="single" w:sz="8" w:space="0" w:color="000000"/>
              <w:left w:val="single" w:sz="8" w:space="0" w:color="000000"/>
              <w:right w:val="single" w:sz="8" w:space="0" w:color="000000"/>
            </w:tcBorders>
            <w:vAlign w:val="center"/>
          </w:tcPr>
          <w:p w14:paraId="10F5BAED" w14:textId="77777777" w:rsidR="007C6854" w:rsidRDefault="007C6854">
            <w:pPr>
              <w:widowControl w:val="0"/>
              <w:pBdr>
                <w:top w:val="nil"/>
                <w:left w:val="nil"/>
                <w:bottom w:val="nil"/>
                <w:right w:val="nil"/>
                <w:between w:val="nil"/>
              </w:pBdr>
              <w:spacing w:line="276" w:lineRule="auto"/>
              <w:rPr>
                <w:rFonts w:eastAsia="Arial" w:cs="Arial"/>
              </w:rPr>
            </w:pPr>
          </w:p>
        </w:tc>
      </w:tr>
      <w:tr w:rsidR="007C6854" w14:paraId="0D0461EB" w14:textId="77777777">
        <w:trPr>
          <w:trHeight w:val="317"/>
        </w:trPr>
        <w:tc>
          <w:tcPr>
            <w:tcW w:w="3017" w:type="dxa"/>
            <w:vMerge/>
            <w:tcBorders>
              <w:top w:val="single" w:sz="8" w:space="0" w:color="000000"/>
              <w:left w:val="single" w:sz="8" w:space="0" w:color="000000"/>
              <w:right w:val="single" w:sz="8" w:space="0" w:color="000000"/>
            </w:tcBorders>
            <w:vAlign w:val="center"/>
          </w:tcPr>
          <w:p w14:paraId="244B9E01" w14:textId="77777777" w:rsidR="007C6854" w:rsidRDefault="007C6854">
            <w:pPr>
              <w:widowControl w:val="0"/>
              <w:pBdr>
                <w:top w:val="nil"/>
                <w:left w:val="nil"/>
                <w:bottom w:val="nil"/>
                <w:right w:val="nil"/>
                <w:between w:val="nil"/>
              </w:pBdr>
              <w:spacing w:line="276" w:lineRule="auto"/>
              <w:rPr>
                <w:rFonts w:eastAsia="Arial" w:cs="Arial"/>
              </w:rPr>
            </w:pPr>
          </w:p>
        </w:tc>
        <w:tc>
          <w:tcPr>
            <w:tcW w:w="5217" w:type="dxa"/>
            <w:vMerge/>
            <w:tcBorders>
              <w:top w:val="single" w:sz="8" w:space="0" w:color="000000"/>
              <w:left w:val="single" w:sz="8" w:space="0" w:color="000000"/>
              <w:right w:val="single" w:sz="8" w:space="0" w:color="000000"/>
            </w:tcBorders>
            <w:vAlign w:val="center"/>
          </w:tcPr>
          <w:p w14:paraId="03F94623" w14:textId="77777777" w:rsidR="007C6854" w:rsidRDefault="007C6854">
            <w:pPr>
              <w:widowControl w:val="0"/>
              <w:pBdr>
                <w:top w:val="nil"/>
                <w:left w:val="nil"/>
                <w:bottom w:val="nil"/>
                <w:right w:val="nil"/>
                <w:between w:val="nil"/>
              </w:pBdr>
              <w:spacing w:line="276" w:lineRule="auto"/>
              <w:rPr>
                <w:rFonts w:eastAsia="Arial" w:cs="Arial"/>
              </w:rPr>
            </w:pPr>
          </w:p>
        </w:tc>
      </w:tr>
      <w:tr w:rsidR="007C6854" w14:paraId="52ADE743" w14:textId="77777777">
        <w:trPr>
          <w:trHeight w:val="373"/>
        </w:trPr>
        <w:tc>
          <w:tcPr>
            <w:tcW w:w="3017" w:type="dxa"/>
            <w:vMerge w:val="restart"/>
            <w:tcBorders>
              <w:left w:val="single" w:sz="8" w:space="0" w:color="000000"/>
              <w:right w:val="single" w:sz="8" w:space="0" w:color="000000"/>
            </w:tcBorders>
            <w:vAlign w:val="center"/>
          </w:tcPr>
          <w:p w14:paraId="7C2D267F" w14:textId="77777777" w:rsidR="007C6854" w:rsidRDefault="00E0219E">
            <w:pPr>
              <w:ind w:left="80"/>
              <w:rPr>
                <w:rFonts w:eastAsia="Arial" w:cs="Arial"/>
              </w:rPr>
            </w:pPr>
            <w:r>
              <w:rPr>
                <w:rFonts w:eastAsia="Arial" w:cs="Arial"/>
              </w:rPr>
              <w:t>2016-2018</w:t>
            </w:r>
          </w:p>
        </w:tc>
        <w:tc>
          <w:tcPr>
            <w:tcW w:w="5217" w:type="dxa"/>
            <w:vMerge w:val="restart"/>
            <w:tcBorders>
              <w:right w:val="single" w:sz="8" w:space="0" w:color="000000"/>
            </w:tcBorders>
            <w:vAlign w:val="center"/>
          </w:tcPr>
          <w:p w14:paraId="6B2AC3D4" w14:textId="77777777" w:rsidR="007C6854" w:rsidRDefault="00E0219E">
            <w:pPr>
              <w:ind w:left="160"/>
              <w:rPr>
                <w:rFonts w:eastAsia="Arial" w:cs="Arial"/>
              </w:rPr>
            </w:pPr>
            <w:r>
              <w:rPr>
                <w:rFonts w:eastAsia="Arial" w:cs="Arial"/>
              </w:rPr>
              <w:t>Diploma in International Health</w:t>
            </w:r>
          </w:p>
          <w:p w14:paraId="62A79938" w14:textId="77777777" w:rsidR="007C6854" w:rsidRDefault="00E0219E">
            <w:pPr>
              <w:ind w:left="160"/>
              <w:rPr>
                <w:rFonts w:eastAsia="Arial" w:cs="Arial"/>
              </w:rPr>
            </w:pPr>
            <w:r>
              <w:rPr>
                <w:rFonts w:eastAsia="Arial" w:cs="Arial"/>
              </w:rPr>
              <w:t>University of the Philippines Open University</w:t>
            </w:r>
          </w:p>
        </w:tc>
      </w:tr>
      <w:tr w:rsidR="007C6854" w14:paraId="783009EE" w14:textId="77777777">
        <w:trPr>
          <w:trHeight w:val="317"/>
        </w:trPr>
        <w:tc>
          <w:tcPr>
            <w:tcW w:w="3017" w:type="dxa"/>
            <w:vMerge/>
            <w:tcBorders>
              <w:left w:val="single" w:sz="8" w:space="0" w:color="000000"/>
              <w:right w:val="single" w:sz="8" w:space="0" w:color="000000"/>
            </w:tcBorders>
            <w:vAlign w:val="center"/>
          </w:tcPr>
          <w:p w14:paraId="748DE115" w14:textId="77777777" w:rsidR="007C6854" w:rsidRDefault="007C6854">
            <w:pPr>
              <w:widowControl w:val="0"/>
              <w:pBdr>
                <w:top w:val="nil"/>
                <w:left w:val="nil"/>
                <w:bottom w:val="nil"/>
                <w:right w:val="nil"/>
                <w:between w:val="nil"/>
              </w:pBdr>
              <w:spacing w:line="276" w:lineRule="auto"/>
              <w:rPr>
                <w:rFonts w:eastAsia="Arial" w:cs="Arial"/>
              </w:rPr>
            </w:pPr>
          </w:p>
        </w:tc>
        <w:tc>
          <w:tcPr>
            <w:tcW w:w="5217" w:type="dxa"/>
            <w:vMerge/>
            <w:tcBorders>
              <w:right w:val="single" w:sz="8" w:space="0" w:color="000000"/>
            </w:tcBorders>
            <w:vAlign w:val="center"/>
          </w:tcPr>
          <w:p w14:paraId="0200EA7A" w14:textId="77777777" w:rsidR="007C6854" w:rsidRDefault="007C6854">
            <w:pPr>
              <w:widowControl w:val="0"/>
              <w:pBdr>
                <w:top w:val="nil"/>
                <w:left w:val="nil"/>
                <w:bottom w:val="nil"/>
                <w:right w:val="nil"/>
                <w:between w:val="nil"/>
              </w:pBdr>
              <w:spacing w:line="276" w:lineRule="auto"/>
              <w:rPr>
                <w:rFonts w:eastAsia="Arial" w:cs="Arial"/>
              </w:rPr>
            </w:pPr>
          </w:p>
        </w:tc>
      </w:tr>
      <w:tr w:rsidR="007C6854" w14:paraId="0648A99B" w14:textId="77777777">
        <w:trPr>
          <w:trHeight w:val="317"/>
        </w:trPr>
        <w:tc>
          <w:tcPr>
            <w:tcW w:w="3017" w:type="dxa"/>
            <w:vMerge/>
            <w:tcBorders>
              <w:left w:val="single" w:sz="8" w:space="0" w:color="000000"/>
              <w:right w:val="single" w:sz="8" w:space="0" w:color="000000"/>
            </w:tcBorders>
            <w:vAlign w:val="center"/>
          </w:tcPr>
          <w:p w14:paraId="65F9F7D5" w14:textId="77777777" w:rsidR="007C6854" w:rsidRDefault="007C6854">
            <w:pPr>
              <w:widowControl w:val="0"/>
              <w:pBdr>
                <w:top w:val="nil"/>
                <w:left w:val="nil"/>
                <w:bottom w:val="nil"/>
                <w:right w:val="nil"/>
                <w:between w:val="nil"/>
              </w:pBdr>
              <w:spacing w:line="276" w:lineRule="auto"/>
              <w:rPr>
                <w:rFonts w:eastAsia="Arial" w:cs="Arial"/>
              </w:rPr>
            </w:pPr>
          </w:p>
        </w:tc>
        <w:tc>
          <w:tcPr>
            <w:tcW w:w="5217" w:type="dxa"/>
            <w:vMerge/>
            <w:tcBorders>
              <w:right w:val="single" w:sz="8" w:space="0" w:color="000000"/>
            </w:tcBorders>
            <w:vAlign w:val="center"/>
          </w:tcPr>
          <w:p w14:paraId="41A58769" w14:textId="77777777" w:rsidR="007C6854" w:rsidRDefault="007C6854">
            <w:pPr>
              <w:widowControl w:val="0"/>
              <w:pBdr>
                <w:top w:val="nil"/>
                <w:left w:val="nil"/>
                <w:bottom w:val="nil"/>
                <w:right w:val="nil"/>
                <w:between w:val="nil"/>
              </w:pBdr>
              <w:spacing w:line="276" w:lineRule="auto"/>
              <w:rPr>
                <w:rFonts w:eastAsia="Arial" w:cs="Arial"/>
              </w:rPr>
            </w:pPr>
          </w:p>
        </w:tc>
      </w:tr>
      <w:tr w:rsidR="007C6854" w14:paraId="2E5947D7" w14:textId="77777777">
        <w:trPr>
          <w:trHeight w:val="317"/>
        </w:trPr>
        <w:tc>
          <w:tcPr>
            <w:tcW w:w="3017" w:type="dxa"/>
            <w:vMerge/>
            <w:tcBorders>
              <w:left w:val="single" w:sz="8" w:space="0" w:color="000000"/>
              <w:right w:val="single" w:sz="8" w:space="0" w:color="000000"/>
            </w:tcBorders>
            <w:vAlign w:val="center"/>
          </w:tcPr>
          <w:p w14:paraId="2C9F4659" w14:textId="77777777" w:rsidR="007C6854" w:rsidRDefault="007C6854">
            <w:pPr>
              <w:widowControl w:val="0"/>
              <w:pBdr>
                <w:top w:val="nil"/>
                <w:left w:val="nil"/>
                <w:bottom w:val="nil"/>
                <w:right w:val="nil"/>
                <w:between w:val="nil"/>
              </w:pBdr>
              <w:spacing w:line="276" w:lineRule="auto"/>
              <w:rPr>
                <w:rFonts w:eastAsia="Arial" w:cs="Arial"/>
              </w:rPr>
            </w:pPr>
          </w:p>
        </w:tc>
        <w:tc>
          <w:tcPr>
            <w:tcW w:w="5217" w:type="dxa"/>
            <w:vMerge/>
            <w:tcBorders>
              <w:right w:val="single" w:sz="8" w:space="0" w:color="000000"/>
            </w:tcBorders>
            <w:vAlign w:val="center"/>
          </w:tcPr>
          <w:p w14:paraId="755A9028" w14:textId="77777777" w:rsidR="007C6854" w:rsidRDefault="007C6854">
            <w:pPr>
              <w:widowControl w:val="0"/>
              <w:pBdr>
                <w:top w:val="nil"/>
                <w:left w:val="nil"/>
                <w:bottom w:val="nil"/>
                <w:right w:val="nil"/>
                <w:between w:val="nil"/>
              </w:pBdr>
              <w:spacing w:line="276" w:lineRule="auto"/>
              <w:rPr>
                <w:rFonts w:eastAsia="Arial" w:cs="Arial"/>
              </w:rPr>
            </w:pPr>
          </w:p>
        </w:tc>
      </w:tr>
      <w:tr w:rsidR="007C6854" w14:paraId="2394FC27" w14:textId="77777777">
        <w:trPr>
          <w:trHeight w:val="339"/>
        </w:trPr>
        <w:tc>
          <w:tcPr>
            <w:tcW w:w="3017" w:type="dxa"/>
            <w:vMerge w:val="restart"/>
            <w:tcBorders>
              <w:left w:val="single" w:sz="8" w:space="0" w:color="000000"/>
              <w:right w:val="single" w:sz="8" w:space="0" w:color="000000"/>
            </w:tcBorders>
            <w:vAlign w:val="center"/>
          </w:tcPr>
          <w:p w14:paraId="3225DFF1" w14:textId="77777777" w:rsidR="007C6854" w:rsidRDefault="00E0219E">
            <w:pPr>
              <w:ind w:left="80"/>
              <w:rPr>
                <w:rFonts w:eastAsia="Arial" w:cs="Arial"/>
              </w:rPr>
            </w:pPr>
            <w:r>
              <w:rPr>
                <w:rFonts w:eastAsia="Arial" w:cs="Arial"/>
              </w:rPr>
              <w:t>2007 – 2009</w:t>
            </w:r>
          </w:p>
        </w:tc>
        <w:tc>
          <w:tcPr>
            <w:tcW w:w="5217" w:type="dxa"/>
            <w:vMerge w:val="restart"/>
            <w:tcBorders>
              <w:left w:val="single" w:sz="8" w:space="0" w:color="000000"/>
              <w:right w:val="single" w:sz="8" w:space="0" w:color="000000"/>
            </w:tcBorders>
            <w:vAlign w:val="center"/>
          </w:tcPr>
          <w:p w14:paraId="720CFC69" w14:textId="77777777" w:rsidR="007C6854" w:rsidRDefault="00E0219E">
            <w:pPr>
              <w:ind w:left="220"/>
              <w:rPr>
                <w:rFonts w:eastAsia="Arial" w:cs="Arial"/>
              </w:rPr>
            </w:pPr>
            <w:r>
              <w:rPr>
                <w:rFonts w:eastAsia="Arial" w:cs="Arial"/>
              </w:rPr>
              <w:t>Public Health Specialist on Applied Epidemiology</w:t>
            </w:r>
          </w:p>
          <w:p w14:paraId="773C3C81" w14:textId="77777777" w:rsidR="007C6854" w:rsidRDefault="00E0219E">
            <w:pPr>
              <w:ind w:left="220"/>
              <w:rPr>
                <w:rFonts w:eastAsia="Arial" w:cs="Arial"/>
              </w:rPr>
            </w:pPr>
            <w:r>
              <w:rPr>
                <w:rFonts w:eastAsia="Arial" w:cs="Arial"/>
              </w:rPr>
              <w:t>Department of Health – National Epidemiology</w:t>
            </w:r>
          </w:p>
          <w:p w14:paraId="5CEA2483" w14:textId="77777777" w:rsidR="007C6854" w:rsidRDefault="00E0219E">
            <w:pPr>
              <w:ind w:left="220"/>
              <w:rPr>
                <w:rFonts w:eastAsia="Arial" w:cs="Arial"/>
              </w:rPr>
            </w:pPr>
            <w:r>
              <w:rPr>
                <w:rFonts w:eastAsia="Arial" w:cs="Arial"/>
              </w:rPr>
              <w:t>Center</w:t>
            </w:r>
          </w:p>
          <w:p w14:paraId="1D8794FA" w14:textId="77777777" w:rsidR="007C6854" w:rsidRDefault="00E0219E">
            <w:pPr>
              <w:ind w:left="220"/>
              <w:rPr>
                <w:rFonts w:eastAsia="Arial" w:cs="Arial"/>
              </w:rPr>
            </w:pPr>
            <w:r>
              <w:rPr>
                <w:rFonts w:eastAsia="Arial" w:cs="Arial"/>
              </w:rPr>
              <w:t>Field Epidemiology Training Program</w:t>
            </w:r>
          </w:p>
          <w:p w14:paraId="756AF70F" w14:textId="77777777" w:rsidR="007C6854" w:rsidRDefault="00E0219E">
            <w:pPr>
              <w:ind w:left="220"/>
              <w:rPr>
                <w:rFonts w:eastAsia="Arial" w:cs="Arial"/>
              </w:rPr>
            </w:pPr>
            <w:proofErr w:type="spellStart"/>
            <w:r>
              <w:rPr>
                <w:rFonts w:eastAsia="Arial" w:cs="Arial"/>
              </w:rPr>
              <w:t>Tayuman</w:t>
            </w:r>
            <w:proofErr w:type="spellEnd"/>
            <w:r>
              <w:rPr>
                <w:rFonts w:eastAsia="Arial" w:cs="Arial"/>
              </w:rPr>
              <w:t>, Sta. Cruz, Manila. Philippines</w:t>
            </w:r>
          </w:p>
        </w:tc>
      </w:tr>
      <w:tr w:rsidR="007C6854" w14:paraId="07CA46D0" w14:textId="77777777">
        <w:trPr>
          <w:trHeight w:val="317"/>
        </w:trPr>
        <w:tc>
          <w:tcPr>
            <w:tcW w:w="3017" w:type="dxa"/>
            <w:vMerge/>
            <w:tcBorders>
              <w:left w:val="single" w:sz="8" w:space="0" w:color="000000"/>
              <w:right w:val="single" w:sz="8" w:space="0" w:color="000000"/>
            </w:tcBorders>
            <w:vAlign w:val="center"/>
          </w:tcPr>
          <w:p w14:paraId="259A27D5" w14:textId="77777777" w:rsidR="007C6854" w:rsidRDefault="007C6854">
            <w:pPr>
              <w:widowControl w:val="0"/>
              <w:pBdr>
                <w:top w:val="nil"/>
                <w:left w:val="nil"/>
                <w:bottom w:val="nil"/>
                <w:right w:val="nil"/>
                <w:between w:val="nil"/>
              </w:pBdr>
              <w:spacing w:line="276" w:lineRule="auto"/>
              <w:rPr>
                <w:rFonts w:eastAsia="Arial" w:cs="Arial"/>
              </w:rPr>
            </w:pPr>
          </w:p>
        </w:tc>
        <w:tc>
          <w:tcPr>
            <w:tcW w:w="5217" w:type="dxa"/>
            <w:vMerge/>
            <w:tcBorders>
              <w:left w:val="single" w:sz="8" w:space="0" w:color="000000"/>
              <w:right w:val="single" w:sz="8" w:space="0" w:color="000000"/>
            </w:tcBorders>
            <w:vAlign w:val="center"/>
          </w:tcPr>
          <w:p w14:paraId="25F6CAAE" w14:textId="77777777" w:rsidR="007C6854" w:rsidRDefault="007C6854">
            <w:pPr>
              <w:widowControl w:val="0"/>
              <w:pBdr>
                <w:top w:val="nil"/>
                <w:left w:val="nil"/>
                <w:bottom w:val="nil"/>
                <w:right w:val="nil"/>
                <w:between w:val="nil"/>
              </w:pBdr>
              <w:spacing w:line="276" w:lineRule="auto"/>
              <w:rPr>
                <w:rFonts w:eastAsia="Arial" w:cs="Arial"/>
              </w:rPr>
            </w:pPr>
          </w:p>
        </w:tc>
      </w:tr>
      <w:tr w:rsidR="007C6854" w14:paraId="63CF789F" w14:textId="77777777">
        <w:trPr>
          <w:trHeight w:val="317"/>
        </w:trPr>
        <w:tc>
          <w:tcPr>
            <w:tcW w:w="3017" w:type="dxa"/>
            <w:vMerge/>
            <w:tcBorders>
              <w:left w:val="single" w:sz="8" w:space="0" w:color="000000"/>
              <w:right w:val="single" w:sz="8" w:space="0" w:color="000000"/>
            </w:tcBorders>
            <w:vAlign w:val="center"/>
          </w:tcPr>
          <w:p w14:paraId="760B459E" w14:textId="77777777" w:rsidR="007C6854" w:rsidRDefault="007C6854">
            <w:pPr>
              <w:widowControl w:val="0"/>
              <w:pBdr>
                <w:top w:val="nil"/>
                <w:left w:val="nil"/>
                <w:bottom w:val="nil"/>
                <w:right w:val="nil"/>
                <w:between w:val="nil"/>
              </w:pBdr>
              <w:spacing w:line="276" w:lineRule="auto"/>
              <w:rPr>
                <w:rFonts w:eastAsia="Arial" w:cs="Arial"/>
              </w:rPr>
            </w:pPr>
          </w:p>
        </w:tc>
        <w:tc>
          <w:tcPr>
            <w:tcW w:w="5217" w:type="dxa"/>
            <w:vMerge/>
            <w:tcBorders>
              <w:left w:val="single" w:sz="8" w:space="0" w:color="000000"/>
              <w:right w:val="single" w:sz="8" w:space="0" w:color="000000"/>
            </w:tcBorders>
            <w:vAlign w:val="center"/>
          </w:tcPr>
          <w:p w14:paraId="297AB71C" w14:textId="77777777" w:rsidR="007C6854" w:rsidRDefault="007C6854">
            <w:pPr>
              <w:widowControl w:val="0"/>
              <w:pBdr>
                <w:top w:val="nil"/>
                <w:left w:val="nil"/>
                <w:bottom w:val="nil"/>
                <w:right w:val="nil"/>
                <w:between w:val="nil"/>
              </w:pBdr>
              <w:spacing w:line="276" w:lineRule="auto"/>
              <w:rPr>
                <w:rFonts w:eastAsia="Arial" w:cs="Arial"/>
              </w:rPr>
            </w:pPr>
          </w:p>
        </w:tc>
      </w:tr>
      <w:tr w:rsidR="007C6854" w14:paraId="5CF20FBA" w14:textId="77777777">
        <w:trPr>
          <w:trHeight w:val="317"/>
        </w:trPr>
        <w:tc>
          <w:tcPr>
            <w:tcW w:w="3017" w:type="dxa"/>
            <w:vMerge/>
            <w:tcBorders>
              <w:left w:val="single" w:sz="8" w:space="0" w:color="000000"/>
              <w:right w:val="single" w:sz="8" w:space="0" w:color="000000"/>
            </w:tcBorders>
            <w:vAlign w:val="center"/>
          </w:tcPr>
          <w:p w14:paraId="29536898" w14:textId="77777777" w:rsidR="007C6854" w:rsidRDefault="007C6854">
            <w:pPr>
              <w:widowControl w:val="0"/>
              <w:pBdr>
                <w:top w:val="nil"/>
                <w:left w:val="nil"/>
                <w:bottom w:val="nil"/>
                <w:right w:val="nil"/>
                <w:between w:val="nil"/>
              </w:pBdr>
              <w:spacing w:line="276" w:lineRule="auto"/>
              <w:rPr>
                <w:rFonts w:eastAsia="Arial" w:cs="Arial"/>
              </w:rPr>
            </w:pPr>
          </w:p>
        </w:tc>
        <w:tc>
          <w:tcPr>
            <w:tcW w:w="5217" w:type="dxa"/>
            <w:vMerge/>
            <w:tcBorders>
              <w:left w:val="single" w:sz="8" w:space="0" w:color="000000"/>
              <w:right w:val="single" w:sz="8" w:space="0" w:color="000000"/>
            </w:tcBorders>
            <w:vAlign w:val="center"/>
          </w:tcPr>
          <w:p w14:paraId="7FE05A38" w14:textId="77777777" w:rsidR="007C6854" w:rsidRDefault="007C6854">
            <w:pPr>
              <w:widowControl w:val="0"/>
              <w:pBdr>
                <w:top w:val="nil"/>
                <w:left w:val="nil"/>
                <w:bottom w:val="nil"/>
                <w:right w:val="nil"/>
                <w:between w:val="nil"/>
              </w:pBdr>
              <w:spacing w:line="276" w:lineRule="auto"/>
              <w:rPr>
                <w:rFonts w:eastAsia="Arial" w:cs="Arial"/>
              </w:rPr>
            </w:pPr>
          </w:p>
        </w:tc>
      </w:tr>
      <w:tr w:rsidR="007C6854" w14:paraId="41C889E2" w14:textId="77777777">
        <w:trPr>
          <w:trHeight w:val="317"/>
        </w:trPr>
        <w:tc>
          <w:tcPr>
            <w:tcW w:w="3017" w:type="dxa"/>
            <w:vMerge/>
            <w:tcBorders>
              <w:left w:val="single" w:sz="8" w:space="0" w:color="000000"/>
              <w:right w:val="single" w:sz="8" w:space="0" w:color="000000"/>
            </w:tcBorders>
            <w:vAlign w:val="center"/>
          </w:tcPr>
          <w:p w14:paraId="4D52364D" w14:textId="77777777" w:rsidR="007C6854" w:rsidRDefault="007C6854">
            <w:pPr>
              <w:widowControl w:val="0"/>
              <w:pBdr>
                <w:top w:val="nil"/>
                <w:left w:val="nil"/>
                <w:bottom w:val="nil"/>
                <w:right w:val="nil"/>
                <w:between w:val="nil"/>
              </w:pBdr>
              <w:spacing w:line="276" w:lineRule="auto"/>
              <w:rPr>
                <w:rFonts w:eastAsia="Arial" w:cs="Arial"/>
              </w:rPr>
            </w:pPr>
          </w:p>
        </w:tc>
        <w:tc>
          <w:tcPr>
            <w:tcW w:w="5217" w:type="dxa"/>
            <w:vMerge/>
            <w:tcBorders>
              <w:left w:val="single" w:sz="8" w:space="0" w:color="000000"/>
              <w:right w:val="single" w:sz="8" w:space="0" w:color="000000"/>
            </w:tcBorders>
            <w:vAlign w:val="center"/>
          </w:tcPr>
          <w:p w14:paraId="65F9F8BE" w14:textId="77777777" w:rsidR="007C6854" w:rsidRDefault="007C6854">
            <w:pPr>
              <w:widowControl w:val="0"/>
              <w:pBdr>
                <w:top w:val="nil"/>
                <w:left w:val="nil"/>
                <w:bottom w:val="nil"/>
                <w:right w:val="nil"/>
                <w:between w:val="nil"/>
              </w:pBdr>
              <w:spacing w:line="276" w:lineRule="auto"/>
              <w:rPr>
                <w:rFonts w:eastAsia="Arial" w:cs="Arial"/>
              </w:rPr>
            </w:pPr>
          </w:p>
        </w:tc>
      </w:tr>
      <w:tr w:rsidR="007C6854" w14:paraId="7824ADDC" w14:textId="77777777">
        <w:trPr>
          <w:trHeight w:val="317"/>
        </w:trPr>
        <w:tc>
          <w:tcPr>
            <w:tcW w:w="3017" w:type="dxa"/>
            <w:vMerge/>
            <w:tcBorders>
              <w:left w:val="single" w:sz="8" w:space="0" w:color="000000"/>
              <w:right w:val="single" w:sz="8" w:space="0" w:color="000000"/>
            </w:tcBorders>
            <w:vAlign w:val="center"/>
          </w:tcPr>
          <w:p w14:paraId="455E7C6B" w14:textId="77777777" w:rsidR="007C6854" w:rsidRDefault="007C6854">
            <w:pPr>
              <w:widowControl w:val="0"/>
              <w:pBdr>
                <w:top w:val="nil"/>
                <w:left w:val="nil"/>
                <w:bottom w:val="nil"/>
                <w:right w:val="nil"/>
                <w:between w:val="nil"/>
              </w:pBdr>
              <w:spacing w:line="276" w:lineRule="auto"/>
              <w:rPr>
                <w:rFonts w:eastAsia="Arial" w:cs="Arial"/>
              </w:rPr>
            </w:pPr>
          </w:p>
        </w:tc>
        <w:tc>
          <w:tcPr>
            <w:tcW w:w="5217" w:type="dxa"/>
            <w:vMerge/>
            <w:tcBorders>
              <w:left w:val="single" w:sz="8" w:space="0" w:color="000000"/>
              <w:right w:val="single" w:sz="8" w:space="0" w:color="000000"/>
            </w:tcBorders>
            <w:vAlign w:val="center"/>
          </w:tcPr>
          <w:p w14:paraId="54D7DC21" w14:textId="77777777" w:rsidR="007C6854" w:rsidRDefault="007C6854">
            <w:pPr>
              <w:widowControl w:val="0"/>
              <w:pBdr>
                <w:top w:val="nil"/>
                <w:left w:val="nil"/>
                <w:bottom w:val="nil"/>
                <w:right w:val="nil"/>
                <w:between w:val="nil"/>
              </w:pBdr>
              <w:spacing w:line="276" w:lineRule="auto"/>
              <w:rPr>
                <w:rFonts w:eastAsia="Arial" w:cs="Arial"/>
              </w:rPr>
            </w:pPr>
          </w:p>
        </w:tc>
      </w:tr>
      <w:tr w:rsidR="007C6854" w14:paraId="1B9BA7A5" w14:textId="77777777">
        <w:trPr>
          <w:trHeight w:val="317"/>
        </w:trPr>
        <w:tc>
          <w:tcPr>
            <w:tcW w:w="3017" w:type="dxa"/>
            <w:vMerge/>
            <w:tcBorders>
              <w:left w:val="single" w:sz="8" w:space="0" w:color="000000"/>
              <w:right w:val="single" w:sz="8" w:space="0" w:color="000000"/>
            </w:tcBorders>
            <w:vAlign w:val="center"/>
          </w:tcPr>
          <w:p w14:paraId="322EC2E4" w14:textId="77777777" w:rsidR="007C6854" w:rsidRDefault="007C6854">
            <w:pPr>
              <w:widowControl w:val="0"/>
              <w:pBdr>
                <w:top w:val="nil"/>
                <w:left w:val="nil"/>
                <w:bottom w:val="nil"/>
                <w:right w:val="nil"/>
                <w:between w:val="nil"/>
              </w:pBdr>
              <w:spacing w:line="276" w:lineRule="auto"/>
              <w:rPr>
                <w:rFonts w:eastAsia="Arial" w:cs="Arial"/>
              </w:rPr>
            </w:pPr>
          </w:p>
        </w:tc>
        <w:tc>
          <w:tcPr>
            <w:tcW w:w="5217" w:type="dxa"/>
            <w:vMerge/>
            <w:tcBorders>
              <w:left w:val="single" w:sz="8" w:space="0" w:color="000000"/>
              <w:right w:val="single" w:sz="8" w:space="0" w:color="000000"/>
            </w:tcBorders>
            <w:vAlign w:val="center"/>
          </w:tcPr>
          <w:p w14:paraId="46F762F2" w14:textId="77777777" w:rsidR="007C6854" w:rsidRDefault="007C6854">
            <w:pPr>
              <w:widowControl w:val="0"/>
              <w:pBdr>
                <w:top w:val="nil"/>
                <w:left w:val="nil"/>
                <w:bottom w:val="nil"/>
                <w:right w:val="nil"/>
                <w:between w:val="nil"/>
              </w:pBdr>
              <w:spacing w:line="276" w:lineRule="auto"/>
              <w:rPr>
                <w:rFonts w:eastAsia="Arial" w:cs="Arial"/>
              </w:rPr>
            </w:pPr>
          </w:p>
        </w:tc>
      </w:tr>
      <w:tr w:rsidR="007C6854" w14:paraId="42C23EC6" w14:textId="77777777">
        <w:trPr>
          <w:trHeight w:val="317"/>
        </w:trPr>
        <w:tc>
          <w:tcPr>
            <w:tcW w:w="3017" w:type="dxa"/>
            <w:vMerge/>
            <w:tcBorders>
              <w:left w:val="single" w:sz="8" w:space="0" w:color="000000"/>
              <w:right w:val="single" w:sz="8" w:space="0" w:color="000000"/>
            </w:tcBorders>
            <w:vAlign w:val="center"/>
          </w:tcPr>
          <w:p w14:paraId="3D7B3497" w14:textId="77777777" w:rsidR="007C6854" w:rsidRDefault="007C6854">
            <w:pPr>
              <w:widowControl w:val="0"/>
              <w:pBdr>
                <w:top w:val="nil"/>
                <w:left w:val="nil"/>
                <w:bottom w:val="nil"/>
                <w:right w:val="nil"/>
                <w:between w:val="nil"/>
              </w:pBdr>
              <w:spacing w:line="276" w:lineRule="auto"/>
              <w:rPr>
                <w:rFonts w:eastAsia="Arial" w:cs="Arial"/>
              </w:rPr>
            </w:pPr>
          </w:p>
        </w:tc>
        <w:tc>
          <w:tcPr>
            <w:tcW w:w="5217" w:type="dxa"/>
            <w:vMerge/>
            <w:tcBorders>
              <w:left w:val="single" w:sz="8" w:space="0" w:color="000000"/>
              <w:right w:val="single" w:sz="8" w:space="0" w:color="000000"/>
            </w:tcBorders>
            <w:vAlign w:val="center"/>
          </w:tcPr>
          <w:p w14:paraId="3A9D61EB" w14:textId="77777777" w:rsidR="007C6854" w:rsidRDefault="007C6854">
            <w:pPr>
              <w:widowControl w:val="0"/>
              <w:pBdr>
                <w:top w:val="nil"/>
                <w:left w:val="nil"/>
                <w:bottom w:val="nil"/>
                <w:right w:val="nil"/>
                <w:between w:val="nil"/>
              </w:pBdr>
              <w:spacing w:line="276" w:lineRule="auto"/>
              <w:rPr>
                <w:rFonts w:eastAsia="Arial" w:cs="Arial"/>
              </w:rPr>
            </w:pPr>
          </w:p>
        </w:tc>
      </w:tr>
      <w:tr w:rsidR="007C6854" w14:paraId="6AC094C5" w14:textId="77777777">
        <w:trPr>
          <w:trHeight w:val="339"/>
        </w:trPr>
        <w:tc>
          <w:tcPr>
            <w:tcW w:w="3017" w:type="dxa"/>
            <w:vMerge w:val="restart"/>
            <w:tcBorders>
              <w:left w:val="single" w:sz="8" w:space="0" w:color="000000"/>
              <w:right w:val="single" w:sz="8" w:space="0" w:color="000000"/>
            </w:tcBorders>
            <w:vAlign w:val="center"/>
          </w:tcPr>
          <w:p w14:paraId="30EF19EE" w14:textId="77777777" w:rsidR="007C6854" w:rsidRDefault="00E0219E">
            <w:pPr>
              <w:ind w:left="80"/>
              <w:rPr>
                <w:rFonts w:eastAsia="Arial" w:cs="Arial"/>
              </w:rPr>
            </w:pPr>
            <w:r>
              <w:rPr>
                <w:rFonts w:eastAsia="Arial" w:cs="Arial"/>
              </w:rPr>
              <w:t>1990 – 1994</w:t>
            </w:r>
          </w:p>
        </w:tc>
        <w:tc>
          <w:tcPr>
            <w:tcW w:w="5217" w:type="dxa"/>
            <w:vMerge w:val="restart"/>
            <w:tcBorders>
              <w:left w:val="single" w:sz="8" w:space="0" w:color="000000"/>
              <w:right w:val="single" w:sz="8" w:space="0" w:color="000000"/>
            </w:tcBorders>
            <w:vAlign w:val="center"/>
          </w:tcPr>
          <w:p w14:paraId="5FC29DCB" w14:textId="77777777" w:rsidR="007C6854" w:rsidRDefault="00E0219E">
            <w:pPr>
              <w:ind w:left="220"/>
              <w:rPr>
                <w:rFonts w:eastAsia="Arial" w:cs="Arial"/>
              </w:rPr>
            </w:pPr>
            <w:r>
              <w:rPr>
                <w:rFonts w:eastAsia="Arial" w:cs="Arial"/>
              </w:rPr>
              <w:t>Bachelor of Science in Nursing</w:t>
            </w:r>
          </w:p>
          <w:p w14:paraId="482C68E3" w14:textId="77777777" w:rsidR="007C6854" w:rsidRDefault="00E0219E">
            <w:pPr>
              <w:ind w:left="220"/>
              <w:rPr>
                <w:rFonts w:eastAsia="Arial" w:cs="Arial"/>
              </w:rPr>
            </w:pPr>
            <w:r>
              <w:rPr>
                <w:rFonts w:eastAsia="Arial" w:cs="Arial"/>
              </w:rPr>
              <w:t xml:space="preserve">Olivarez College – </w:t>
            </w:r>
            <w:proofErr w:type="spellStart"/>
            <w:r>
              <w:rPr>
                <w:rFonts w:eastAsia="Arial" w:cs="Arial"/>
              </w:rPr>
              <w:t>Parañaque</w:t>
            </w:r>
            <w:proofErr w:type="spellEnd"/>
            <w:r>
              <w:rPr>
                <w:rFonts w:eastAsia="Arial" w:cs="Arial"/>
              </w:rPr>
              <w:t xml:space="preserve"> City</w:t>
            </w:r>
          </w:p>
        </w:tc>
      </w:tr>
      <w:tr w:rsidR="007C6854" w14:paraId="24661BC1" w14:textId="77777777">
        <w:trPr>
          <w:trHeight w:val="317"/>
        </w:trPr>
        <w:tc>
          <w:tcPr>
            <w:tcW w:w="3017" w:type="dxa"/>
            <w:vMerge/>
            <w:tcBorders>
              <w:left w:val="single" w:sz="8" w:space="0" w:color="000000"/>
              <w:right w:val="single" w:sz="8" w:space="0" w:color="000000"/>
            </w:tcBorders>
            <w:vAlign w:val="center"/>
          </w:tcPr>
          <w:p w14:paraId="79182E44" w14:textId="77777777" w:rsidR="007C6854" w:rsidRDefault="007C6854">
            <w:pPr>
              <w:widowControl w:val="0"/>
              <w:pBdr>
                <w:top w:val="nil"/>
                <w:left w:val="nil"/>
                <w:bottom w:val="nil"/>
                <w:right w:val="nil"/>
                <w:between w:val="nil"/>
              </w:pBdr>
              <w:spacing w:line="276" w:lineRule="auto"/>
              <w:rPr>
                <w:rFonts w:eastAsia="Arial" w:cs="Arial"/>
              </w:rPr>
            </w:pPr>
          </w:p>
        </w:tc>
        <w:tc>
          <w:tcPr>
            <w:tcW w:w="5217" w:type="dxa"/>
            <w:vMerge/>
            <w:tcBorders>
              <w:left w:val="single" w:sz="8" w:space="0" w:color="000000"/>
              <w:right w:val="single" w:sz="8" w:space="0" w:color="000000"/>
            </w:tcBorders>
            <w:vAlign w:val="center"/>
          </w:tcPr>
          <w:p w14:paraId="2FB3EBB4" w14:textId="77777777" w:rsidR="007C6854" w:rsidRDefault="007C6854">
            <w:pPr>
              <w:widowControl w:val="0"/>
              <w:pBdr>
                <w:top w:val="nil"/>
                <w:left w:val="nil"/>
                <w:bottom w:val="nil"/>
                <w:right w:val="nil"/>
                <w:between w:val="nil"/>
              </w:pBdr>
              <w:spacing w:line="276" w:lineRule="auto"/>
              <w:rPr>
                <w:rFonts w:eastAsia="Arial" w:cs="Arial"/>
              </w:rPr>
            </w:pPr>
          </w:p>
        </w:tc>
      </w:tr>
      <w:tr w:rsidR="007C6854" w14:paraId="309D5200" w14:textId="77777777">
        <w:trPr>
          <w:trHeight w:val="317"/>
        </w:trPr>
        <w:tc>
          <w:tcPr>
            <w:tcW w:w="3017" w:type="dxa"/>
            <w:vMerge/>
            <w:tcBorders>
              <w:left w:val="single" w:sz="8" w:space="0" w:color="000000"/>
              <w:right w:val="single" w:sz="8" w:space="0" w:color="000000"/>
            </w:tcBorders>
            <w:vAlign w:val="center"/>
          </w:tcPr>
          <w:p w14:paraId="7C4379E6" w14:textId="77777777" w:rsidR="007C6854" w:rsidRDefault="007C6854">
            <w:pPr>
              <w:widowControl w:val="0"/>
              <w:pBdr>
                <w:top w:val="nil"/>
                <w:left w:val="nil"/>
                <w:bottom w:val="nil"/>
                <w:right w:val="nil"/>
                <w:between w:val="nil"/>
              </w:pBdr>
              <w:spacing w:line="276" w:lineRule="auto"/>
              <w:rPr>
                <w:rFonts w:eastAsia="Arial" w:cs="Arial"/>
              </w:rPr>
            </w:pPr>
          </w:p>
        </w:tc>
        <w:tc>
          <w:tcPr>
            <w:tcW w:w="5217" w:type="dxa"/>
            <w:vMerge/>
            <w:tcBorders>
              <w:left w:val="single" w:sz="8" w:space="0" w:color="000000"/>
              <w:right w:val="single" w:sz="8" w:space="0" w:color="000000"/>
            </w:tcBorders>
            <w:vAlign w:val="center"/>
          </w:tcPr>
          <w:p w14:paraId="43A87500" w14:textId="77777777" w:rsidR="007C6854" w:rsidRDefault="007C6854">
            <w:pPr>
              <w:widowControl w:val="0"/>
              <w:pBdr>
                <w:top w:val="nil"/>
                <w:left w:val="nil"/>
                <w:bottom w:val="nil"/>
                <w:right w:val="nil"/>
                <w:between w:val="nil"/>
              </w:pBdr>
              <w:spacing w:line="276" w:lineRule="auto"/>
              <w:rPr>
                <w:rFonts w:eastAsia="Arial" w:cs="Arial"/>
              </w:rPr>
            </w:pPr>
          </w:p>
        </w:tc>
      </w:tr>
      <w:tr w:rsidR="007C6854" w14:paraId="264001E0" w14:textId="77777777">
        <w:trPr>
          <w:trHeight w:val="317"/>
        </w:trPr>
        <w:tc>
          <w:tcPr>
            <w:tcW w:w="3017" w:type="dxa"/>
            <w:vMerge/>
            <w:tcBorders>
              <w:left w:val="single" w:sz="8" w:space="0" w:color="000000"/>
              <w:right w:val="single" w:sz="8" w:space="0" w:color="000000"/>
            </w:tcBorders>
            <w:vAlign w:val="center"/>
          </w:tcPr>
          <w:p w14:paraId="1E5F8B0A" w14:textId="77777777" w:rsidR="007C6854" w:rsidRDefault="007C6854">
            <w:pPr>
              <w:widowControl w:val="0"/>
              <w:pBdr>
                <w:top w:val="nil"/>
                <w:left w:val="nil"/>
                <w:bottom w:val="nil"/>
                <w:right w:val="nil"/>
                <w:between w:val="nil"/>
              </w:pBdr>
              <w:spacing w:line="276" w:lineRule="auto"/>
              <w:rPr>
                <w:rFonts w:eastAsia="Arial" w:cs="Arial"/>
              </w:rPr>
            </w:pPr>
          </w:p>
        </w:tc>
        <w:tc>
          <w:tcPr>
            <w:tcW w:w="5217" w:type="dxa"/>
            <w:vMerge/>
            <w:tcBorders>
              <w:left w:val="single" w:sz="8" w:space="0" w:color="000000"/>
              <w:right w:val="single" w:sz="8" w:space="0" w:color="000000"/>
            </w:tcBorders>
            <w:vAlign w:val="center"/>
          </w:tcPr>
          <w:p w14:paraId="5265CB95" w14:textId="77777777" w:rsidR="007C6854" w:rsidRDefault="007C6854">
            <w:pPr>
              <w:widowControl w:val="0"/>
              <w:pBdr>
                <w:top w:val="nil"/>
                <w:left w:val="nil"/>
                <w:bottom w:val="nil"/>
                <w:right w:val="nil"/>
                <w:between w:val="nil"/>
              </w:pBdr>
              <w:spacing w:line="276" w:lineRule="auto"/>
              <w:rPr>
                <w:rFonts w:eastAsia="Arial" w:cs="Arial"/>
              </w:rPr>
            </w:pPr>
          </w:p>
        </w:tc>
      </w:tr>
      <w:tr w:rsidR="007C6854" w14:paraId="27275095" w14:textId="77777777">
        <w:trPr>
          <w:trHeight w:val="341"/>
        </w:trPr>
        <w:tc>
          <w:tcPr>
            <w:tcW w:w="3017" w:type="dxa"/>
            <w:vMerge w:val="restart"/>
            <w:tcBorders>
              <w:left w:val="single" w:sz="8" w:space="0" w:color="000000"/>
              <w:right w:val="single" w:sz="8" w:space="0" w:color="000000"/>
            </w:tcBorders>
            <w:vAlign w:val="center"/>
          </w:tcPr>
          <w:p w14:paraId="0094B3B0" w14:textId="77777777" w:rsidR="007C6854" w:rsidRDefault="00E0219E">
            <w:pPr>
              <w:ind w:left="80"/>
              <w:rPr>
                <w:rFonts w:eastAsia="Arial" w:cs="Arial"/>
              </w:rPr>
            </w:pPr>
            <w:r>
              <w:rPr>
                <w:rFonts w:eastAsia="Arial" w:cs="Arial"/>
              </w:rPr>
              <w:t>1986 – 1990</w:t>
            </w:r>
          </w:p>
        </w:tc>
        <w:tc>
          <w:tcPr>
            <w:tcW w:w="5217" w:type="dxa"/>
            <w:vMerge w:val="restart"/>
            <w:tcBorders>
              <w:left w:val="single" w:sz="8" w:space="0" w:color="000000"/>
              <w:right w:val="single" w:sz="8" w:space="0" w:color="000000"/>
            </w:tcBorders>
            <w:vAlign w:val="center"/>
          </w:tcPr>
          <w:p w14:paraId="63BE1B16" w14:textId="77777777" w:rsidR="007C6854" w:rsidRDefault="00E0219E">
            <w:pPr>
              <w:ind w:left="220"/>
              <w:rPr>
                <w:rFonts w:eastAsia="Arial" w:cs="Arial"/>
              </w:rPr>
            </w:pPr>
            <w:r>
              <w:rPr>
                <w:rFonts w:eastAsia="Arial" w:cs="Arial"/>
              </w:rPr>
              <w:t>Secondary Education</w:t>
            </w:r>
          </w:p>
          <w:p w14:paraId="0F220505" w14:textId="77777777" w:rsidR="007C6854" w:rsidRDefault="00E0219E">
            <w:pPr>
              <w:ind w:left="220"/>
              <w:rPr>
                <w:rFonts w:eastAsia="Arial" w:cs="Arial"/>
              </w:rPr>
            </w:pPr>
            <w:r>
              <w:rPr>
                <w:rFonts w:eastAsia="Arial" w:cs="Arial"/>
              </w:rPr>
              <w:t>Pasig Catholic College – Pasig City</w:t>
            </w:r>
          </w:p>
        </w:tc>
      </w:tr>
      <w:tr w:rsidR="007C6854" w14:paraId="32008A52" w14:textId="77777777">
        <w:trPr>
          <w:trHeight w:val="317"/>
        </w:trPr>
        <w:tc>
          <w:tcPr>
            <w:tcW w:w="3017" w:type="dxa"/>
            <w:vMerge/>
            <w:tcBorders>
              <w:left w:val="single" w:sz="8" w:space="0" w:color="000000"/>
              <w:right w:val="single" w:sz="8" w:space="0" w:color="000000"/>
            </w:tcBorders>
            <w:vAlign w:val="center"/>
          </w:tcPr>
          <w:p w14:paraId="2A4B2DB6" w14:textId="77777777" w:rsidR="007C6854" w:rsidRDefault="007C6854">
            <w:pPr>
              <w:widowControl w:val="0"/>
              <w:pBdr>
                <w:top w:val="nil"/>
                <w:left w:val="nil"/>
                <w:bottom w:val="nil"/>
                <w:right w:val="nil"/>
                <w:between w:val="nil"/>
              </w:pBdr>
              <w:spacing w:line="276" w:lineRule="auto"/>
              <w:rPr>
                <w:rFonts w:eastAsia="Arial" w:cs="Arial"/>
              </w:rPr>
            </w:pPr>
          </w:p>
        </w:tc>
        <w:tc>
          <w:tcPr>
            <w:tcW w:w="5217" w:type="dxa"/>
            <w:vMerge/>
            <w:tcBorders>
              <w:left w:val="single" w:sz="8" w:space="0" w:color="000000"/>
              <w:right w:val="single" w:sz="8" w:space="0" w:color="000000"/>
            </w:tcBorders>
            <w:vAlign w:val="center"/>
          </w:tcPr>
          <w:p w14:paraId="212560D5" w14:textId="77777777" w:rsidR="007C6854" w:rsidRDefault="007C6854">
            <w:pPr>
              <w:widowControl w:val="0"/>
              <w:pBdr>
                <w:top w:val="nil"/>
                <w:left w:val="nil"/>
                <w:bottom w:val="nil"/>
                <w:right w:val="nil"/>
                <w:between w:val="nil"/>
              </w:pBdr>
              <w:spacing w:line="276" w:lineRule="auto"/>
              <w:rPr>
                <w:rFonts w:eastAsia="Arial" w:cs="Arial"/>
              </w:rPr>
            </w:pPr>
          </w:p>
        </w:tc>
      </w:tr>
      <w:tr w:rsidR="007C6854" w14:paraId="7E67BCE6" w14:textId="77777777">
        <w:trPr>
          <w:trHeight w:val="317"/>
        </w:trPr>
        <w:tc>
          <w:tcPr>
            <w:tcW w:w="3017" w:type="dxa"/>
            <w:vMerge/>
            <w:tcBorders>
              <w:left w:val="single" w:sz="8" w:space="0" w:color="000000"/>
              <w:right w:val="single" w:sz="8" w:space="0" w:color="000000"/>
            </w:tcBorders>
            <w:vAlign w:val="center"/>
          </w:tcPr>
          <w:p w14:paraId="59C73571" w14:textId="77777777" w:rsidR="007C6854" w:rsidRDefault="007C6854">
            <w:pPr>
              <w:widowControl w:val="0"/>
              <w:pBdr>
                <w:top w:val="nil"/>
                <w:left w:val="nil"/>
                <w:bottom w:val="nil"/>
                <w:right w:val="nil"/>
                <w:between w:val="nil"/>
              </w:pBdr>
              <w:spacing w:line="276" w:lineRule="auto"/>
              <w:rPr>
                <w:rFonts w:eastAsia="Arial" w:cs="Arial"/>
              </w:rPr>
            </w:pPr>
          </w:p>
        </w:tc>
        <w:tc>
          <w:tcPr>
            <w:tcW w:w="5217" w:type="dxa"/>
            <w:vMerge/>
            <w:tcBorders>
              <w:left w:val="single" w:sz="8" w:space="0" w:color="000000"/>
              <w:right w:val="single" w:sz="8" w:space="0" w:color="000000"/>
            </w:tcBorders>
            <w:vAlign w:val="center"/>
          </w:tcPr>
          <w:p w14:paraId="4A5A1F18" w14:textId="77777777" w:rsidR="007C6854" w:rsidRDefault="007C6854">
            <w:pPr>
              <w:widowControl w:val="0"/>
              <w:pBdr>
                <w:top w:val="nil"/>
                <w:left w:val="nil"/>
                <w:bottom w:val="nil"/>
                <w:right w:val="nil"/>
                <w:between w:val="nil"/>
              </w:pBdr>
              <w:spacing w:line="276" w:lineRule="auto"/>
              <w:rPr>
                <w:rFonts w:eastAsia="Arial" w:cs="Arial"/>
              </w:rPr>
            </w:pPr>
          </w:p>
        </w:tc>
      </w:tr>
      <w:tr w:rsidR="007C6854" w14:paraId="701F3356" w14:textId="77777777">
        <w:trPr>
          <w:trHeight w:val="317"/>
        </w:trPr>
        <w:tc>
          <w:tcPr>
            <w:tcW w:w="3017" w:type="dxa"/>
            <w:vMerge/>
            <w:tcBorders>
              <w:left w:val="single" w:sz="8" w:space="0" w:color="000000"/>
              <w:right w:val="single" w:sz="8" w:space="0" w:color="000000"/>
            </w:tcBorders>
            <w:vAlign w:val="center"/>
          </w:tcPr>
          <w:p w14:paraId="6CC6B3F2" w14:textId="77777777" w:rsidR="007C6854" w:rsidRDefault="007C6854">
            <w:pPr>
              <w:widowControl w:val="0"/>
              <w:pBdr>
                <w:top w:val="nil"/>
                <w:left w:val="nil"/>
                <w:bottom w:val="nil"/>
                <w:right w:val="nil"/>
                <w:between w:val="nil"/>
              </w:pBdr>
              <w:spacing w:line="276" w:lineRule="auto"/>
              <w:rPr>
                <w:rFonts w:eastAsia="Arial" w:cs="Arial"/>
              </w:rPr>
            </w:pPr>
          </w:p>
        </w:tc>
        <w:tc>
          <w:tcPr>
            <w:tcW w:w="5217" w:type="dxa"/>
            <w:vMerge/>
            <w:tcBorders>
              <w:left w:val="single" w:sz="8" w:space="0" w:color="000000"/>
              <w:right w:val="single" w:sz="8" w:space="0" w:color="000000"/>
            </w:tcBorders>
            <w:vAlign w:val="center"/>
          </w:tcPr>
          <w:p w14:paraId="1DF23670" w14:textId="77777777" w:rsidR="007C6854" w:rsidRDefault="007C6854">
            <w:pPr>
              <w:widowControl w:val="0"/>
              <w:pBdr>
                <w:top w:val="nil"/>
                <w:left w:val="nil"/>
                <w:bottom w:val="nil"/>
                <w:right w:val="nil"/>
                <w:between w:val="nil"/>
              </w:pBdr>
              <w:spacing w:line="276" w:lineRule="auto"/>
              <w:rPr>
                <w:rFonts w:eastAsia="Arial" w:cs="Arial"/>
              </w:rPr>
            </w:pPr>
          </w:p>
        </w:tc>
      </w:tr>
      <w:tr w:rsidR="007C6854" w14:paraId="0729F0A0" w14:textId="77777777">
        <w:trPr>
          <w:trHeight w:val="341"/>
        </w:trPr>
        <w:tc>
          <w:tcPr>
            <w:tcW w:w="3017" w:type="dxa"/>
            <w:vMerge w:val="restart"/>
            <w:tcBorders>
              <w:left w:val="single" w:sz="8" w:space="0" w:color="000000"/>
              <w:right w:val="single" w:sz="8" w:space="0" w:color="000000"/>
            </w:tcBorders>
            <w:vAlign w:val="center"/>
          </w:tcPr>
          <w:p w14:paraId="78016379" w14:textId="77777777" w:rsidR="007C6854" w:rsidRDefault="00E0219E">
            <w:pPr>
              <w:ind w:left="80"/>
              <w:rPr>
                <w:rFonts w:eastAsia="Arial" w:cs="Arial"/>
              </w:rPr>
            </w:pPr>
            <w:r>
              <w:rPr>
                <w:rFonts w:eastAsia="Arial" w:cs="Arial"/>
              </w:rPr>
              <w:t>1980 – 1986</w:t>
            </w:r>
          </w:p>
        </w:tc>
        <w:tc>
          <w:tcPr>
            <w:tcW w:w="5217" w:type="dxa"/>
            <w:vMerge w:val="restart"/>
            <w:tcBorders>
              <w:left w:val="single" w:sz="8" w:space="0" w:color="000000"/>
              <w:right w:val="single" w:sz="8" w:space="0" w:color="000000"/>
            </w:tcBorders>
            <w:vAlign w:val="center"/>
          </w:tcPr>
          <w:p w14:paraId="68521543" w14:textId="77777777" w:rsidR="007C6854" w:rsidRDefault="00E0219E">
            <w:pPr>
              <w:ind w:left="220"/>
              <w:rPr>
                <w:rFonts w:eastAsia="Arial" w:cs="Arial"/>
              </w:rPr>
            </w:pPr>
            <w:r>
              <w:rPr>
                <w:rFonts w:eastAsia="Arial" w:cs="Arial"/>
              </w:rPr>
              <w:t>Primary Education</w:t>
            </w:r>
          </w:p>
          <w:p w14:paraId="3006925E" w14:textId="77777777" w:rsidR="007C6854" w:rsidRDefault="00E0219E">
            <w:pPr>
              <w:ind w:left="220"/>
              <w:rPr>
                <w:rFonts w:eastAsia="Arial" w:cs="Arial"/>
              </w:rPr>
            </w:pPr>
            <w:r>
              <w:rPr>
                <w:rFonts w:eastAsia="Arial" w:cs="Arial"/>
              </w:rPr>
              <w:t>Pasig Catholic College – Pasig City</w:t>
            </w:r>
          </w:p>
        </w:tc>
      </w:tr>
      <w:tr w:rsidR="007C6854" w14:paraId="10909C33" w14:textId="77777777">
        <w:trPr>
          <w:trHeight w:val="317"/>
        </w:trPr>
        <w:tc>
          <w:tcPr>
            <w:tcW w:w="3017" w:type="dxa"/>
            <w:vMerge/>
            <w:tcBorders>
              <w:left w:val="single" w:sz="8" w:space="0" w:color="000000"/>
              <w:right w:val="single" w:sz="8" w:space="0" w:color="000000"/>
            </w:tcBorders>
            <w:vAlign w:val="center"/>
          </w:tcPr>
          <w:p w14:paraId="6F00E0BF" w14:textId="77777777" w:rsidR="007C6854" w:rsidRDefault="007C6854">
            <w:pPr>
              <w:widowControl w:val="0"/>
              <w:pBdr>
                <w:top w:val="nil"/>
                <w:left w:val="nil"/>
                <w:bottom w:val="nil"/>
                <w:right w:val="nil"/>
                <w:between w:val="nil"/>
              </w:pBdr>
              <w:spacing w:line="276" w:lineRule="auto"/>
              <w:rPr>
                <w:rFonts w:eastAsia="Arial" w:cs="Arial"/>
              </w:rPr>
            </w:pPr>
          </w:p>
        </w:tc>
        <w:tc>
          <w:tcPr>
            <w:tcW w:w="5217" w:type="dxa"/>
            <w:vMerge/>
            <w:tcBorders>
              <w:left w:val="single" w:sz="8" w:space="0" w:color="000000"/>
              <w:right w:val="single" w:sz="8" w:space="0" w:color="000000"/>
            </w:tcBorders>
            <w:vAlign w:val="center"/>
          </w:tcPr>
          <w:p w14:paraId="0FBAE930" w14:textId="77777777" w:rsidR="007C6854" w:rsidRDefault="007C6854">
            <w:pPr>
              <w:widowControl w:val="0"/>
              <w:pBdr>
                <w:top w:val="nil"/>
                <w:left w:val="nil"/>
                <w:bottom w:val="nil"/>
                <w:right w:val="nil"/>
                <w:between w:val="nil"/>
              </w:pBdr>
              <w:spacing w:line="276" w:lineRule="auto"/>
              <w:rPr>
                <w:rFonts w:eastAsia="Arial" w:cs="Arial"/>
              </w:rPr>
            </w:pPr>
          </w:p>
        </w:tc>
      </w:tr>
      <w:tr w:rsidR="007C6854" w14:paraId="5D592EA5" w14:textId="77777777">
        <w:trPr>
          <w:trHeight w:val="317"/>
        </w:trPr>
        <w:tc>
          <w:tcPr>
            <w:tcW w:w="3017" w:type="dxa"/>
            <w:vMerge/>
            <w:tcBorders>
              <w:left w:val="single" w:sz="8" w:space="0" w:color="000000"/>
              <w:right w:val="single" w:sz="8" w:space="0" w:color="000000"/>
            </w:tcBorders>
            <w:vAlign w:val="center"/>
          </w:tcPr>
          <w:p w14:paraId="16C50821" w14:textId="77777777" w:rsidR="007C6854" w:rsidRDefault="007C6854">
            <w:pPr>
              <w:widowControl w:val="0"/>
              <w:pBdr>
                <w:top w:val="nil"/>
                <w:left w:val="nil"/>
                <w:bottom w:val="nil"/>
                <w:right w:val="nil"/>
                <w:between w:val="nil"/>
              </w:pBdr>
              <w:spacing w:line="276" w:lineRule="auto"/>
              <w:rPr>
                <w:rFonts w:eastAsia="Arial" w:cs="Arial"/>
              </w:rPr>
            </w:pPr>
          </w:p>
        </w:tc>
        <w:tc>
          <w:tcPr>
            <w:tcW w:w="5217" w:type="dxa"/>
            <w:vMerge/>
            <w:tcBorders>
              <w:left w:val="single" w:sz="8" w:space="0" w:color="000000"/>
              <w:right w:val="single" w:sz="8" w:space="0" w:color="000000"/>
            </w:tcBorders>
            <w:vAlign w:val="center"/>
          </w:tcPr>
          <w:p w14:paraId="1FD584ED" w14:textId="77777777" w:rsidR="007C6854" w:rsidRDefault="007C6854">
            <w:pPr>
              <w:widowControl w:val="0"/>
              <w:pBdr>
                <w:top w:val="nil"/>
                <w:left w:val="nil"/>
                <w:bottom w:val="nil"/>
                <w:right w:val="nil"/>
                <w:between w:val="nil"/>
              </w:pBdr>
              <w:spacing w:line="276" w:lineRule="auto"/>
              <w:rPr>
                <w:rFonts w:eastAsia="Arial" w:cs="Arial"/>
              </w:rPr>
            </w:pPr>
          </w:p>
        </w:tc>
      </w:tr>
      <w:tr w:rsidR="007C6854" w14:paraId="2857C5C9" w14:textId="77777777">
        <w:trPr>
          <w:trHeight w:val="317"/>
        </w:trPr>
        <w:tc>
          <w:tcPr>
            <w:tcW w:w="3017" w:type="dxa"/>
            <w:vMerge/>
            <w:tcBorders>
              <w:left w:val="single" w:sz="8" w:space="0" w:color="000000"/>
              <w:right w:val="single" w:sz="8" w:space="0" w:color="000000"/>
            </w:tcBorders>
            <w:vAlign w:val="center"/>
          </w:tcPr>
          <w:p w14:paraId="415F52C6" w14:textId="77777777" w:rsidR="007C6854" w:rsidRDefault="007C6854">
            <w:pPr>
              <w:widowControl w:val="0"/>
              <w:pBdr>
                <w:top w:val="nil"/>
                <w:left w:val="nil"/>
                <w:bottom w:val="nil"/>
                <w:right w:val="nil"/>
                <w:between w:val="nil"/>
              </w:pBdr>
              <w:spacing w:line="276" w:lineRule="auto"/>
              <w:rPr>
                <w:rFonts w:eastAsia="Arial" w:cs="Arial"/>
              </w:rPr>
            </w:pPr>
          </w:p>
        </w:tc>
        <w:tc>
          <w:tcPr>
            <w:tcW w:w="5217" w:type="dxa"/>
            <w:vMerge/>
            <w:tcBorders>
              <w:left w:val="single" w:sz="8" w:space="0" w:color="000000"/>
              <w:right w:val="single" w:sz="8" w:space="0" w:color="000000"/>
            </w:tcBorders>
            <w:vAlign w:val="center"/>
          </w:tcPr>
          <w:p w14:paraId="00F73FD0" w14:textId="77777777" w:rsidR="007C6854" w:rsidRDefault="007C6854">
            <w:pPr>
              <w:widowControl w:val="0"/>
              <w:pBdr>
                <w:top w:val="nil"/>
                <w:left w:val="nil"/>
                <w:bottom w:val="nil"/>
                <w:right w:val="nil"/>
                <w:between w:val="nil"/>
              </w:pBdr>
              <w:spacing w:line="276" w:lineRule="auto"/>
              <w:rPr>
                <w:rFonts w:eastAsia="Arial" w:cs="Arial"/>
              </w:rPr>
            </w:pPr>
          </w:p>
        </w:tc>
      </w:tr>
    </w:tbl>
    <w:p w14:paraId="4A4B84D7" w14:textId="77777777" w:rsidR="007C6854" w:rsidRDefault="007C6854">
      <w:pPr>
        <w:spacing w:line="254" w:lineRule="auto"/>
        <w:rPr>
          <w:rFonts w:eastAsia="Arial" w:cs="Arial"/>
          <w:sz w:val="20"/>
          <w:szCs w:val="20"/>
        </w:rPr>
      </w:pPr>
    </w:p>
    <w:p w14:paraId="4E3402C2" w14:textId="77777777" w:rsidR="007C6854" w:rsidRDefault="007C6854">
      <w:pPr>
        <w:spacing w:line="254" w:lineRule="auto"/>
        <w:rPr>
          <w:rFonts w:eastAsia="Arial" w:cs="Arial"/>
          <w:sz w:val="20"/>
          <w:szCs w:val="20"/>
        </w:rPr>
      </w:pPr>
    </w:p>
    <w:p w14:paraId="3C5ABC1F" w14:textId="77777777" w:rsidR="007C6854" w:rsidRDefault="00E0219E">
      <w:pPr>
        <w:spacing w:after="0" w:line="240" w:lineRule="auto"/>
        <w:rPr>
          <w:rFonts w:eastAsia="Arial" w:cs="Arial"/>
          <w:sz w:val="20"/>
          <w:szCs w:val="20"/>
        </w:rPr>
      </w:pPr>
      <w:r>
        <w:rPr>
          <w:rFonts w:eastAsia="Arial" w:cs="Arial"/>
          <w:b/>
          <w:i/>
          <w:sz w:val="20"/>
          <w:szCs w:val="20"/>
          <w:u w:val="single"/>
        </w:rPr>
        <w:t>OTHERS</w:t>
      </w:r>
    </w:p>
    <w:p w14:paraId="7FEFBD76" w14:textId="77777777" w:rsidR="007C6854" w:rsidRDefault="007C6854">
      <w:pPr>
        <w:spacing w:after="0" w:line="240" w:lineRule="auto"/>
        <w:rPr>
          <w:rFonts w:eastAsia="Arial" w:cs="Arial"/>
          <w:sz w:val="20"/>
          <w:szCs w:val="20"/>
        </w:rPr>
      </w:pPr>
    </w:p>
    <w:p w14:paraId="2B444DA8" w14:textId="77777777" w:rsidR="007C6854" w:rsidRDefault="00E0219E">
      <w:pPr>
        <w:numPr>
          <w:ilvl w:val="0"/>
          <w:numId w:val="33"/>
        </w:numPr>
        <w:tabs>
          <w:tab w:val="left" w:pos="720"/>
        </w:tabs>
        <w:spacing w:after="0" w:line="240" w:lineRule="auto"/>
        <w:ind w:left="720" w:right="280" w:hanging="360"/>
        <w:rPr>
          <w:rFonts w:eastAsia="Arial" w:cs="Arial"/>
          <w:sz w:val="20"/>
          <w:szCs w:val="20"/>
        </w:rPr>
      </w:pPr>
      <w:r>
        <w:rPr>
          <w:rFonts w:eastAsia="Arial" w:cs="Arial"/>
          <w:sz w:val="20"/>
          <w:szCs w:val="20"/>
        </w:rPr>
        <w:t xml:space="preserve">Trainer’s Training on Wireless Access for Health – Electronic Medical Records Level 1 and Level 2; and Information Technology System Troubleshooting – </w:t>
      </w:r>
      <w:r>
        <w:rPr>
          <w:rFonts w:eastAsia="Arial" w:cs="Arial"/>
          <w:sz w:val="20"/>
          <w:szCs w:val="20"/>
        </w:rPr>
        <w:lastRenderedPageBreak/>
        <w:t>Sponsored by the Municipality of Pateros in collaboration with the Province of Tarlac. 2012.</w:t>
      </w:r>
    </w:p>
    <w:p w14:paraId="7663EE2F" w14:textId="77777777" w:rsidR="007C6854" w:rsidRDefault="007C6854">
      <w:pPr>
        <w:spacing w:after="0" w:line="240" w:lineRule="auto"/>
        <w:rPr>
          <w:rFonts w:eastAsia="Arial" w:cs="Arial"/>
          <w:sz w:val="20"/>
          <w:szCs w:val="20"/>
        </w:rPr>
      </w:pPr>
    </w:p>
    <w:p w14:paraId="72B57E34" w14:textId="77777777" w:rsidR="007C6854" w:rsidRDefault="00E0219E">
      <w:pPr>
        <w:numPr>
          <w:ilvl w:val="0"/>
          <w:numId w:val="33"/>
        </w:numPr>
        <w:tabs>
          <w:tab w:val="left" w:pos="720"/>
        </w:tabs>
        <w:spacing w:after="0" w:line="240" w:lineRule="auto"/>
        <w:ind w:left="720" w:hanging="360"/>
        <w:rPr>
          <w:rFonts w:eastAsia="Arial" w:cs="Arial"/>
          <w:sz w:val="20"/>
          <w:szCs w:val="20"/>
        </w:rPr>
      </w:pPr>
      <w:r>
        <w:rPr>
          <w:rFonts w:eastAsia="Arial" w:cs="Arial"/>
          <w:sz w:val="20"/>
          <w:szCs w:val="20"/>
        </w:rPr>
        <w:t>Training Course on the Strategies in Publishing Science and Excellence in Reporting Science</w:t>
      </w:r>
    </w:p>
    <w:p w14:paraId="37B777EB" w14:textId="77777777" w:rsidR="007C6854" w:rsidRDefault="00E0219E">
      <w:pPr>
        <w:spacing w:after="0" w:line="240" w:lineRule="auto"/>
        <w:ind w:left="720" w:right="380"/>
        <w:rPr>
          <w:rFonts w:eastAsia="Arial" w:cs="Arial"/>
          <w:sz w:val="20"/>
          <w:szCs w:val="20"/>
        </w:rPr>
      </w:pPr>
      <w:r>
        <w:rPr>
          <w:rFonts w:eastAsia="Arial" w:cs="Arial"/>
          <w:sz w:val="20"/>
          <w:szCs w:val="20"/>
        </w:rPr>
        <w:t>– Sponsored by the South Asia Field Epidemiology and Technology Network, Inc. in collaboration with US-Centers for Disease Control and Prevention and Philippine-National Epidemiology Center. 2011.</w:t>
      </w:r>
    </w:p>
    <w:p w14:paraId="148042EC" w14:textId="77777777" w:rsidR="007C6854" w:rsidRDefault="007C6854">
      <w:pPr>
        <w:spacing w:after="0" w:line="240" w:lineRule="auto"/>
        <w:rPr>
          <w:rFonts w:eastAsia="Arial" w:cs="Arial"/>
          <w:sz w:val="20"/>
          <w:szCs w:val="20"/>
        </w:rPr>
      </w:pPr>
    </w:p>
    <w:p w14:paraId="17941554" w14:textId="77777777" w:rsidR="007C6854" w:rsidRDefault="00E0219E">
      <w:pPr>
        <w:numPr>
          <w:ilvl w:val="0"/>
          <w:numId w:val="33"/>
        </w:numPr>
        <w:tabs>
          <w:tab w:val="left" w:pos="720"/>
        </w:tabs>
        <w:spacing w:after="0" w:line="240" w:lineRule="auto"/>
        <w:ind w:left="720" w:right="80" w:hanging="360"/>
        <w:jc w:val="both"/>
        <w:rPr>
          <w:rFonts w:eastAsia="Arial" w:cs="Arial"/>
          <w:sz w:val="20"/>
          <w:szCs w:val="20"/>
        </w:rPr>
      </w:pPr>
      <w:r>
        <w:rPr>
          <w:rFonts w:eastAsia="Arial" w:cs="Arial"/>
          <w:sz w:val="20"/>
          <w:szCs w:val="20"/>
        </w:rPr>
        <w:t>Training Course on the Asian Epidemic Model (AEM) HIV Surveillance – Sponsored by East-West Center and UNAIDS in collaboration with the Philippine-National Epidemiology Center. 2011.</w:t>
      </w:r>
    </w:p>
    <w:p w14:paraId="2702F6D5" w14:textId="77777777" w:rsidR="007C6854" w:rsidRDefault="007C6854">
      <w:pPr>
        <w:spacing w:after="0" w:line="240" w:lineRule="auto"/>
        <w:rPr>
          <w:rFonts w:eastAsia="Arial" w:cs="Arial"/>
          <w:sz w:val="20"/>
          <w:szCs w:val="20"/>
        </w:rPr>
      </w:pPr>
    </w:p>
    <w:p w14:paraId="37C40F83" w14:textId="77777777" w:rsidR="007C6854" w:rsidRDefault="00E0219E">
      <w:pPr>
        <w:numPr>
          <w:ilvl w:val="0"/>
          <w:numId w:val="33"/>
        </w:numPr>
        <w:tabs>
          <w:tab w:val="left" w:pos="720"/>
        </w:tabs>
        <w:spacing w:after="0" w:line="240" w:lineRule="auto"/>
        <w:ind w:left="720" w:right="900" w:hanging="360"/>
        <w:rPr>
          <w:rFonts w:eastAsia="Arial" w:cs="Arial"/>
          <w:sz w:val="20"/>
          <w:szCs w:val="20"/>
        </w:rPr>
      </w:pPr>
      <w:r>
        <w:rPr>
          <w:rFonts w:eastAsia="Arial" w:cs="Arial"/>
          <w:sz w:val="20"/>
          <w:szCs w:val="20"/>
        </w:rPr>
        <w:t>Group Training Course in Community-based Cancer Prevention for the Asian Pacific Countries (Epidemiologic Approach) – Sponsored by JICA. 2005.</w:t>
      </w:r>
    </w:p>
    <w:p w14:paraId="7793EF06" w14:textId="77777777" w:rsidR="007C6854" w:rsidRDefault="007C6854">
      <w:pPr>
        <w:spacing w:line="196" w:lineRule="auto"/>
        <w:rPr>
          <w:rFonts w:eastAsia="Arial" w:cs="Arial"/>
          <w:sz w:val="20"/>
          <w:szCs w:val="20"/>
        </w:rPr>
      </w:pPr>
    </w:p>
    <w:p w14:paraId="0145C29A" w14:textId="77777777" w:rsidR="007C6854" w:rsidRDefault="00E0219E">
      <w:pPr>
        <w:spacing w:after="0" w:line="240" w:lineRule="auto"/>
        <w:rPr>
          <w:rFonts w:eastAsia="Arial" w:cs="Arial"/>
          <w:sz w:val="20"/>
          <w:szCs w:val="20"/>
        </w:rPr>
      </w:pPr>
      <w:r>
        <w:rPr>
          <w:rFonts w:eastAsia="Arial" w:cs="Arial"/>
          <w:b/>
          <w:i/>
          <w:sz w:val="20"/>
          <w:szCs w:val="20"/>
          <w:u w:val="single"/>
        </w:rPr>
        <w:t>United Nations Department of Safety and Security Trainings</w:t>
      </w:r>
    </w:p>
    <w:p w14:paraId="6C474684" w14:textId="77777777" w:rsidR="007C6854" w:rsidRDefault="007C6854">
      <w:pPr>
        <w:spacing w:after="0" w:line="240" w:lineRule="auto"/>
        <w:rPr>
          <w:rFonts w:eastAsia="Arial" w:cs="Arial"/>
          <w:sz w:val="20"/>
          <w:szCs w:val="20"/>
        </w:rPr>
      </w:pPr>
    </w:p>
    <w:p w14:paraId="0569151E" w14:textId="77777777" w:rsidR="007C6854" w:rsidRDefault="00E0219E">
      <w:pPr>
        <w:numPr>
          <w:ilvl w:val="0"/>
          <w:numId w:val="18"/>
        </w:numPr>
        <w:tabs>
          <w:tab w:val="left" w:pos="700"/>
        </w:tabs>
        <w:spacing w:after="0" w:line="240" w:lineRule="auto"/>
        <w:rPr>
          <w:rFonts w:eastAsia="Arial" w:cs="Arial"/>
          <w:sz w:val="20"/>
          <w:szCs w:val="20"/>
        </w:rPr>
      </w:pPr>
      <w:r>
        <w:rPr>
          <w:rFonts w:eastAsia="Arial" w:cs="Arial"/>
          <w:sz w:val="20"/>
          <w:szCs w:val="20"/>
        </w:rPr>
        <w:t>BSAFE Training Course; November 2018</w:t>
      </w:r>
    </w:p>
    <w:p w14:paraId="2B5BD2C7" w14:textId="77777777" w:rsidR="007C6854" w:rsidRDefault="00E0219E">
      <w:pPr>
        <w:numPr>
          <w:ilvl w:val="0"/>
          <w:numId w:val="18"/>
        </w:numPr>
        <w:tabs>
          <w:tab w:val="left" w:pos="700"/>
        </w:tabs>
        <w:spacing w:after="0" w:line="240" w:lineRule="auto"/>
        <w:rPr>
          <w:rFonts w:eastAsia="Arial" w:cs="Arial"/>
          <w:sz w:val="20"/>
          <w:szCs w:val="20"/>
        </w:rPr>
      </w:pPr>
      <w:r>
        <w:rPr>
          <w:rFonts w:eastAsia="Arial" w:cs="Arial"/>
          <w:sz w:val="20"/>
          <w:szCs w:val="20"/>
        </w:rPr>
        <w:t xml:space="preserve">Advance Security </w:t>
      </w:r>
      <w:proofErr w:type="gramStart"/>
      <w:r>
        <w:rPr>
          <w:rFonts w:eastAsia="Arial" w:cs="Arial"/>
          <w:sz w:val="20"/>
          <w:szCs w:val="20"/>
        </w:rPr>
        <w:t>In</w:t>
      </w:r>
      <w:proofErr w:type="gramEnd"/>
      <w:r>
        <w:rPr>
          <w:rFonts w:eastAsia="Arial" w:cs="Arial"/>
          <w:sz w:val="20"/>
          <w:szCs w:val="20"/>
        </w:rPr>
        <w:t xml:space="preserve"> The Field (ASITF) Training Course; Certificate Date: 2 March, 2015; Expiration Date: 1 March 2018</w:t>
      </w:r>
    </w:p>
    <w:p w14:paraId="7CB1DC94" w14:textId="77777777" w:rsidR="007C6854" w:rsidRDefault="00E0219E">
      <w:pPr>
        <w:numPr>
          <w:ilvl w:val="0"/>
          <w:numId w:val="18"/>
        </w:numPr>
        <w:spacing w:after="0" w:line="240" w:lineRule="auto"/>
        <w:rPr>
          <w:rFonts w:eastAsia="Arial" w:cs="Arial"/>
          <w:sz w:val="20"/>
          <w:szCs w:val="20"/>
        </w:rPr>
      </w:pPr>
      <w:r>
        <w:rPr>
          <w:rFonts w:eastAsia="Arial" w:cs="Arial"/>
          <w:sz w:val="20"/>
          <w:szCs w:val="20"/>
        </w:rPr>
        <w:t xml:space="preserve">Basic Security </w:t>
      </w:r>
      <w:proofErr w:type="gramStart"/>
      <w:r>
        <w:rPr>
          <w:rFonts w:eastAsia="Arial" w:cs="Arial"/>
          <w:sz w:val="20"/>
          <w:szCs w:val="20"/>
        </w:rPr>
        <w:t>In</w:t>
      </w:r>
      <w:proofErr w:type="gramEnd"/>
      <w:r>
        <w:rPr>
          <w:rFonts w:eastAsia="Arial" w:cs="Arial"/>
          <w:sz w:val="20"/>
          <w:szCs w:val="20"/>
        </w:rPr>
        <w:t xml:space="preserve"> The Field II (BSITF II) Training Course; Certificate Date: 27 January 2015;</w:t>
      </w:r>
    </w:p>
    <w:p w14:paraId="4E68141F" w14:textId="77777777" w:rsidR="007C6854" w:rsidRDefault="00E0219E">
      <w:pPr>
        <w:spacing w:after="0" w:line="240" w:lineRule="auto"/>
        <w:ind w:left="720"/>
        <w:rPr>
          <w:rFonts w:eastAsia="Arial" w:cs="Arial"/>
          <w:sz w:val="20"/>
          <w:szCs w:val="20"/>
        </w:rPr>
      </w:pPr>
      <w:r>
        <w:rPr>
          <w:rFonts w:eastAsia="Arial" w:cs="Arial"/>
          <w:sz w:val="20"/>
          <w:szCs w:val="20"/>
        </w:rPr>
        <w:t>Expiration Date: 26 January 2018</w:t>
      </w:r>
    </w:p>
    <w:p w14:paraId="09D8DAEE" w14:textId="77777777" w:rsidR="007C6854" w:rsidRDefault="00E0219E">
      <w:pPr>
        <w:numPr>
          <w:ilvl w:val="0"/>
          <w:numId w:val="18"/>
        </w:numPr>
        <w:spacing w:after="0" w:line="240" w:lineRule="auto"/>
        <w:rPr>
          <w:rFonts w:eastAsia="Arial" w:cs="Arial"/>
          <w:sz w:val="20"/>
          <w:szCs w:val="20"/>
        </w:rPr>
      </w:pPr>
      <w:r>
        <w:rPr>
          <w:rFonts w:eastAsia="Arial" w:cs="Arial"/>
          <w:sz w:val="20"/>
          <w:szCs w:val="20"/>
        </w:rPr>
        <w:t>Information Security Awareness Foundational Assessment; Certificate Date: 17 March 2016</w:t>
      </w:r>
    </w:p>
    <w:p w14:paraId="5F53A4FD" w14:textId="77777777" w:rsidR="007C6854" w:rsidRDefault="00E0219E">
      <w:pPr>
        <w:numPr>
          <w:ilvl w:val="0"/>
          <w:numId w:val="18"/>
        </w:numPr>
        <w:tabs>
          <w:tab w:val="left" w:pos="720"/>
        </w:tabs>
        <w:spacing w:after="0" w:line="240" w:lineRule="auto"/>
        <w:rPr>
          <w:rFonts w:eastAsia="Arial" w:cs="Arial"/>
          <w:sz w:val="20"/>
          <w:szCs w:val="20"/>
        </w:rPr>
      </w:pPr>
      <w:r>
        <w:rPr>
          <w:rFonts w:eastAsia="Arial" w:cs="Arial"/>
          <w:sz w:val="20"/>
          <w:szCs w:val="20"/>
        </w:rPr>
        <w:t>Information Security Awareness Advanced; Certificate Date: 14 April 2016</w:t>
      </w:r>
    </w:p>
    <w:p w14:paraId="26ED7785" w14:textId="77777777" w:rsidR="007C6854" w:rsidRDefault="00E0219E">
      <w:pPr>
        <w:numPr>
          <w:ilvl w:val="0"/>
          <w:numId w:val="18"/>
        </w:numPr>
        <w:tabs>
          <w:tab w:val="left" w:pos="720"/>
        </w:tabs>
        <w:spacing w:after="0" w:line="240" w:lineRule="auto"/>
        <w:rPr>
          <w:rFonts w:eastAsia="Arial" w:cs="Arial"/>
          <w:sz w:val="20"/>
          <w:szCs w:val="20"/>
        </w:rPr>
      </w:pPr>
      <w:r>
        <w:rPr>
          <w:rFonts w:eastAsia="Arial" w:cs="Arial"/>
          <w:sz w:val="20"/>
          <w:szCs w:val="20"/>
        </w:rPr>
        <w:t>Information Security Awareness Additional; Certificate Date: 14 April 2016</w:t>
      </w:r>
    </w:p>
    <w:p w14:paraId="7F0EFB96" w14:textId="77777777" w:rsidR="007C6854" w:rsidRDefault="007C6854">
      <w:pPr>
        <w:spacing w:line="249" w:lineRule="auto"/>
        <w:rPr>
          <w:rFonts w:eastAsia="Arial" w:cs="Arial"/>
          <w:sz w:val="20"/>
          <w:szCs w:val="20"/>
        </w:rPr>
      </w:pPr>
    </w:p>
    <w:p w14:paraId="7CD69443" w14:textId="77777777" w:rsidR="007C6854" w:rsidRDefault="00E0219E">
      <w:pPr>
        <w:rPr>
          <w:rFonts w:eastAsia="Arial" w:cs="Arial"/>
          <w:sz w:val="20"/>
          <w:szCs w:val="20"/>
        </w:rPr>
      </w:pPr>
      <w:r>
        <w:rPr>
          <w:rFonts w:eastAsia="Arial" w:cs="Arial"/>
          <w:b/>
          <w:i/>
          <w:sz w:val="20"/>
          <w:szCs w:val="20"/>
          <w:u w:val="single"/>
        </w:rPr>
        <w:t>AFFILIATIONS AND INVOLVEMENT</w:t>
      </w:r>
    </w:p>
    <w:p w14:paraId="4F02C866" w14:textId="77777777" w:rsidR="007C6854" w:rsidRDefault="00E0219E">
      <w:pPr>
        <w:numPr>
          <w:ilvl w:val="0"/>
          <w:numId w:val="37"/>
        </w:numPr>
        <w:tabs>
          <w:tab w:val="left" w:pos="720"/>
        </w:tabs>
        <w:spacing w:after="0" w:line="240" w:lineRule="auto"/>
        <w:ind w:left="720" w:hanging="360"/>
        <w:rPr>
          <w:rFonts w:eastAsia="Arial" w:cs="Arial"/>
          <w:sz w:val="20"/>
          <w:szCs w:val="20"/>
        </w:rPr>
      </w:pPr>
      <w:r>
        <w:rPr>
          <w:rFonts w:eastAsia="Arial" w:cs="Arial"/>
          <w:sz w:val="20"/>
          <w:szCs w:val="20"/>
        </w:rPr>
        <w:t>Field Epidemiology Training Program Alumni Foundation Inc. (FETPAFI)</w:t>
      </w:r>
    </w:p>
    <w:p w14:paraId="38CEC6D9" w14:textId="77777777" w:rsidR="007C6854" w:rsidRDefault="00E0219E">
      <w:pPr>
        <w:numPr>
          <w:ilvl w:val="0"/>
          <w:numId w:val="37"/>
        </w:numPr>
        <w:tabs>
          <w:tab w:val="left" w:pos="720"/>
        </w:tabs>
        <w:spacing w:after="0" w:line="240" w:lineRule="auto"/>
        <w:ind w:left="720" w:hanging="360"/>
        <w:rPr>
          <w:rFonts w:eastAsia="Arial" w:cs="Arial"/>
          <w:sz w:val="20"/>
          <w:szCs w:val="20"/>
        </w:rPr>
      </w:pPr>
      <w:r>
        <w:rPr>
          <w:rFonts w:eastAsia="Arial" w:cs="Arial"/>
          <w:sz w:val="20"/>
          <w:szCs w:val="20"/>
        </w:rPr>
        <w:t>University of the Philippines Alumni Association, Inc (Lifetime)</w:t>
      </w:r>
    </w:p>
    <w:p w14:paraId="6FAF4BD8" w14:textId="77777777" w:rsidR="007C6854" w:rsidRDefault="00E0219E">
      <w:pPr>
        <w:numPr>
          <w:ilvl w:val="0"/>
          <w:numId w:val="37"/>
        </w:numPr>
        <w:tabs>
          <w:tab w:val="left" w:pos="720"/>
        </w:tabs>
        <w:spacing w:after="0" w:line="240" w:lineRule="auto"/>
        <w:ind w:left="720" w:hanging="360"/>
        <w:rPr>
          <w:rFonts w:eastAsia="Arial" w:cs="Arial"/>
          <w:sz w:val="20"/>
          <w:szCs w:val="20"/>
        </w:rPr>
      </w:pPr>
      <w:r>
        <w:rPr>
          <w:rFonts w:eastAsia="Arial" w:cs="Arial"/>
          <w:sz w:val="20"/>
          <w:szCs w:val="20"/>
        </w:rPr>
        <w:t xml:space="preserve">Freedom Christian Fellowship (Religious Sector) </w:t>
      </w:r>
      <w:r>
        <w:rPr>
          <w:rFonts w:eastAsia="Arial" w:cs="Arial"/>
          <w:b/>
          <w:sz w:val="20"/>
          <w:szCs w:val="20"/>
        </w:rPr>
        <w:t xml:space="preserve">- </w:t>
      </w:r>
      <w:r>
        <w:rPr>
          <w:rFonts w:eastAsia="Arial" w:cs="Arial"/>
          <w:sz w:val="20"/>
          <w:szCs w:val="20"/>
        </w:rPr>
        <w:t>Senior Pastor (2016 - Present)</w:t>
      </w:r>
    </w:p>
    <w:p w14:paraId="32FD9594" w14:textId="77777777" w:rsidR="007C6854" w:rsidRDefault="007C6854">
      <w:pPr>
        <w:spacing w:line="322" w:lineRule="auto"/>
        <w:rPr>
          <w:rFonts w:eastAsia="Arial" w:cs="Arial"/>
          <w:sz w:val="20"/>
          <w:szCs w:val="20"/>
        </w:rPr>
      </w:pPr>
    </w:p>
    <w:p w14:paraId="45602F33" w14:textId="77777777" w:rsidR="007C6854" w:rsidRDefault="00E0219E">
      <w:pPr>
        <w:rPr>
          <w:rFonts w:eastAsia="Arial" w:cs="Arial"/>
          <w:sz w:val="20"/>
          <w:szCs w:val="20"/>
        </w:rPr>
      </w:pPr>
      <w:r>
        <w:rPr>
          <w:rFonts w:eastAsia="Arial" w:cs="Arial"/>
          <w:b/>
          <w:i/>
          <w:sz w:val="20"/>
          <w:szCs w:val="20"/>
          <w:u w:val="single"/>
        </w:rPr>
        <w:t>LANGUAGE SKILLS</w:t>
      </w:r>
    </w:p>
    <w:tbl>
      <w:tblPr>
        <w:tblStyle w:val="afffd"/>
        <w:tblW w:w="80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58"/>
        <w:gridCol w:w="1996"/>
        <w:gridCol w:w="1996"/>
        <w:gridCol w:w="1996"/>
      </w:tblGrid>
      <w:tr w:rsidR="007C6854" w14:paraId="0CB46045" w14:textId="77777777">
        <w:trPr>
          <w:trHeight w:val="364"/>
        </w:trPr>
        <w:tc>
          <w:tcPr>
            <w:tcW w:w="2058" w:type="dxa"/>
            <w:tcBorders>
              <w:top w:val="single" w:sz="8" w:space="0" w:color="000000"/>
              <w:left w:val="single" w:sz="8" w:space="0" w:color="000000"/>
              <w:bottom w:val="single" w:sz="4" w:space="0" w:color="000000"/>
              <w:right w:val="single" w:sz="8" w:space="0" w:color="000000"/>
            </w:tcBorders>
            <w:vAlign w:val="bottom"/>
          </w:tcPr>
          <w:p w14:paraId="15FF889A" w14:textId="77777777" w:rsidR="007C6854" w:rsidRDefault="00E0219E">
            <w:pPr>
              <w:ind w:left="380"/>
              <w:rPr>
                <w:rFonts w:eastAsia="Arial" w:cs="Arial"/>
              </w:rPr>
            </w:pPr>
            <w:r>
              <w:rPr>
                <w:rFonts w:eastAsia="Arial" w:cs="Arial"/>
              </w:rPr>
              <w:t>LANGUAGE</w:t>
            </w:r>
          </w:p>
        </w:tc>
        <w:tc>
          <w:tcPr>
            <w:tcW w:w="1996" w:type="dxa"/>
            <w:tcBorders>
              <w:top w:val="single" w:sz="8" w:space="0" w:color="000000"/>
              <w:bottom w:val="single" w:sz="4" w:space="0" w:color="000000"/>
              <w:right w:val="single" w:sz="8" w:space="0" w:color="000000"/>
            </w:tcBorders>
            <w:vAlign w:val="bottom"/>
          </w:tcPr>
          <w:p w14:paraId="072843F5" w14:textId="77777777" w:rsidR="007C6854" w:rsidRDefault="00E0219E">
            <w:pPr>
              <w:jc w:val="center"/>
              <w:rPr>
                <w:rFonts w:eastAsia="Arial" w:cs="Arial"/>
              </w:rPr>
            </w:pPr>
            <w:r>
              <w:rPr>
                <w:rFonts w:eastAsia="Arial" w:cs="Arial"/>
                <w:b/>
              </w:rPr>
              <w:t>READING</w:t>
            </w:r>
          </w:p>
        </w:tc>
        <w:tc>
          <w:tcPr>
            <w:tcW w:w="1996" w:type="dxa"/>
            <w:tcBorders>
              <w:top w:val="single" w:sz="8" w:space="0" w:color="000000"/>
              <w:bottom w:val="single" w:sz="4" w:space="0" w:color="000000"/>
              <w:right w:val="single" w:sz="8" w:space="0" w:color="000000"/>
            </w:tcBorders>
            <w:vAlign w:val="bottom"/>
          </w:tcPr>
          <w:p w14:paraId="2EC3B079" w14:textId="77777777" w:rsidR="007C6854" w:rsidRDefault="00E0219E">
            <w:pPr>
              <w:jc w:val="center"/>
              <w:rPr>
                <w:rFonts w:eastAsia="Arial" w:cs="Arial"/>
              </w:rPr>
            </w:pPr>
            <w:r>
              <w:rPr>
                <w:rFonts w:eastAsia="Arial" w:cs="Arial"/>
                <w:b/>
              </w:rPr>
              <w:t>SPEAKING</w:t>
            </w:r>
          </w:p>
        </w:tc>
        <w:tc>
          <w:tcPr>
            <w:tcW w:w="1996" w:type="dxa"/>
            <w:tcBorders>
              <w:top w:val="single" w:sz="8" w:space="0" w:color="000000"/>
              <w:bottom w:val="single" w:sz="4" w:space="0" w:color="000000"/>
              <w:right w:val="single" w:sz="8" w:space="0" w:color="000000"/>
            </w:tcBorders>
            <w:vAlign w:val="bottom"/>
          </w:tcPr>
          <w:p w14:paraId="2455DAB7" w14:textId="77777777" w:rsidR="007C6854" w:rsidRDefault="00E0219E">
            <w:pPr>
              <w:ind w:left="740"/>
              <w:rPr>
                <w:rFonts w:eastAsia="Arial" w:cs="Arial"/>
              </w:rPr>
            </w:pPr>
            <w:r>
              <w:rPr>
                <w:rFonts w:eastAsia="Arial" w:cs="Arial"/>
                <w:b/>
              </w:rPr>
              <w:t>WRITING</w:t>
            </w:r>
          </w:p>
        </w:tc>
      </w:tr>
      <w:tr w:rsidR="007C6854" w14:paraId="7A4DAC19" w14:textId="77777777">
        <w:trPr>
          <w:trHeight w:val="352"/>
        </w:trPr>
        <w:tc>
          <w:tcPr>
            <w:tcW w:w="2058" w:type="dxa"/>
            <w:tcBorders>
              <w:top w:val="single" w:sz="4" w:space="0" w:color="000000"/>
              <w:left w:val="single" w:sz="8" w:space="0" w:color="000000"/>
              <w:right w:val="single" w:sz="8" w:space="0" w:color="000000"/>
            </w:tcBorders>
            <w:vAlign w:val="bottom"/>
          </w:tcPr>
          <w:p w14:paraId="7EDDFCF9" w14:textId="77777777" w:rsidR="007C6854" w:rsidRDefault="00E0219E">
            <w:pPr>
              <w:ind w:left="380"/>
              <w:rPr>
                <w:rFonts w:eastAsia="Arial" w:cs="Arial"/>
              </w:rPr>
            </w:pPr>
            <w:r>
              <w:rPr>
                <w:rFonts w:eastAsia="Arial" w:cs="Arial"/>
              </w:rPr>
              <w:t>English</w:t>
            </w:r>
          </w:p>
        </w:tc>
        <w:tc>
          <w:tcPr>
            <w:tcW w:w="1996" w:type="dxa"/>
            <w:tcBorders>
              <w:top w:val="single" w:sz="4" w:space="0" w:color="000000"/>
              <w:right w:val="single" w:sz="8" w:space="0" w:color="000000"/>
            </w:tcBorders>
            <w:vAlign w:val="bottom"/>
          </w:tcPr>
          <w:p w14:paraId="253EC85B" w14:textId="77777777" w:rsidR="007C6854" w:rsidRDefault="00E0219E">
            <w:pPr>
              <w:jc w:val="center"/>
              <w:rPr>
                <w:rFonts w:eastAsia="Arial" w:cs="Arial"/>
              </w:rPr>
            </w:pPr>
            <w:r>
              <w:rPr>
                <w:rFonts w:eastAsia="Arial" w:cs="Arial"/>
              </w:rPr>
              <w:t>Very good</w:t>
            </w:r>
          </w:p>
        </w:tc>
        <w:tc>
          <w:tcPr>
            <w:tcW w:w="1996" w:type="dxa"/>
            <w:tcBorders>
              <w:top w:val="single" w:sz="4" w:space="0" w:color="000000"/>
              <w:right w:val="single" w:sz="8" w:space="0" w:color="000000"/>
            </w:tcBorders>
            <w:vAlign w:val="bottom"/>
          </w:tcPr>
          <w:p w14:paraId="7499141C" w14:textId="77777777" w:rsidR="007C6854" w:rsidRDefault="00E0219E">
            <w:pPr>
              <w:jc w:val="center"/>
              <w:rPr>
                <w:rFonts w:eastAsia="Arial" w:cs="Arial"/>
              </w:rPr>
            </w:pPr>
            <w:r>
              <w:rPr>
                <w:rFonts w:eastAsia="Arial" w:cs="Arial"/>
              </w:rPr>
              <w:t>Very good</w:t>
            </w:r>
          </w:p>
        </w:tc>
        <w:tc>
          <w:tcPr>
            <w:tcW w:w="1996" w:type="dxa"/>
            <w:tcBorders>
              <w:top w:val="single" w:sz="4" w:space="0" w:color="000000"/>
              <w:right w:val="single" w:sz="8" w:space="0" w:color="000000"/>
            </w:tcBorders>
            <w:vAlign w:val="bottom"/>
          </w:tcPr>
          <w:p w14:paraId="2FA57A32" w14:textId="77777777" w:rsidR="007C6854" w:rsidRDefault="00E0219E">
            <w:pPr>
              <w:ind w:left="740"/>
              <w:rPr>
                <w:rFonts w:eastAsia="Arial" w:cs="Arial"/>
              </w:rPr>
            </w:pPr>
            <w:r>
              <w:rPr>
                <w:rFonts w:eastAsia="Arial" w:cs="Arial"/>
              </w:rPr>
              <w:t>Very good</w:t>
            </w:r>
          </w:p>
        </w:tc>
      </w:tr>
      <w:tr w:rsidR="007C6854" w14:paraId="5F9105CA" w14:textId="77777777">
        <w:trPr>
          <w:trHeight w:val="349"/>
        </w:trPr>
        <w:tc>
          <w:tcPr>
            <w:tcW w:w="2058" w:type="dxa"/>
            <w:tcBorders>
              <w:top w:val="single" w:sz="8" w:space="0" w:color="000000"/>
              <w:left w:val="single" w:sz="8" w:space="0" w:color="000000"/>
              <w:bottom w:val="single" w:sz="4" w:space="0" w:color="000000"/>
              <w:right w:val="single" w:sz="8" w:space="0" w:color="000000"/>
            </w:tcBorders>
            <w:vAlign w:val="bottom"/>
          </w:tcPr>
          <w:p w14:paraId="10D0366B" w14:textId="77777777" w:rsidR="007C6854" w:rsidRDefault="00E0219E">
            <w:pPr>
              <w:ind w:left="380"/>
              <w:rPr>
                <w:rFonts w:eastAsia="Arial" w:cs="Arial"/>
              </w:rPr>
            </w:pPr>
            <w:r>
              <w:rPr>
                <w:rFonts w:eastAsia="Arial" w:cs="Arial"/>
              </w:rPr>
              <w:t>Tagalog (Mother Tongue)</w:t>
            </w:r>
          </w:p>
        </w:tc>
        <w:tc>
          <w:tcPr>
            <w:tcW w:w="1996" w:type="dxa"/>
            <w:tcBorders>
              <w:top w:val="single" w:sz="8" w:space="0" w:color="000000"/>
              <w:bottom w:val="single" w:sz="4" w:space="0" w:color="000000"/>
              <w:right w:val="single" w:sz="8" w:space="0" w:color="000000"/>
            </w:tcBorders>
            <w:vAlign w:val="bottom"/>
          </w:tcPr>
          <w:p w14:paraId="1EC459C0" w14:textId="77777777" w:rsidR="007C6854" w:rsidRDefault="00E0219E">
            <w:pPr>
              <w:jc w:val="center"/>
              <w:rPr>
                <w:rFonts w:eastAsia="Arial" w:cs="Arial"/>
              </w:rPr>
            </w:pPr>
            <w:r>
              <w:rPr>
                <w:rFonts w:eastAsia="Arial" w:cs="Arial"/>
              </w:rPr>
              <w:t>Excellent</w:t>
            </w:r>
          </w:p>
        </w:tc>
        <w:tc>
          <w:tcPr>
            <w:tcW w:w="1996" w:type="dxa"/>
            <w:tcBorders>
              <w:top w:val="single" w:sz="8" w:space="0" w:color="000000"/>
              <w:bottom w:val="single" w:sz="4" w:space="0" w:color="000000"/>
              <w:right w:val="single" w:sz="8" w:space="0" w:color="000000"/>
            </w:tcBorders>
            <w:vAlign w:val="bottom"/>
          </w:tcPr>
          <w:p w14:paraId="6DB3DB09" w14:textId="77777777" w:rsidR="007C6854" w:rsidRDefault="00E0219E">
            <w:pPr>
              <w:jc w:val="center"/>
              <w:rPr>
                <w:rFonts w:eastAsia="Arial" w:cs="Arial"/>
              </w:rPr>
            </w:pPr>
            <w:r>
              <w:rPr>
                <w:rFonts w:eastAsia="Arial" w:cs="Arial"/>
              </w:rPr>
              <w:t>Excellent</w:t>
            </w:r>
          </w:p>
        </w:tc>
        <w:tc>
          <w:tcPr>
            <w:tcW w:w="1996" w:type="dxa"/>
            <w:tcBorders>
              <w:top w:val="single" w:sz="8" w:space="0" w:color="000000"/>
              <w:bottom w:val="single" w:sz="4" w:space="0" w:color="000000"/>
              <w:right w:val="single" w:sz="8" w:space="0" w:color="000000"/>
            </w:tcBorders>
            <w:vAlign w:val="bottom"/>
          </w:tcPr>
          <w:p w14:paraId="27E6E2A1" w14:textId="77777777" w:rsidR="007C6854" w:rsidRDefault="00E0219E">
            <w:pPr>
              <w:ind w:left="800"/>
              <w:rPr>
                <w:rFonts w:eastAsia="Arial" w:cs="Arial"/>
              </w:rPr>
            </w:pPr>
            <w:r>
              <w:rPr>
                <w:rFonts w:eastAsia="Arial" w:cs="Arial"/>
              </w:rPr>
              <w:t>Excellent</w:t>
            </w:r>
          </w:p>
        </w:tc>
      </w:tr>
    </w:tbl>
    <w:p w14:paraId="59980547" w14:textId="77777777" w:rsidR="007C6854" w:rsidRDefault="007C6854">
      <w:pPr>
        <w:spacing w:line="20" w:lineRule="auto"/>
        <w:rPr>
          <w:rFonts w:eastAsia="Arial" w:cs="Arial"/>
          <w:sz w:val="20"/>
          <w:szCs w:val="20"/>
        </w:rPr>
      </w:pPr>
    </w:p>
    <w:p w14:paraId="380F480A" w14:textId="77777777" w:rsidR="007C6854" w:rsidRDefault="00E0219E">
      <w:pPr>
        <w:spacing w:after="0" w:line="240" w:lineRule="auto"/>
        <w:rPr>
          <w:rFonts w:eastAsia="Arial" w:cs="Arial"/>
          <w:sz w:val="20"/>
          <w:szCs w:val="20"/>
        </w:rPr>
      </w:pPr>
      <w:r>
        <w:rPr>
          <w:rFonts w:eastAsia="Arial" w:cs="Arial"/>
          <w:b/>
          <w:i/>
          <w:sz w:val="20"/>
          <w:szCs w:val="20"/>
          <w:u w:val="single"/>
        </w:rPr>
        <w:t>OTHER SKILLS</w:t>
      </w:r>
    </w:p>
    <w:p w14:paraId="3D4B79E8" w14:textId="77777777" w:rsidR="007C6854" w:rsidRDefault="007C6854">
      <w:pPr>
        <w:spacing w:after="0" w:line="240" w:lineRule="auto"/>
        <w:rPr>
          <w:rFonts w:eastAsia="Arial" w:cs="Arial"/>
          <w:sz w:val="20"/>
          <w:szCs w:val="20"/>
        </w:rPr>
      </w:pPr>
    </w:p>
    <w:p w14:paraId="13907DB2" w14:textId="77777777" w:rsidR="007C6854" w:rsidRDefault="00E0219E">
      <w:pPr>
        <w:numPr>
          <w:ilvl w:val="0"/>
          <w:numId w:val="14"/>
        </w:numPr>
        <w:tabs>
          <w:tab w:val="left" w:pos="720"/>
        </w:tabs>
        <w:spacing w:after="0" w:line="240" w:lineRule="auto"/>
        <w:ind w:left="720" w:right="800" w:hanging="360"/>
        <w:rPr>
          <w:rFonts w:eastAsia="Arial" w:cs="Arial"/>
          <w:sz w:val="20"/>
          <w:szCs w:val="20"/>
        </w:rPr>
      </w:pPr>
      <w:r>
        <w:rPr>
          <w:rFonts w:eastAsia="Arial" w:cs="Arial"/>
          <w:sz w:val="20"/>
          <w:szCs w:val="20"/>
        </w:rPr>
        <w:lastRenderedPageBreak/>
        <w:t xml:space="preserve">Epidemiology Software Competency: Competent in the use of statistical software such as: EPI version 6 (Very Good); EPI INFO version 3.5.4 (Very Good); EPI INFO version 7 (Very good); EPI Data version 3.1 (Very Good); STATA (Good); SPSS (Good); </w:t>
      </w:r>
      <w:proofErr w:type="spellStart"/>
      <w:r>
        <w:rPr>
          <w:rFonts w:eastAsia="Arial" w:cs="Arial"/>
          <w:sz w:val="20"/>
          <w:szCs w:val="20"/>
        </w:rPr>
        <w:t>Medcalc</w:t>
      </w:r>
      <w:proofErr w:type="spellEnd"/>
      <w:r>
        <w:rPr>
          <w:rFonts w:eastAsia="Arial" w:cs="Arial"/>
          <w:sz w:val="20"/>
          <w:szCs w:val="20"/>
        </w:rPr>
        <w:t xml:space="preserve"> (Fair); and SOFA statistic (good). </w:t>
      </w:r>
    </w:p>
    <w:p w14:paraId="2932C2EC" w14:textId="77777777" w:rsidR="007C6854" w:rsidRDefault="007C6854">
      <w:pPr>
        <w:tabs>
          <w:tab w:val="left" w:pos="720"/>
        </w:tabs>
        <w:spacing w:after="0" w:line="240" w:lineRule="auto"/>
        <w:ind w:right="800"/>
        <w:rPr>
          <w:rFonts w:eastAsia="Arial" w:cs="Arial"/>
          <w:sz w:val="20"/>
          <w:szCs w:val="20"/>
        </w:rPr>
      </w:pPr>
    </w:p>
    <w:p w14:paraId="1B6CA67D" w14:textId="77777777" w:rsidR="007C6854" w:rsidRDefault="00E0219E">
      <w:pPr>
        <w:numPr>
          <w:ilvl w:val="0"/>
          <w:numId w:val="14"/>
        </w:numPr>
        <w:tabs>
          <w:tab w:val="left" w:pos="720"/>
        </w:tabs>
        <w:spacing w:after="0" w:line="240" w:lineRule="auto"/>
        <w:ind w:left="720" w:right="800" w:hanging="360"/>
        <w:rPr>
          <w:rFonts w:eastAsia="Arial" w:cs="Arial"/>
          <w:sz w:val="20"/>
          <w:szCs w:val="20"/>
        </w:rPr>
      </w:pPr>
      <w:r>
        <w:rPr>
          <w:rFonts w:eastAsia="Arial" w:cs="Arial"/>
          <w:sz w:val="20"/>
          <w:szCs w:val="20"/>
        </w:rPr>
        <w:t xml:space="preserve">Web-based application: Knowledgeable in utilization and deployment of </w:t>
      </w:r>
      <w:proofErr w:type="spellStart"/>
      <w:r>
        <w:rPr>
          <w:rFonts w:eastAsia="Arial" w:cs="Arial"/>
          <w:sz w:val="20"/>
          <w:szCs w:val="20"/>
        </w:rPr>
        <w:t>KoboToolBox</w:t>
      </w:r>
      <w:proofErr w:type="spellEnd"/>
      <w:r>
        <w:rPr>
          <w:rFonts w:eastAsia="Arial" w:cs="Arial"/>
          <w:sz w:val="20"/>
          <w:szCs w:val="20"/>
        </w:rPr>
        <w:t xml:space="preserve"> Form; Google Document, Google Sheet, Google Slide</w:t>
      </w:r>
    </w:p>
    <w:p w14:paraId="323BB937" w14:textId="77777777" w:rsidR="007C6854" w:rsidRDefault="007C6854">
      <w:pPr>
        <w:spacing w:after="0" w:line="240" w:lineRule="auto"/>
        <w:rPr>
          <w:rFonts w:eastAsia="Arial" w:cs="Arial"/>
          <w:sz w:val="20"/>
          <w:szCs w:val="20"/>
        </w:rPr>
      </w:pPr>
    </w:p>
    <w:p w14:paraId="383D4879" w14:textId="77777777" w:rsidR="007C6854" w:rsidRDefault="00E0219E">
      <w:pPr>
        <w:numPr>
          <w:ilvl w:val="0"/>
          <w:numId w:val="14"/>
        </w:numPr>
        <w:tabs>
          <w:tab w:val="left" w:pos="720"/>
        </w:tabs>
        <w:spacing w:after="0" w:line="240" w:lineRule="auto"/>
        <w:ind w:left="720" w:right="1180" w:hanging="360"/>
        <w:jc w:val="both"/>
        <w:rPr>
          <w:rFonts w:eastAsia="Arial" w:cs="Arial"/>
          <w:sz w:val="20"/>
          <w:szCs w:val="20"/>
        </w:rPr>
      </w:pPr>
      <w:r>
        <w:rPr>
          <w:rFonts w:eastAsia="Arial" w:cs="Arial"/>
          <w:sz w:val="20"/>
          <w:szCs w:val="20"/>
        </w:rPr>
        <w:t xml:space="preserve">Computer literacy – Efficient in Microsoft Office especially on Microsoft Word (User), Excel (User and Developer) and </w:t>
      </w:r>
      <w:proofErr w:type="spellStart"/>
      <w:r>
        <w:rPr>
          <w:rFonts w:eastAsia="Arial" w:cs="Arial"/>
          <w:sz w:val="20"/>
          <w:szCs w:val="20"/>
        </w:rPr>
        <w:t>Powerpoint</w:t>
      </w:r>
      <w:proofErr w:type="spellEnd"/>
      <w:r>
        <w:rPr>
          <w:rFonts w:eastAsia="Arial" w:cs="Arial"/>
          <w:sz w:val="20"/>
          <w:szCs w:val="20"/>
        </w:rPr>
        <w:t xml:space="preserve"> (User); knowledgeable in Microsoft Publisher (User) and Access (User and Developer)</w:t>
      </w:r>
    </w:p>
    <w:p w14:paraId="22122D77" w14:textId="77777777" w:rsidR="007C6854" w:rsidRDefault="007C6854">
      <w:pPr>
        <w:spacing w:after="0" w:line="240" w:lineRule="auto"/>
        <w:rPr>
          <w:rFonts w:eastAsia="Arial" w:cs="Arial"/>
          <w:sz w:val="20"/>
          <w:szCs w:val="20"/>
        </w:rPr>
      </w:pPr>
    </w:p>
    <w:p w14:paraId="2E66EA19" w14:textId="77777777" w:rsidR="007C6854" w:rsidRDefault="007C6854">
      <w:pPr>
        <w:spacing w:line="253" w:lineRule="auto"/>
        <w:rPr>
          <w:rFonts w:eastAsia="Arial" w:cs="Arial"/>
          <w:sz w:val="20"/>
          <w:szCs w:val="20"/>
        </w:rPr>
      </w:pPr>
    </w:p>
    <w:p w14:paraId="3D2F9FF1" w14:textId="77777777" w:rsidR="007C6854" w:rsidRDefault="00E0219E">
      <w:pPr>
        <w:spacing w:after="0" w:line="240" w:lineRule="auto"/>
        <w:rPr>
          <w:rFonts w:eastAsia="Arial" w:cs="Arial"/>
          <w:sz w:val="20"/>
          <w:szCs w:val="20"/>
        </w:rPr>
      </w:pPr>
      <w:r>
        <w:rPr>
          <w:rFonts w:eastAsia="Arial" w:cs="Arial"/>
          <w:b/>
          <w:i/>
          <w:sz w:val="20"/>
          <w:szCs w:val="20"/>
          <w:u w:val="single"/>
        </w:rPr>
        <w:t>PERSONAL BACKGROUND:</w:t>
      </w:r>
    </w:p>
    <w:p w14:paraId="6717B8BD" w14:textId="77777777" w:rsidR="007C6854" w:rsidRDefault="007C6854">
      <w:pPr>
        <w:spacing w:after="0" w:line="240" w:lineRule="auto"/>
        <w:rPr>
          <w:rFonts w:eastAsia="Arial" w:cs="Arial"/>
          <w:sz w:val="20"/>
          <w:szCs w:val="20"/>
        </w:rPr>
      </w:pPr>
    </w:p>
    <w:p w14:paraId="141722D9" w14:textId="77777777" w:rsidR="007C6854" w:rsidRDefault="00E0219E">
      <w:pPr>
        <w:spacing w:after="0" w:line="240" w:lineRule="auto"/>
        <w:ind w:right="1060"/>
        <w:rPr>
          <w:rFonts w:eastAsia="Arial" w:cs="Arial"/>
          <w:sz w:val="20"/>
          <w:szCs w:val="20"/>
        </w:rPr>
      </w:pPr>
      <w:r>
        <w:rPr>
          <w:rFonts w:eastAsia="Arial" w:cs="Arial"/>
          <w:sz w:val="20"/>
          <w:szCs w:val="20"/>
        </w:rPr>
        <w:t xml:space="preserve">Born on March 16, 1974. Baptized and raised in Catholic faith and later on converted to a Bible believing Christian. Married to </w:t>
      </w:r>
      <w:proofErr w:type="spellStart"/>
      <w:r>
        <w:rPr>
          <w:rFonts w:eastAsia="Arial" w:cs="Arial"/>
          <w:sz w:val="20"/>
          <w:szCs w:val="20"/>
        </w:rPr>
        <w:t>Alona</w:t>
      </w:r>
      <w:proofErr w:type="spellEnd"/>
      <w:r>
        <w:rPr>
          <w:rFonts w:eastAsia="Arial" w:cs="Arial"/>
          <w:sz w:val="20"/>
          <w:szCs w:val="20"/>
        </w:rPr>
        <w:t xml:space="preserve"> Meneses Angeles-Martinez; with 2 children named Phoebe A. Martinez and Nathanael A. Martinez. Phoebe was born on May 3, 2001 and Nathan his nickname was born on December 9, 2003.</w:t>
      </w:r>
    </w:p>
    <w:p w14:paraId="56A09FCB" w14:textId="77777777" w:rsidR="007C6854" w:rsidRDefault="007C6854">
      <w:pPr>
        <w:spacing w:after="0" w:line="240" w:lineRule="auto"/>
        <w:rPr>
          <w:rFonts w:eastAsia="Arial" w:cs="Arial"/>
          <w:sz w:val="20"/>
          <w:szCs w:val="20"/>
        </w:rPr>
      </w:pPr>
    </w:p>
    <w:p w14:paraId="6B1F1B17" w14:textId="77777777" w:rsidR="007C6854" w:rsidRDefault="00E0219E">
      <w:pPr>
        <w:spacing w:after="0" w:line="240" w:lineRule="auto"/>
        <w:ind w:right="1000"/>
        <w:rPr>
          <w:rFonts w:eastAsia="Arial" w:cs="Arial"/>
          <w:sz w:val="20"/>
          <w:szCs w:val="20"/>
        </w:rPr>
      </w:pPr>
      <w:r>
        <w:rPr>
          <w:rFonts w:eastAsia="Arial" w:cs="Arial"/>
          <w:sz w:val="20"/>
          <w:szCs w:val="20"/>
        </w:rPr>
        <w:t xml:space="preserve">My parents were both public school teachers. My father’s name was Maximiano Mendoza Martinez, a native of Talisay, </w:t>
      </w:r>
      <w:proofErr w:type="spellStart"/>
      <w:r>
        <w:rPr>
          <w:rFonts w:eastAsia="Arial" w:cs="Arial"/>
          <w:sz w:val="20"/>
          <w:szCs w:val="20"/>
        </w:rPr>
        <w:t>Batangay</w:t>
      </w:r>
      <w:proofErr w:type="spellEnd"/>
      <w:r>
        <w:rPr>
          <w:rFonts w:eastAsia="Arial" w:cs="Arial"/>
          <w:sz w:val="20"/>
          <w:szCs w:val="20"/>
        </w:rPr>
        <w:t xml:space="preserve"> (Deceased; June 5, 2014). My mother’s name is Maxima Samson Capco-Martinez, a native of Pateros, Rizal. She’s in her 80’s and strong.</w:t>
      </w:r>
    </w:p>
    <w:p w14:paraId="235F3439" w14:textId="77777777" w:rsidR="007C6854" w:rsidRDefault="007C6854">
      <w:pPr>
        <w:spacing w:line="263" w:lineRule="auto"/>
        <w:rPr>
          <w:rFonts w:eastAsia="Arial" w:cs="Arial"/>
          <w:sz w:val="20"/>
          <w:szCs w:val="20"/>
        </w:rPr>
      </w:pPr>
    </w:p>
    <w:p w14:paraId="166333B8" w14:textId="77777777" w:rsidR="007C6854" w:rsidRDefault="007C6854">
      <w:pPr>
        <w:rPr>
          <w:rFonts w:eastAsia="Arial" w:cs="Arial"/>
          <w:b/>
          <w:i/>
          <w:sz w:val="20"/>
          <w:szCs w:val="20"/>
          <w:u w:val="single"/>
        </w:rPr>
      </w:pPr>
    </w:p>
    <w:p w14:paraId="76C3D87B" w14:textId="77777777" w:rsidR="007C6854" w:rsidRDefault="00E0219E">
      <w:pPr>
        <w:rPr>
          <w:rFonts w:eastAsia="Arial" w:cs="Arial"/>
          <w:b/>
          <w:i/>
          <w:sz w:val="20"/>
          <w:szCs w:val="20"/>
          <w:u w:val="single"/>
        </w:rPr>
      </w:pPr>
      <w:r>
        <w:br w:type="page"/>
      </w:r>
    </w:p>
    <w:p w14:paraId="5254E131" w14:textId="77777777" w:rsidR="007C6854" w:rsidRDefault="00E0219E">
      <w:pPr>
        <w:spacing w:after="0" w:line="240" w:lineRule="auto"/>
        <w:rPr>
          <w:rFonts w:eastAsia="Arial" w:cs="Arial"/>
          <w:sz w:val="20"/>
          <w:szCs w:val="20"/>
        </w:rPr>
      </w:pPr>
      <w:r>
        <w:rPr>
          <w:rFonts w:eastAsia="Arial" w:cs="Arial"/>
          <w:b/>
          <w:i/>
          <w:sz w:val="20"/>
          <w:szCs w:val="20"/>
          <w:u w:val="single"/>
        </w:rPr>
        <w:lastRenderedPageBreak/>
        <w:t>PROFESSIONAL REFERENCES</w:t>
      </w:r>
    </w:p>
    <w:p w14:paraId="1D4FEE0B" w14:textId="77777777" w:rsidR="007C6854" w:rsidRDefault="007C6854">
      <w:pPr>
        <w:spacing w:after="0" w:line="240" w:lineRule="auto"/>
        <w:rPr>
          <w:rFonts w:eastAsia="Arial" w:cs="Arial"/>
          <w:sz w:val="20"/>
          <w:szCs w:val="20"/>
        </w:rPr>
      </w:pPr>
    </w:p>
    <w:p w14:paraId="1E6BDC49" w14:textId="77777777" w:rsidR="007C6854" w:rsidRDefault="00E0219E">
      <w:pPr>
        <w:spacing w:after="0" w:line="240" w:lineRule="auto"/>
        <w:ind w:left="720"/>
        <w:rPr>
          <w:rFonts w:eastAsia="Arial" w:cs="Arial"/>
          <w:sz w:val="20"/>
          <w:szCs w:val="20"/>
        </w:rPr>
      </w:pPr>
      <w:r>
        <w:rPr>
          <w:rFonts w:eastAsia="Arial" w:cs="Arial"/>
          <w:b/>
          <w:sz w:val="20"/>
          <w:szCs w:val="20"/>
        </w:rPr>
        <w:t>Dr. Agnes Segarra, PHSAE</w:t>
      </w:r>
      <w:r>
        <w:rPr>
          <w:rFonts w:eastAsia="Arial" w:cs="Arial"/>
          <w:sz w:val="20"/>
          <w:szCs w:val="20"/>
        </w:rPr>
        <w:t xml:space="preserve"> – Division Chief, Applied Epidemiology Health Management Division, Department of Health Epidemiology Bureau. Cellphone #: +63 922 8252918</w:t>
      </w:r>
    </w:p>
    <w:p w14:paraId="2AEEB084" w14:textId="77777777" w:rsidR="007C6854" w:rsidRDefault="00E0219E">
      <w:pPr>
        <w:spacing w:after="0" w:line="240" w:lineRule="auto"/>
        <w:ind w:left="720"/>
        <w:rPr>
          <w:rFonts w:eastAsia="Arial" w:cs="Arial"/>
          <w:sz w:val="20"/>
          <w:szCs w:val="20"/>
        </w:rPr>
      </w:pPr>
      <w:r>
        <w:rPr>
          <w:rFonts w:eastAsia="Arial" w:cs="Arial"/>
          <w:sz w:val="20"/>
          <w:szCs w:val="20"/>
        </w:rPr>
        <w:t xml:space="preserve"> </w:t>
      </w:r>
    </w:p>
    <w:p w14:paraId="21F6832F" w14:textId="77777777" w:rsidR="007C6854" w:rsidRDefault="00E0219E">
      <w:pPr>
        <w:spacing w:after="0" w:line="240" w:lineRule="auto"/>
        <w:ind w:left="720"/>
        <w:rPr>
          <w:rFonts w:eastAsia="Arial" w:cs="Arial"/>
          <w:sz w:val="20"/>
          <w:szCs w:val="20"/>
        </w:rPr>
      </w:pPr>
      <w:r>
        <w:rPr>
          <w:rFonts w:eastAsia="Arial" w:cs="Arial"/>
          <w:b/>
          <w:sz w:val="20"/>
          <w:szCs w:val="20"/>
        </w:rPr>
        <w:t xml:space="preserve">Dr. John </w:t>
      </w:r>
      <w:proofErr w:type="spellStart"/>
      <w:r>
        <w:rPr>
          <w:rFonts w:eastAsia="Arial" w:cs="Arial"/>
          <w:b/>
          <w:sz w:val="20"/>
          <w:szCs w:val="20"/>
        </w:rPr>
        <w:t>Juliard</w:t>
      </w:r>
      <w:proofErr w:type="spellEnd"/>
      <w:r>
        <w:rPr>
          <w:rFonts w:eastAsia="Arial" w:cs="Arial"/>
          <w:b/>
          <w:sz w:val="20"/>
          <w:szCs w:val="20"/>
        </w:rPr>
        <w:t xml:space="preserve"> Go, MPH </w:t>
      </w:r>
      <w:r>
        <w:rPr>
          <w:rFonts w:eastAsia="Arial" w:cs="Arial"/>
          <w:sz w:val="20"/>
          <w:szCs w:val="20"/>
        </w:rPr>
        <w:t>–</w:t>
      </w:r>
      <w:r>
        <w:rPr>
          <w:rFonts w:eastAsia="Arial" w:cs="Arial"/>
          <w:b/>
          <w:sz w:val="20"/>
          <w:szCs w:val="20"/>
        </w:rPr>
        <w:t xml:space="preserve"> </w:t>
      </w:r>
      <w:r>
        <w:rPr>
          <w:rFonts w:eastAsia="Arial" w:cs="Arial"/>
          <w:sz w:val="20"/>
          <w:szCs w:val="20"/>
        </w:rPr>
        <w:t>National Professional Officer; World Health Organization.</w:t>
      </w:r>
    </w:p>
    <w:p w14:paraId="091363A4" w14:textId="77777777" w:rsidR="007C6854" w:rsidRDefault="00E0219E">
      <w:pPr>
        <w:spacing w:after="0" w:line="240" w:lineRule="auto"/>
        <w:ind w:left="720"/>
        <w:rPr>
          <w:rFonts w:eastAsia="Arial" w:cs="Arial"/>
          <w:sz w:val="20"/>
          <w:szCs w:val="20"/>
        </w:rPr>
      </w:pPr>
      <w:r>
        <w:rPr>
          <w:rFonts w:eastAsia="Arial" w:cs="Arial"/>
          <w:sz w:val="20"/>
          <w:szCs w:val="20"/>
        </w:rPr>
        <w:t>Cellphone #: +63 908 868 6379 Email add: goj@who.int</w:t>
      </w:r>
    </w:p>
    <w:p w14:paraId="47E23B95" w14:textId="77777777" w:rsidR="007C6854" w:rsidRDefault="007C6854">
      <w:pPr>
        <w:spacing w:after="0" w:line="240" w:lineRule="auto"/>
        <w:ind w:right="2480"/>
        <w:rPr>
          <w:rFonts w:eastAsia="Arial" w:cs="Arial"/>
          <w:sz w:val="20"/>
          <w:szCs w:val="20"/>
        </w:rPr>
      </w:pPr>
    </w:p>
    <w:p w14:paraId="4D149506" w14:textId="77777777" w:rsidR="007C6854" w:rsidRDefault="00E0219E">
      <w:pPr>
        <w:spacing w:after="0" w:line="240" w:lineRule="auto"/>
        <w:ind w:left="720" w:right="2480"/>
        <w:rPr>
          <w:rFonts w:eastAsia="Arial" w:cs="Arial"/>
          <w:sz w:val="20"/>
          <w:szCs w:val="20"/>
        </w:rPr>
      </w:pPr>
      <w:r>
        <w:rPr>
          <w:rFonts w:eastAsia="Arial" w:cs="Arial"/>
          <w:b/>
          <w:sz w:val="20"/>
          <w:szCs w:val="20"/>
        </w:rPr>
        <w:t xml:space="preserve">Dr Mary Elizabeth Miranda, PHSAE </w:t>
      </w:r>
      <w:r>
        <w:rPr>
          <w:rFonts w:eastAsia="Arial" w:cs="Arial"/>
          <w:sz w:val="20"/>
          <w:szCs w:val="20"/>
        </w:rPr>
        <w:t>- CEO, Field Epidemiology Training Program Alumni</w:t>
      </w:r>
      <w:r>
        <w:rPr>
          <w:rFonts w:eastAsia="Arial" w:cs="Arial"/>
          <w:b/>
          <w:sz w:val="20"/>
          <w:szCs w:val="20"/>
        </w:rPr>
        <w:t xml:space="preserve"> </w:t>
      </w:r>
      <w:r>
        <w:rPr>
          <w:rFonts w:eastAsia="Arial" w:cs="Arial"/>
          <w:sz w:val="20"/>
          <w:szCs w:val="20"/>
        </w:rPr>
        <w:t>Association, Inc. Contact Number: +63 22812465 Email add: megmiranda@fetpafi.org</w:t>
      </w:r>
    </w:p>
    <w:p w14:paraId="29A5F57A" w14:textId="77777777" w:rsidR="007C6854" w:rsidRDefault="007C6854">
      <w:pPr>
        <w:spacing w:after="0" w:line="240" w:lineRule="auto"/>
        <w:rPr>
          <w:rFonts w:eastAsia="Arial" w:cs="Arial"/>
          <w:sz w:val="20"/>
          <w:szCs w:val="20"/>
        </w:rPr>
      </w:pPr>
    </w:p>
    <w:p w14:paraId="5EC70B2E" w14:textId="77777777" w:rsidR="007C6854" w:rsidRDefault="00E0219E">
      <w:pPr>
        <w:spacing w:after="0" w:line="240" w:lineRule="auto"/>
        <w:ind w:left="720"/>
        <w:rPr>
          <w:rFonts w:eastAsia="Arial" w:cs="Arial"/>
          <w:b/>
          <w:sz w:val="20"/>
          <w:szCs w:val="20"/>
        </w:rPr>
      </w:pPr>
      <w:r>
        <w:rPr>
          <w:rFonts w:eastAsia="Arial" w:cs="Arial"/>
          <w:b/>
          <w:sz w:val="20"/>
          <w:szCs w:val="20"/>
        </w:rPr>
        <w:t xml:space="preserve">Dr. Manuel C. </w:t>
      </w:r>
      <w:proofErr w:type="spellStart"/>
      <w:r>
        <w:rPr>
          <w:rFonts w:eastAsia="Arial" w:cs="Arial"/>
          <w:b/>
          <w:sz w:val="20"/>
          <w:szCs w:val="20"/>
        </w:rPr>
        <w:t>Mapue</w:t>
      </w:r>
      <w:proofErr w:type="spellEnd"/>
      <w:r>
        <w:rPr>
          <w:rFonts w:eastAsia="Arial" w:cs="Arial"/>
          <w:b/>
          <w:sz w:val="20"/>
          <w:szCs w:val="20"/>
        </w:rPr>
        <w:t xml:space="preserve"> II, RMT, MD, CFP, PHSAE</w:t>
      </w:r>
    </w:p>
    <w:p w14:paraId="1504D6F4" w14:textId="77777777" w:rsidR="007C6854" w:rsidRDefault="00E0219E">
      <w:pPr>
        <w:spacing w:after="0" w:line="240" w:lineRule="auto"/>
        <w:ind w:left="720"/>
        <w:rPr>
          <w:rFonts w:eastAsia="Arial" w:cs="Arial"/>
          <w:sz w:val="20"/>
          <w:szCs w:val="20"/>
        </w:rPr>
      </w:pPr>
      <w:r>
        <w:rPr>
          <w:rFonts w:eastAsia="Arial" w:cs="Arial"/>
          <w:sz w:val="20"/>
          <w:szCs w:val="20"/>
        </w:rPr>
        <w:t>Head, Regional Epidemiology and Surveillance Unit</w:t>
      </w:r>
    </w:p>
    <w:p w14:paraId="75B7100D" w14:textId="77777777" w:rsidR="007C6854" w:rsidRDefault="00E0219E">
      <w:pPr>
        <w:spacing w:after="0" w:line="240" w:lineRule="auto"/>
        <w:ind w:left="720"/>
        <w:rPr>
          <w:rFonts w:eastAsia="Arial" w:cs="Arial"/>
          <w:sz w:val="20"/>
          <w:szCs w:val="20"/>
        </w:rPr>
      </w:pPr>
      <w:r>
        <w:rPr>
          <w:rFonts w:eastAsia="Arial" w:cs="Arial"/>
          <w:sz w:val="20"/>
          <w:szCs w:val="20"/>
        </w:rPr>
        <w:t>Metro Manila Center for Health Development</w:t>
      </w:r>
    </w:p>
    <w:p w14:paraId="0AEFB285" w14:textId="77777777" w:rsidR="007C6854" w:rsidRDefault="007C6854">
      <w:pPr>
        <w:spacing w:after="0" w:line="240" w:lineRule="auto"/>
        <w:ind w:left="720"/>
        <w:rPr>
          <w:rFonts w:eastAsia="Arial" w:cs="Arial"/>
          <w:sz w:val="20"/>
          <w:szCs w:val="20"/>
        </w:rPr>
      </w:pPr>
    </w:p>
    <w:p w14:paraId="28A04C18" w14:textId="77777777" w:rsidR="007C6854" w:rsidRDefault="00E0219E">
      <w:pPr>
        <w:spacing w:after="0" w:line="240" w:lineRule="auto"/>
        <w:ind w:left="720" w:right="1100"/>
        <w:rPr>
          <w:rFonts w:eastAsia="Arial" w:cs="Arial"/>
          <w:sz w:val="20"/>
          <w:szCs w:val="20"/>
        </w:rPr>
      </w:pPr>
      <w:r>
        <w:rPr>
          <w:rFonts w:eastAsia="Arial" w:cs="Arial"/>
          <w:b/>
          <w:sz w:val="20"/>
          <w:szCs w:val="20"/>
        </w:rPr>
        <w:t xml:space="preserve">Dr. Rolando V. Cruz, PHSAE </w:t>
      </w:r>
      <w:r>
        <w:rPr>
          <w:rFonts w:eastAsia="Arial" w:cs="Arial"/>
          <w:sz w:val="20"/>
          <w:szCs w:val="20"/>
        </w:rPr>
        <w:t>- City Epidemiologist</w:t>
      </w:r>
      <w:r>
        <w:rPr>
          <w:rFonts w:eastAsia="Arial" w:cs="Arial"/>
          <w:b/>
          <w:sz w:val="20"/>
          <w:szCs w:val="20"/>
        </w:rPr>
        <w:t xml:space="preserve">; </w:t>
      </w:r>
      <w:r>
        <w:rPr>
          <w:rFonts w:eastAsia="Arial" w:cs="Arial"/>
          <w:sz w:val="20"/>
          <w:szCs w:val="20"/>
        </w:rPr>
        <w:t>Local Government of Quezon</w:t>
      </w:r>
      <w:r>
        <w:rPr>
          <w:rFonts w:eastAsia="Arial" w:cs="Arial"/>
          <w:b/>
          <w:sz w:val="20"/>
          <w:szCs w:val="20"/>
        </w:rPr>
        <w:t xml:space="preserve"> </w:t>
      </w:r>
      <w:r>
        <w:rPr>
          <w:rFonts w:eastAsia="Arial" w:cs="Arial"/>
          <w:sz w:val="20"/>
          <w:szCs w:val="20"/>
        </w:rPr>
        <w:t>City; Mobile #: +63 917 773 1563</w:t>
      </w:r>
    </w:p>
    <w:p w14:paraId="2893FBE7" w14:textId="77777777" w:rsidR="007C6854" w:rsidRDefault="007C6854">
      <w:pPr>
        <w:spacing w:line="200" w:lineRule="auto"/>
        <w:rPr>
          <w:rFonts w:eastAsia="Arial" w:cs="Arial"/>
          <w:sz w:val="20"/>
          <w:szCs w:val="20"/>
        </w:rPr>
      </w:pPr>
    </w:p>
    <w:p w14:paraId="503395D3" w14:textId="77777777" w:rsidR="007C6854" w:rsidRDefault="007C6854">
      <w:pPr>
        <w:spacing w:line="200" w:lineRule="auto"/>
        <w:rPr>
          <w:rFonts w:eastAsia="Arial" w:cs="Arial"/>
          <w:sz w:val="20"/>
          <w:szCs w:val="20"/>
        </w:rPr>
      </w:pPr>
    </w:p>
    <w:p w14:paraId="66078F60" w14:textId="77777777" w:rsidR="007C6854" w:rsidRDefault="007C6854">
      <w:pPr>
        <w:spacing w:line="398" w:lineRule="auto"/>
        <w:rPr>
          <w:rFonts w:eastAsia="Arial" w:cs="Arial"/>
          <w:sz w:val="20"/>
          <w:szCs w:val="20"/>
        </w:rPr>
      </w:pPr>
    </w:p>
    <w:p w14:paraId="4B1439E7" w14:textId="77777777" w:rsidR="007C6854" w:rsidRDefault="00E0219E">
      <w:pPr>
        <w:rPr>
          <w:rFonts w:eastAsia="Arial" w:cs="Arial"/>
          <w:sz w:val="20"/>
          <w:szCs w:val="20"/>
        </w:rPr>
      </w:pPr>
      <w:r>
        <w:rPr>
          <w:rFonts w:eastAsia="Arial" w:cs="Arial"/>
          <w:sz w:val="16"/>
          <w:szCs w:val="16"/>
        </w:rPr>
        <w:t>resume//Rammell.doc</w:t>
      </w:r>
    </w:p>
    <w:p w14:paraId="61FE3F90" w14:textId="77777777" w:rsidR="007C6854" w:rsidRDefault="00E0219E">
      <w:pPr>
        <w:spacing w:after="160" w:line="259" w:lineRule="auto"/>
        <w:rPr>
          <w:rFonts w:eastAsia="Arial" w:cs="Arial"/>
          <w:szCs w:val="24"/>
        </w:rPr>
      </w:pPr>
      <w:r>
        <w:br w:type="page"/>
      </w:r>
    </w:p>
    <w:p w14:paraId="71D95FAF" w14:textId="77777777" w:rsidR="007C6854" w:rsidRDefault="00E0219E">
      <w:pPr>
        <w:pStyle w:val="Heading2"/>
        <w:jc w:val="center"/>
        <w:rPr>
          <w:rFonts w:eastAsia="Arial" w:cs="Arial"/>
          <w:sz w:val="24"/>
          <w:szCs w:val="24"/>
        </w:rPr>
      </w:pPr>
      <w:bookmarkStart w:id="73" w:name="_heading=h.34g0dwd" w:colFirst="0" w:colLast="0"/>
      <w:bookmarkEnd w:id="73"/>
      <w:r>
        <w:rPr>
          <w:rFonts w:eastAsia="Arial" w:cs="Arial"/>
          <w:color w:val="000000"/>
          <w:sz w:val="24"/>
          <w:szCs w:val="24"/>
        </w:rPr>
        <w:lastRenderedPageBreak/>
        <w:t xml:space="preserve">Appendix B: </w:t>
      </w:r>
      <w:r>
        <w:rPr>
          <w:rFonts w:eastAsia="Arial" w:cs="Arial"/>
          <w:sz w:val="24"/>
          <w:szCs w:val="24"/>
        </w:rPr>
        <w:t>UPOU-IREC Certificate of Approval</w:t>
      </w:r>
    </w:p>
    <w:p w14:paraId="3B38BDC0" w14:textId="77777777" w:rsidR="007C6854" w:rsidRDefault="007C6854"/>
    <w:p w14:paraId="0AD44E4A" w14:textId="77777777" w:rsidR="007C6854" w:rsidRDefault="00E0219E">
      <w:pPr>
        <w:pBdr>
          <w:top w:val="nil"/>
          <w:left w:val="nil"/>
          <w:bottom w:val="nil"/>
          <w:right w:val="nil"/>
          <w:between w:val="nil"/>
        </w:pBdr>
        <w:spacing w:after="160" w:line="360" w:lineRule="auto"/>
        <w:jc w:val="center"/>
        <w:rPr>
          <w:rFonts w:eastAsia="Arial" w:cs="Arial"/>
          <w:b/>
          <w:szCs w:val="24"/>
        </w:rPr>
      </w:pPr>
      <w:r>
        <w:rPr>
          <w:rFonts w:eastAsia="Arial" w:cs="Arial"/>
          <w:b/>
          <w:noProof/>
          <w:szCs w:val="24"/>
        </w:rPr>
        <w:drawing>
          <wp:inline distT="114300" distB="114300" distL="114300" distR="114300" wp14:anchorId="739DE1EF" wp14:editId="0AF18A95">
            <wp:extent cx="2905125" cy="3769382"/>
            <wp:effectExtent l="0" t="0" r="0" b="0"/>
            <wp:docPr id="69"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24"/>
                    <a:srcRect b="50619"/>
                    <a:stretch>
                      <a:fillRect/>
                    </a:stretch>
                  </pic:blipFill>
                  <pic:spPr>
                    <a:xfrm>
                      <a:off x="0" y="0"/>
                      <a:ext cx="2905125" cy="3769382"/>
                    </a:xfrm>
                    <a:prstGeom prst="rect">
                      <a:avLst/>
                    </a:prstGeom>
                    <a:ln/>
                  </pic:spPr>
                </pic:pic>
              </a:graphicData>
            </a:graphic>
          </wp:inline>
        </w:drawing>
      </w:r>
      <w:r>
        <w:rPr>
          <w:rFonts w:eastAsia="Arial" w:cs="Arial"/>
          <w:b/>
          <w:noProof/>
          <w:szCs w:val="24"/>
        </w:rPr>
        <w:drawing>
          <wp:inline distT="114300" distB="114300" distL="114300" distR="114300" wp14:anchorId="6F5E3A3C" wp14:editId="0CED1446">
            <wp:extent cx="3316102" cy="3635177"/>
            <wp:effectExtent l="0" t="0" r="0" b="0"/>
            <wp:docPr id="7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24"/>
                    <a:srcRect t="58359"/>
                    <a:stretch>
                      <a:fillRect/>
                    </a:stretch>
                  </pic:blipFill>
                  <pic:spPr>
                    <a:xfrm>
                      <a:off x="0" y="0"/>
                      <a:ext cx="3316102" cy="3635177"/>
                    </a:xfrm>
                    <a:prstGeom prst="rect">
                      <a:avLst/>
                    </a:prstGeom>
                    <a:ln/>
                  </pic:spPr>
                </pic:pic>
              </a:graphicData>
            </a:graphic>
          </wp:inline>
        </w:drawing>
      </w:r>
      <w:r>
        <w:rPr>
          <w:rFonts w:eastAsia="Arial" w:cs="Arial"/>
          <w:b/>
          <w:szCs w:val="24"/>
        </w:rPr>
        <w:t>*</w:t>
      </w:r>
    </w:p>
    <w:p w14:paraId="0DCC10B4" w14:textId="77777777" w:rsidR="007C6854" w:rsidRDefault="00E0219E">
      <w:pPr>
        <w:pStyle w:val="Heading2"/>
        <w:jc w:val="center"/>
        <w:rPr>
          <w:rFonts w:eastAsia="Arial" w:cs="Arial"/>
          <w:sz w:val="24"/>
          <w:szCs w:val="24"/>
        </w:rPr>
      </w:pPr>
      <w:bookmarkStart w:id="74" w:name="_heading=h.1jlao46" w:colFirst="0" w:colLast="0"/>
      <w:bookmarkEnd w:id="74"/>
      <w:r>
        <w:rPr>
          <w:rFonts w:eastAsia="Arial" w:cs="Arial"/>
          <w:sz w:val="24"/>
          <w:szCs w:val="24"/>
        </w:rPr>
        <w:lastRenderedPageBreak/>
        <w:t>Appendix C. Memorandum of Understanding between the researcher and the Barangay Health Center</w:t>
      </w:r>
    </w:p>
    <w:p w14:paraId="68A9761F" w14:textId="77777777" w:rsidR="007C6854" w:rsidRDefault="00E0219E">
      <w:pPr>
        <w:pBdr>
          <w:top w:val="nil"/>
          <w:left w:val="nil"/>
          <w:bottom w:val="nil"/>
          <w:right w:val="nil"/>
          <w:between w:val="nil"/>
        </w:pBdr>
        <w:spacing w:after="160" w:line="360" w:lineRule="auto"/>
        <w:rPr>
          <w:rFonts w:eastAsia="Arial" w:cs="Arial"/>
          <w:color w:val="000000"/>
          <w:szCs w:val="24"/>
        </w:rPr>
      </w:pPr>
      <w:r>
        <w:rPr>
          <w:rFonts w:eastAsia="Arial" w:cs="Arial"/>
          <w:noProof/>
        </w:rPr>
        <w:drawing>
          <wp:inline distT="0" distB="0" distL="0" distR="0" wp14:anchorId="7E2F7A4C" wp14:editId="7E73B0A3">
            <wp:extent cx="5274310" cy="7526655"/>
            <wp:effectExtent l="0" t="0" r="0" b="0"/>
            <wp:docPr id="70" name="image9.jpg" descr="No description available."/>
            <wp:cNvGraphicFramePr/>
            <a:graphic xmlns:a="http://schemas.openxmlformats.org/drawingml/2006/main">
              <a:graphicData uri="http://schemas.openxmlformats.org/drawingml/2006/picture">
                <pic:pic xmlns:pic="http://schemas.openxmlformats.org/drawingml/2006/picture">
                  <pic:nvPicPr>
                    <pic:cNvPr id="0" name="image9.jpg" descr="No description available."/>
                    <pic:cNvPicPr preferRelativeResize="0"/>
                  </pic:nvPicPr>
                  <pic:blipFill>
                    <a:blip r:embed="rId225"/>
                    <a:srcRect/>
                    <a:stretch>
                      <a:fillRect/>
                    </a:stretch>
                  </pic:blipFill>
                  <pic:spPr>
                    <a:xfrm>
                      <a:off x="0" y="0"/>
                      <a:ext cx="5274310" cy="7526655"/>
                    </a:xfrm>
                    <a:prstGeom prst="rect">
                      <a:avLst/>
                    </a:prstGeom>
                    <a:ln/>
                  </pic:spPr>
                </pic:pic>
              </a:graphicData>
            </a:graphic>
          </wp:inline>
        </w:drawing>
      </w:r>
    </w:p>
    <w:p w14:paraId="48256DF6" w14:textId="77777777" w:rsidR="007C6854" w:rsidRDefault="00E0219E">
      <w:pPr>
        <w:spacing w:after="160" w:line="259" w:lineRule="auto"/>
        <w:rPr>
          <w:rFonts w:eastAsia="Arial" w:cs="Arial"/>
          <w:b/>
          <w:color w:val="000000"/>
          <w:szCs w:val="24"/>
        </w:rPr>
      </w:pPr>
      <w:r>
        <w:rPr>
          <w:rFonts w:eastAsia="Arial" w:cs="Arial"/>
          <w:noProof/>
        </w:rPr>
        <w:lastRenderedPageBreak/>
        <w:drawing>
          <wp:inline distT="0" distB="0" distL="0" distR="0" wp14:anchorId="374C674F" wp14:editId="0924128D">
            <wp:extent cx="5274310" cy="7456805"/>
            <wp:effectExtent l="0" t="0" r="0" b="0"/>
            <wp:docPr id="74" name="image11.jpg" descr="No description available."/>
            <wp:cNvGraphicFramePr/>
            <a:graphic xmlns:a="http://schemas.openxmlformats.org/drawingml/2006/main">
              <a:graphicData uri="http://schemas.openxmlformats.org/drawingml/2006/picture">
                <pic:pic xmlns:pic="http://schemas.openxmlformats.org/drawingml/2006/picture">
                  <pic:nvPicPr>
                    <pic:cNvPr id="0" name="image11.jpg" descr="No description available."/>
                    <pic:cNvPicPr preferRelativeResize="0"/>
                  </pic:nvPicPr>
                  <pic:blipFill>
                    <a:blip r:embed="rId226"/>
                    <a:srcRect/>
                    <a:stretch>
                      <a:fillRect/>
                    </a:stretch>
                  </pic:blipFill>
                  <pic:spPr>
                    <a:xfrm>
                      <a:off x="0" y="0"/>
                      <a:ext cx="5274310" cy="7456805"/>
                    </a:xfrm>
                    <a:prstGeom prst="rect">
                      <a:avLst/>
                    </a:prstGeom>
                    <a:ln/>
                  </pic:spPr>
                </pic:pic>
              </a:graphicData>
            </a:graphic>
          </wp:inline>
        </w:drawing>
      </w:r>
    </w:p>
    <w:p w14:paraId="5EF84304" w14:textId="77777777" w:rsidR="007C6854" w:rsidRDefault="00E0219E">
      <w:pPr>
        <w:spacing w:after="160" w:line="259" w:lineRule="auto"/>
        <w:rPr>
          <w:rFonts w:eastAsia="Arial" w:cs="Arial"/>
          <w:b/>
          <w:color w:val="000000"/>
          <w:szCs w:val="24"/>
        </w:rPr>
      </w:pPr>
      <w:r>
        <w:rPr>
          <w:rFonts w:eastAsia="Arial" w:cs="Arial"/>
          <w:noProof/>
        </w:rPr>
        <w:lastRenderedPageBreak/>
        <w:drawing>
          <wp:inline distT="0" distB="0" distL="0" distR="0" wp14:anchorId="47E85E53" wp14:editId="38776B59">
            <wp:extent cx="5274310" cy="7110095"/>
            <wp:effectExtent l="0" t="0" r="0" b="0"/>
            <wp:docPr id="72" name="image4.jpg" descr="No description available."/>
            <wp:cNvGraphicFramePr/>
            <a:graphic xmlns:a="http://schemas.openxmlformats.org/drawingml/2006/main">
              <a:graphicData uri="http://schemas.openxmlformats.org/drawingml/2006/picture">
                <pic:pic xmlns:pic="http://schemas.openxmlformats.org/drawingml/2006/picture">
                  <pic:nvPicPr>
                    <pic:cNvPr id="0" name="image4.jpg" descr="No description available."/>
                    <pic:cNvPicPr preferRelativeResize="0"/>
                  </pic:nvPicPr>
                  <pic:blipFill>
                    <a:blip r:embed="rId227"/>
                    <a:srcRect/>
                    <a:stretch>
                      <a:fillRect/>
                    </a:stretch>
                  </pic:blipFill>
                  <pic:spPr>
                    <a:xfrm>
                      <a:off x="0" y="0"/>
                      <a:ext cx="5274310" cy="7110095"/>
                    </a:xfrm>
                    <a:prstGeom prst="rect">
                      <a:avLst/>
                    </a:prstGeom>
                    <a:ln/>
                  </pic:spPr>
                </pic:pic>
              </a:graphicData>
            </a:graphic>
          </wp:inline>
        </w:drawing>
      </w:r>
    </w:p>
    <w:p w14:paraId="752FE9AF" w14:textId="77777777" w:rsidR="007C6854" w:rsidRDefault="00E0219E">
      <w:pPr>
        <w:spacing w:after="160" w:line="259" w:lineRule="auto"/>
        <w:rPr>
          <w:rFonts w:eastAsia="Arial" w:cs="Arial"/>
          <w:b/>
          <w:color w:val="000000"/>
          <w:szCs w:val="24"/>
        </w:rPr>
      </w:pPr>
      <w:r>
        <w:rPr>
          <w:rFonts w:eastAsia="Arial" w:cs="Arial"/>
          <w:noProof/>
        </w:rPr>
        <w:lastRenderedPageBreak/>
        <w:drawing>
          <wp:inline distT="0" distB="0" distL="0" distR="0" wp14:anchorId="585DFCF6" wp14:editId="28BE5C16">
            <wp:extent cx="5274310" cy="7041515"/>
            <wp:effectExtent l="0" t="0" r="0" b="0"/>
            <wp:docPr id="73" name="image10.jpg" descr="No description available."/>
            <wp:cNvGraphicFramePr/>
            <a:graphic xmlns:a="http://schemas.openxmlformats.org/drawingml/2006/main">
              <a:graphicData uri="http://schemas.openxmlformats.org/drawingml/2006/picture">
                <pic:pic xmlns:pic="http://schemas.openxmlformats.org/drawingml/2006/picture">
                  <pic:nvPicPr>
                    <pic:cNvPr id="0" name="image10.jpg" descr="No description available."/>
                    <pic:cNvPicPr preferRelativeResize="0"/>
                  </pic:nvPicPr>
                  <pic:blipFill>
                    <a:blip r:embed="rId228"/>
                    <a:srcRect/>
                    <a:stretch>
                      <a:fillRect/>
                    </a:stretch>
                  </pic:blipFill>
                  <pic:spPr>
                    <a:xfrm>
                      <a:off x="0" y="0"/>
                      <a:ext cx="5274310" cy="7041515"/>
                    </a:xfrm>
                    <a:prstGeom prst="rect">
                      <a:avLst/>
                    </a:prstGeom>
                    <a:ln/>
                  </pic:spPr>
                </pic:pic>
              </a:graphicData>
            </a:graphic>
          </wp:inline>
        </w:drawing>
      </w:r>
    </w:p>
    <w:p w14:paraId="4A24DABB" w14:textId="77777777" w:rsidR="007C6854" w:rsidRDefault="00E0219E">
      <w:pPr>
        <w:spacing w:after="160" w:line="259" w:lineRule="auto"/>
        <w:rPr>
          <w:rFonts w:eastAsia="Arial" w:cs="Arial"/>
          <w:b/>
          <w:color w:val="000000"/>
          <w:szCs w:val="24"/>
        </w:rPr>
      </w:pPr>
      <w:r>
        <w:br w:type="page"/>
      </w:r>
    </w:p>
    <w:p w14:paraId="02E81107" w14:textId="77777777" w:rsidR="007C6854" w:rsidRDefault="00E0219E">
      <w:pPr>
        <w:pStyle w:val="Heading2"/>
        <w:jc w:val="center"/>
        <w:rPr>
          <w:rFonts w:eastAsia="Arial" w:cs="Arial"/>
          <w:sz w:val="24"/>
          <w:szCs w:val="24"/>
        </w:rPr>
      </w:pPr>
      <w:bookmarkStart w:id="75" w:name="_heading=h.43ky6rz" w:colFirst="0" w:colLast="0"/>
      <w:bookmarkEnd w:id="75"/>
      <w:r>
        <w:rPr>
          <w:rFonts w:eastAsia="Arial" w:cs="Arial"/>
          <w:sz w:val="24"/>
          <w:szCs w:val="24"/>
        </w:rPr>
        <w:lastRenderedPageBreak/>
        <w:t>Appendix D: Assessment and ICF Agreement</w:t>
      </w:r>
    </w:p>
    <w:p w14:paraId="1BE1EBE6" w14:textId="77777777" w:rsidR="007C6854" w:rsidRDefault="007C6854"/>
    <w:p w14:paraId="45238C6E" w14:textId="77777777" w:rsidR="007C6854" w:rsidRDefault="00E0219E">
      <w:pPr>
        <w:spacing w:after="160" w:line="360" w:lineRule="auto"/>
        <w:rPr>
          <w:rFonts w:eastAsia="Arial" w:cs="Arial"/>
          <w:b/>
          <w:szCs w:val="24"/>
        </w:rPr>
      </w:pPr>
      <w:r>
        <w:rPr>
          <w:rFonts w:eastAsia="Arial" w:cs="Arial"/>
          <w:b/>
          <w:szCs w:val="24"/>
        </w:rPr>
        <w:t xml:space="preserve">Informed Consent Form: </w:t>
      </w:r>
      <w:hyperlink r:id="rId229">
        <w:r>
          <w:rPr>
            <w:rFonts w:eastAsia="Arial" w:cs="Arial"/>
            <w:b/>
            <w:color w:val="1155CC"/>
            <w:szCs w:val="24"/>
            <w:u w:val="single"/>
          </w:rPr>
          <w:t>3-IH300_INFORMED CONSENT.docx</w:t>
        </w:r>
      </w:hyperlink>
    </w:p>
    <w:p w14:paraId="7FCF3970" w14:textId="77777777" w:rsidR="007C6854" w:rsidRDefault="00E0219E">
      <w:pPr>
        <w:spacing w:after="160" w:line="259" w:lineRule="auto"/>
        <w:ind w:firstLine="425"/>
        <w:rPr>
          <w:rFonts w:eastAsia="Arial" w:cs="Arial"/>
          <w:szCs w:val="24"/>
        </w:rPr>
      </w:pPr>
      <w:r>
        <w:rPr>
          <w:rFonts w:eastAsia="Arial" w:cs="Arial"/>
          <w:szCs w:val="24"/>
        </w:rPr>
        <w:t>The total number and percentage of participants assessed on COVID-19. More so, it showed how many participants were included in the survey and those who agreed voluntarily.</w:t>
      </w:r>
    </w:p>
    <w:p w14:paraId="4BDB89F4" w14:textId="77777777" w:rsidR="007C6854" w:rsidRDefault="00E0219E">
      <w:pPr>
        <w:spacing w:after="0" w:line="259" w:lineRule="auto"/>
        <w:rPr>
          <w:rFonts w:eastAsia="Arial" w:cs="Arial"/>
          <w:szCs w:val="24"/>
        </w:rPr>
      </w:pPr>
      <w:r>
        <w:rPr>
          <w:rFonts w:eastAsia="Arial" w:cs="Arial"/>
          <w:szCs w:val="24"/>
        </w:rPr>
        <w:t>COVID-19 Assessment and ICF Agreement between the Interviewer and the participants</w:t>
      </w:r>
    </w:p>
    <w:p w14:paraId="404830AE" w14:textId="77777777" w:rsidR="007C6854" w:rsidRDefault="007C6854">
      <w:pPr>
        <w:spacing w:after="0" w:line="259" w:lineRule="auto"/>
        <w:rPr>
          <w:rFonts w:eastAsia="Arial" w:cs="Arial"/>
          <w:szCs w:val="24"/>
        </w:rPr>
      </w:pPr>
    </w:p>
    <w:tbl>
      <w:tblPr>
        <w:tblStyle w:val="afffe"/>
        <w:tblW w:w="89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45"/>
        <w:gridCol w:w="2385"/>
        <w:gridCol w:w="2325"/>
      </w:tblGrid>
      <w:tr w:rsidR="007C6854" w14:paraId="454B0505" w14:textId="77777777">
        <w:tc>
          <w:tcPr>
            <w:tcW w:w="4245" w:type="dxa"/>
          </w:tcPr>
          <w:p w14:paraId="2C80514A" w14:textId="77777777" w:rsidR="007C6854" w:rsidRDefault="007C6854">
            <w:pPr>
              <w:spacing w:line="259" w:lineRule="auto"/>
              <w:jc w:val="center"/>
              <w:rPr>
                <w:rFonts w:eastAsia="Arial" w:cs="Arial"/>
                <w:b/>
                <w:szCs w:val="24"/>
              </w:rPr>
            </w:pPr>
          </w:p>
        </w:tc>
        <w:tc>
          <w:tcPr>
            <w:tcW w:w="2385" w:type="dxa"/>
          </w:tcPr>
          <w:p w14:paraId="51BB41B3" w14:textId="77777777" w:rsidR="007C6854" w:rsidRDefault="00E0219E">
            <w:pPr>
              <w:spacing w:line="259" w:lineRule="auto"/>
              <w:jc w:val="center"/>
              <w:rPr>
                <w:rFonts w:eastAsia="Arial" w:cs="Arial"/>
                <w:b/>
                <w:szCs w:val="24"/>
              </w:rPr>
            </w:pPr>
            <w:r>
              <w:rPr>
                <w:rFonts w:eastAsia="Arial" w:cs="Arial"/>
                <w:b/>
                <w:szCs w:val="24"/>
              </w:rPr>
              <w:t>Count (%)</w:t>
            </w:r>
          </w:p>
        </w:tc>
        <w:tc>
          <w:tcPr>
            <w:tcW w:w="2325" w:type="dxa"/>
          </w:tcPr>
          <w:p w14:paraId="17D44440" w14:textId="77777777" w:rsidR="007C6854" w:rsidRDefault="00E0219E">
            <w:pPr>
              <w:spacing w:line="259" w:lineRule="auto"/>
              <w:jc w:val="center"/>
              <w:rPr>
                <w:rFonts w:eastAsia="Arial" w:cs="Arial"/>
                <w:b/>
                <w:szCs w:val="24"/>
              </w:rPr>
            </w:pPr>
            <w:r>
              <w:rPr>
                <w:rFonts w:eastAsia="Arial" w:cs="Arial"/>
                <w:b/>
                <w:szCs w:val="24"/>
              </w:rPr>
              <w:t>Freq (%)</w:t>
            </w:r>
          </w:p>
        </w:tc>
      </w:tr>
      <w:tr w:rsidR="007C6854" w14:paraId="3011C58C" w14:textId="77777777">
        <w:tc>
          <w:tcPr>
            <w:tcW w:w="4245" w:type="dxa"/>
          </w:tcPr>
          <w:p w14:paraId="6A0C6C60" w14:textId="77777777" w:rsidR="007C6854" w:rsidRDefault="00E0219E">
            <w:pPr>
              <w:spacing w:line="259" w:lineRule="auto"/>
              <w:rPr>
                <w:rFonts w:eastAsia="Arial" w:cs="Arial"/>
                <w:szCs w:val="24"/>
              </w:rPr>
            </w:pPr>
            <w:r>
              <w:rPr>
                <w:rFonts w:eastAsia="Arial" w:cs="Arial"/>
                <w:szCs w:val="24"/>
              </w:rPr>
              <w:t xml:space="preserve">Number and Percentage of participants who were assessed on COVID and have no signs of COVID symptoms using the Health Declaration Form </w:t>
            </w:r>
            <w:r>
              <w:rPr>
                <w:rFonts w:eastAsia="Arial" w:cs="Arial"/>
                <w:i/>
                <w:szCs w:val="24"/>
              </w:rPr>
              <w:t>(N=153)</w:t>
            </w:r>
          </w:p>
        </w:tc>
        <w:tc>
          <w:tcPr>
            <w:tcW w:w="2385" w:type="dxa"/>
          </w:tcPr>
          <w:p w14:paraId="79A69DBA" w14:textId="77777777" w:rsidR="007C6854" w:rsidRDefault="00E0219E">
            <w:pPr>
              <w:spacing w:line="259" w:lineRule="auto"/>
              <w:jc w:val="center"/>
              <w:rPr>
                <w:rFonts w:eastAsia="Arial" w:cs="Arial"/>
                <w:szCs w:val="24"/>
              </w:rPr>
            </w:pPr>
            <w:r>
              <w:rPr>
                <w:rFonts w:eastAsia="Arial" w:cs="Arial"/>
                <w:szCs w:val="24"/>
              </w:rPr>
              <w:t>151/153</w:t>
            </w:r>
          </w:p>
        </w:tc>
        <w:tc>
          <w:tcPr>
            <w:tcW w:w="2325" w:type="dxa"/>
          </w:tcPr>
          <w:p w14:paraId="07FDD645" w14:textId="77777777" w:rsidR="007C6854" w:rsidRDefault="00E0219E">
            <w:pPr>
              <w:spacing w:line="259" w:lineRule="auto"/>
              <w:jc w:val="center"/>
              <w:rPr>
                <w:rFonts w:eastAsia="Arial" w:cs="Arial"/>
                <w:szCs w:val="24"/>
              </w:rPr>
            </w:pPr>
            <w:r>
              <w:rPr>
                <w:rFonts w:eastAsia="Arial" w:cs="Arial"/>
                <w:szCs w:val="24"/>
              </w:rPr>
              <w:t>98.7</w:t>
            </w:r>
          </w:p>
        </w:tc>
      </w:tr>
      <w:tr w:rsidR="007C6854" w14:paraId="5C474E6B" w14:textId="77777777">
        <w:tc>
          <w:tcPr>
            <w:tcW w:w="4245" w:type="dxa"/>
          </w:tcPr>
          <w:p w14:paraId="34D45358" w14:textId="77777777" w:rsidR="007C6854" w:rsidRDefault="00E0219E">
            <w:pPr>
              <w:spacing w:line="259" w:lineRule="auto"/>
              <w:rPr>
                <w:rFonts w:eastAsia="Arial" w:cs="Arial"/>
                <w:szCs w:val="24"/>
              </w:rPr>
            </w:pPr>
            <w:r>
              <w:rPr>
                <w:rFonts w:eastAsia="Arial" w:cs="Arial"/>
                <w:szCs w:val="24"/>
              </w:rPr>
              <w:t xml:space="preserve">Number and Percentage of Participants administered ICF and agreed to be included in the survey </w:t>
            </w:r>
            <w:r>
              <w:rPr>
                <w:rFonts w:eastAsia="Arial" w:cs="Arial"/>
                <w:i/>
                <w:szCs w:val="24"/>
              </w:rPr>
              <w:t>(N=151)</w:t>
            </w:r>
          </w:p>
        </w:tc>
        <w:tc>
          <w:tcPr>
            <w:tcW w:w="2385" w:type="dxa"/>
          </w:tcPr>
          <w:p w14:paraId="508E1562" w14:textId="77777777" w:rsidR="007C6854" w:rsidRDefault="00E0219E">
            <w:pPr>
              <w:spacing w:line="259" w:lineRule="auto"/>
              <w:jc w:val="center"/>
              <w:rPr>
                <w:rFonts w:eastAsia="Arial" w:cs="Arial"/>
                <w:szCs w:val="24"/>
              </w:rPr>
            </w:pPr>
            <w:r>
              <w:rPr>
                <w:rFonts w:eastAsia="Arial" w:cs="Arial"/>
                <w:szCs w:val="24"/>
              </w:rPr>
              <w:t>151</w:t>
            </w:r>
          </w:p>
        </w:tc>
        <w:tc>
          <w:tcPr>
            <w:tcW w:w="2325" w:type="dxa"/>
          </w:tcPr>
          <w:p w14:paraId="75D73634" w14:textId="77777777" w:rsidR="007C6854" w:rsidRDefault="00E0219E">
            <w:pPr>
              <w:spacing w:line="259" w:lineRule="auto"/>
              <w:jc w:val="center"/>
              <w:rPr>
                <w:rFonts w:eastAsia="Arial" w:cs="Arial"/>
                <w:szCs w:val="24"/>
              </w:rPr>
            </w:pPr>
            <w:r>
              <w:rPr>
                <w:rFonts w:eastAsia="Arial" w:cs="Arial"/>
                <w:szCs w:val="24"/>
              </w:rPr>
              <w:t>100</w:t>
            </w:r>
          </w:p>
        </w:tc>
      </w:tr>
    </w:tbl>
    <w:p w14:paraId="36983D82" w14:textId="77777777" w:rsidR="007C6854" w:rsidRDefault="007C6854">
      <w:pPr>
        <w:spacing w:after="160" w:line="259" w:lineRule="auto"/>
        <w:rPr>
          <w:rFonts w:eastAsia="Arial" w:cs="Arial"/>
          <w:b/>
          <w:szCs w:val="24"/>
        </w:rPr>
      </w:pPr>
    </w:p>
    <w:p w14:paraId="097C6784" w14:textId="77777777" w:rsidR="007C6854" w:rsidRDefault="00E0219E">
      <w:pPr>
        <w:pStyle w:val="Heading2"/>
        <w:jc w:val="center"/>
        <w:rPr>
          <w:rFonts w:eastAsia="Arial" w:cs="Arial"/>
          <w:sz w:val="24"/>
          <w:szCs w:val="24"/>
        </w:rPr>
      </w:pPr>
      <w:bookmarkStart w:id="76" w:name="_heading=h.2iq8gzs" w:colFirst="0" w:colLast="0"/>
      <w:bookmarkEnd w:id="76"/>
      <w:r>
        <w:rPr>
          <w:rFonts w:eastAsia="Arial" w:cs="Arial"/>
          <w:sz w:val="24"/>
          <w:szCs w:val="24"/>
        </w:rPr>
        <w:t>Appendix E: Survey Questionnaire</w:t>
      </w:r>
    </w:p>
    <w:p w14:paraId="049BEAC7" w14:textId="77777777" w:rsidR="007C6854" w:rsidRDefault="007C6854">
      <w:pPr>
        <w:pBdr>
          <w:top w:val="nil"/>
          <w:left w:val="nil"/>
          <w:bottom w:val="nil"/>
          <w:right w:val="nil"/>
          <w:between w:val="nil"/>
        </w:pBdr>
        <w:spacing w:after="160" w:line="360" w:lineRule="auto"/>
        <w:rPr>
          <w:rFonts w:eastAsia="Arial" w:cs="Arial"/>
          <w:color w:val="000000"/>
          <w:szCs w:val="24"/>
        </w:rPr>
      </w:pPr>
    </w:p>
    <w:p w14:paraId="6C8A9421" w14:textId="77777777" w:rsidR="007C6854" w:rsidRDefault="00E0219E">
      <w:pPr>
        <w:pBdr>
          <w:top w:val="nil"/>
          <w:left w:val="nil"/>
          <w:bottom w:val="nil"/>
          <w:right w:val="nil"/>
          <w:between w:val="nil"/>
        </w:pBdr>
        <w:spacing w:after="160" w:line="360" w:lineRule="auto"/>
        <w:rPr>
          <w:rFonts w:eastAsia="Arial" w:cs="Arial"/>
          <w:color w:val="000000"/>
          <w:szCs w:val="24"/>
        </w:rPr>
      </w:pPr>
      <w:r>
        <w:rPr>
          <w:rFonts w:eastAsia="Arial" w:cs="Arial"/>
          <w:color w:val="000000"/>
          <w:szCs w:val="24"/>
        </w:rPr>
        <w:t xml:space="preserve">Survey Questionnaire Format: </w:t>
      </w:r>
      <w:hyperlink r:id="rId230">
        <w:r>
          <w:rPr>
            <w:rFonts w:eastAsia="Arial" w:cs="Arial"/>
            <w:color w:val="0000FF"/>
            <w:szCs w:val="24"/>
            <w:u w:val="single"/>
          </w:rPr>
          <w:t>https://ee.kobotoolbox.org/x/IYbriDUP</w:t>
        </w:r>
      </w:hyperlink>
      <w:r>
        <w:rPr>
          <w:rFonts w:eastAsia="Arial" w:cs="Arial"/>
          <w:color w:val="000000"/>
          <w:szCs w:val="24"/>
        </w:rPr>
        <w:t xml:space="preserve"> </w:t>
      </w:r>
    </w:p>
    <w:p w14:paraId="1B61ACE7" w14:textId="77777777" w:rsidR="007C6854" w:rsidRDefault="00E0219E">
      <w:pPr>
        <w:spacing w:after="160" w:line="259" w:lineRule="auto"/>
        <w:rPr>
          <w:rFonts w:eastAsia="Arial" w:cs="Arial"/>
          <w:b/>
          <w:color w:val="000000"/>
          <w:szCs w:val="24"/>
        </w:rPr>
      </w:pPr>
      <w:r>
        <w:br w:type="page"/>
      </w:r>
    </w:p>
    <w:p w14:paraId="0D32D796" w14:textId="77777777" w:rsidR="007C6854" w:rsidRDefault="00E0219E">
      <w:pPr>
        <w:pStyle w:val="Heading2"/>
        <w:jc w:val="center"/>
        <w:rPr>
          <w:rFonts w:eastAsia="Arial" w:cs="Arial"/>
          <w:sz w:val="24"/>
          <w:szCs w:val="24"/>
        </w:rPr>
      </w:pPr>
      <w:bookmarkStart w:id="77" w:name="_heading=h.xvir7l" w:colFirst="0" w:colLast="0"/>
      <w:bookmarkEnd w:id="77"/>
      <w:r>
        <w:rPr>
          <w:rFonts w:eastAsia="Arial" w:cs="Arial"/>
          <w:sz w:val="24"/>
          <w:szCs w:val="24"/>
        </w:rPr>
        <w:lastRenderedPageBreak/>
        <w:t>Appendix F: International Society of Hypertension Guidelines</w:t>
      </w:r>
    </w:p>
    <w:p w14:paraId="72855BC6" w14:textId="77777777" w:rsidR="007C6854" w:rsidRDefault="007C6854"/>
    <w:p w14:paraId="011EA34F" w14:textId="77777777" w:rsidR="007C6854" w:rsidRDefault="00E0219E">
      <w:pPr>
        <w:pBdr>
          <w:top w:val="nil"/>
          <w:left w:val="nil"/>
          <w:bottom w:val="nil"/>
          <w:right w:val="nil"/>
          <w:between w:val="nil"/>
        </w:pBdr>
        <w:spacing w:after="160" w:line="360" w:lineRule="auto"/>
        <w:rPr>
          <w:rFonts w:eastAsia="Arial" w:cs="Arial"/>
          <w:szCs w:val="24"/>
        </w:rPr>
      </w:pPr>
      <w:r>
        <w:rPr>
          <w:rFonts w:eastAsia="Arial" w:cs="Arial"/>
          <w:szCs w:val="24"/>
        </w:rPr>
        <w:t>Classification of Hypertension based on Office Blood Pressure (BP) Measurement (Unger, T., 2020)</w:t>
      </w:r>
    </w:p>
    <w:tbl>
      <w:tblPr>
        <w:tblStyle w:val="affff"/>
        <w:tblW w:w="864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835"/>
        <w:gridCol w:w="2325"/>
        <w:gridCol w:w="1140"/>
        <w:gridCol w:w="2340"/>
      </w:tblGrid>
      <w:tr w:rsidR="007C6854" w14:paraId="022A64D3" w14:textId="77777777">
        <w:trPr>
          <w:trHeight w:val="501"/>
          <w:jc w:val="center"/>
        </w:trPr>
        <w:tc>
          <w:tcPr>
            <w:tcW w:w="2835" w:type="dxa"/>
            <w:shd w:val="clear" w:color="auto" w:fill="auto"/>
            <w:tcMar>
              <w:top w:w="100" w:type="dxa"/>
              <w:left w:w="100" w:type="dxa"/>
              <w:bottom w:w="100" w:type="dxa"/>
              <w:right w:w="100" w:type="dxa"/>
            </w:tcMar>
            <w:vAlign w:val="center"/>
          </w:tcPr>
          <w:p w14:paraId="0F6BC23A" w14:textId="77777777" w:rsidR="007C6854" w:rsidRDefault="00E0219E">
            <w:pPr>
              <w:widowControl w:val="0"/>
              <w:pBdr>
                <w:top w:val="nil"/>
                <w:left w:val="nil"/>
                <w:bottom w:val="nil"/>
                <w:right w:val="nil"/>
                <w:between w:val="nil"/>
              </w:pBdr>
              <w:rPr>
                <w:rFonts w:eastAsia="Arial" w:cs="Arial"/>
                <w:b/>
                <w:szCs w:val="24"/>
              </w:rPr>
            </w:pPr>
            <w:r>
              <w:rPr>
                <w:rFonts w:eastAsia="Arial" w:cs="Arial"/>
                <w:b/>
                <w:szCs w:val="24"/>
              </w:rPr>
              <w:t>Category</w:t>
            </w:r>
          </w:p>
        </w:tc>
        <w:tc>
          <w:tcPr>
            <w:tcW w:w="2325" w:type="dxa"/>
            <w:shd w:val="clear" w:color="auto" w:fill="auto"/>
            <w:tcMar>
              <w:top w:w="100" w:type="dxa"/>
              <w:left w:w="100" w:type="dxa"/>
              <w:bottom w:w="100" w:type="dxa"/>
              <w:right w:w="100" w:type="dxa"/>
            </w:tcMar>
            <w:vAlign w:val="center"/>
          </w:tcPr>
          <w:p w14:paraId="3406EB36" w14:textId="77777777" w:rsidR="007C6854" w:rsidRDefault="00E0219E">
            <w:pPr>
              <w:widowControl w:val="0"/>
              <w:pBdr>
                <w:top w:val="nil"/>
                <w:left w:val="nil"/>
                <w:bottom w:val="nil"/>
                <w:right w:val="nil"/>
                <w:between w:val="nil"/>
              </w:pBdr>
              <w:jc w:val="center"/>
              <w:rPr>
                <w:rFonts w:eastAsia="Arial" w:cs="Arial"/>
                <w:b/>
                <w:szCs w:val="24"/>
              </w:rPr>
            </w:pPr>
            <w:r>
              <w:rPr>
                <w:rFonts w:eastAsia="Arial" w:cs="Arial"/>
                <w:b/>
                <w:szCs w:val="24"/>
              </w:rPr>
              <w:t>Systolic (mm Hg)</w:t>
            </w:r>
          </w:p>
        </w:tc>
        <w:tc>
          <w:tcPr>
            <w:tcW w:w="1140" w:type="dxa"/>
            <w:shd w:val="clear" w:color="auto" w:fill="auto"/>
            <w:tcMar>
              <w:top w:w="100" w:type="dxa"/>
              <w:left w:w="100" w:type="dxa"/>
              <w:bottom w:w="100" w:type="dxa"/>
              <w:right w:w="100" w:type="dxa"/>
            </w:tcMar>
            <w:vAlign w:val="center"/>
          </w:tcPr>
          <w:p w14:paraId="087A482E" w14:textId="77777777" w:rsidR="007C6854" w:rsidRDefault="007C6854">
            <w:pPr>
              <w:widowControl w:val="0"/>
              <w:pBdr>
                <w:top w:val="nil"/>
                <w:left w:val="nil"/>
                <w:bottom w:val="nil"/>
                <w:right w:val="nil"/>
                <w:between w:val="nil"/>
              </w:pBdr>
              <w:jc w:val="center"/>
              <w:rPr>
                <w:rFonts w:eastAsia="Arial" w:cs="Arial"/>
                <w:b/>
                <w:szCs w:val="24"/>
              </w:rPr>
            </w:pPr>
          </w:p>
        </w:tc>
        <w:tc>
          <w:tcPr>
            <w:tcW w:w="2340" w:type="dxa"/>
            <w:shd w:val="clear" w:color="auto" w:fill="auto"/>
            <w:tcMar>
              <w:top w:w="100" w:type="dxa"/>
              <w:left w:w="100" w:type="dxa"/>
              <w:bottom w:w="100" w:type="dxa"/>
              <w:right w:w="100" w:type="dxa"/>
            </w:tcMar>
            <w:vAlign w:val="center"/>
          </w:tcPr>
          <w:p w14:paraId="562FC877" w14:textId="77777777" w:rsidR="007C6854" w:rsidRDefault="00E0219E">
            <w:pPr>
              <w:widowControl w:val="0"/>
              <w:pBdr>
                <w:top w:val="nil"/>
                <w:left w:val="nil"/>
                <w:bottom w:val="nil"/>
                <w:right w:val="nil"/>
                <w:between w:val="nil"/>
              </w:pBdr>
              <w:jc w:val="center"/>
              <w:rPr>
                <w:rFonts w:eastAsia="Arial" w:cs="Arial"/>
                <w:b/>
                <w:szCs w:val="24"/>
              </w:rPr>
            </w:pPr>
            <w:r>
              <w:rPr>
                <w:rFonts w:eastAsia="Arial" w:cs="Arial"/>
                <w:b/>
                <w:szCs w:val="24"/>
              </w:rPr>
              <w:t>Diastolic (mm Hg)</w:t>
            </w:r>
          </w:p>
        </w:tc>
      </w:tr>
      <w:tr w:rsidR="007C6854" w14:paraId="5DCA261E" w14:textId="77777777">
        <w:trPr>
          <w:trHeight w:val="500"/>
          <w:jc w:val="center"/>
        </w:trPr>
        <w:tc>
          <w:tcPr>
            <w:tcW w:w="2835" w:type="dxa"/>
            <w:shd w:val="clear" w:color="auto" w:fill="auto"/>
            <w:tcMar>
              <w:top w:w="100" w:type="dxa"/>
              <w:left w:w="100" w:type="dxa"/>
              <w:bottom w:w="100" w:type="dxa"/>
              <w:right w:w="100" w:type="dxa"/>
            </w:tcMar>
          </w:tcPr>
          <w:p w14:paraId="2F6A9785" w14:textId="77777777" w:rsidR="007C6854" w:rsidRDefault="00E0219E">
            <w:pPr>
              <w:widowControl w:val="0"/>
              <w:pBdr>
                <w:top w:val="nil"/>
                <w:left w:val="nil"/>
                <w:bottom w:val="nil"/>
                <w:right w:val="nil"/>
                <w:between w:val="nil"/>
              </w:pBdr>
              <w:rPr>
                <w:rFonts w:eastAsia="Arial" w:cs="Arial"/>
                <w:szCs w:val="24"/>
              </w:rPr>
            </w:pPr>
            <w:r>
              <w:rPr>
                <w:rFonts w:eastAsia="Arial" w:cs="Arial"/>
                <w:szCs w:val="24"/>
              </w:rPr>
              <w:t>Normal BP</w:t>
            </w:r>
          </w:p>
        </w:tc>
        <w:tc>
          <w:tcPr>
            <w:tcW w:w="2325" w:type="dxa"/>
            <w:shd w:val="clear" w:color="auto" w:fill="auto"/>
            <w:tcMar>
              <w:top w:w="100" w:type="dxa"/>
              <w:left w:w="100" w:type="dxa"/>
              <w:bottom w:w="100" w:type="dxa"/>
              <w:right w:w="100" w:type="dxa"/>
            </w:tcMar>
            <w:vAlign w:val="center"/>
          </w:tcPr>
          <w:p w14:paraId="27438AE2" w14:textId="77777777" w:rsidR="007C6854" w:rsidRDefault="00E0219E">
            <w:pPr>
              <w:widowControl w:val="0"/>
              <w:pBdr>
                <w:top w:val="nil"/>
                <w:left w:val="nil"/>
                <w:bottom w:val="nil"/>
                <w:right w:val="nil"/>
                <w:between w:val="nil"/>
              </w:pBdr>
              <w:jc w:val="center"/>
              <w:rPr>
                <w:rFonts w:eastAsia="Arial" w:cs="Arial"/>
                <w:szCs w:val="24"/>
              </w:rPr>
            </w:pPr>
            <w:r>
              <w:rPr>
                <w:rFonts w:eastAsia="Arial" w:cs="Arial"/>
                <w:szCs w:val="24"/>
              </w:rPr>
              <w:t>&lt;130</w:t>
            </w:r>
          </w:p>
        </w:tc>
        <w:tc>
          <w:tcPr>
            <w:tcW w:w="1140" w:type="dxa"/>
            <w:shd w:val="clear" w:color="auto" w:fill="auto"/>
            <w:tcMar>
              <w:top w:w="100" w:type="dxa"/>
              <w:left w:w="100" w:type="dxa"/>
              <w:bottom w:w="100" w:type="dxa"/>
              <w:right w:w="100" w:type="dxa"/>
            </w:tcMar>
            <w:vAlign w:val="center"/>
          </w:tcPr>
          <w:p w14:paraId="6533C81B" w14:textId="77777777" w:rsidR="007C6854" w:rsidRDefault="00E0219E">
            <w:pPr>
              <w:widowControl w:val="0"/>
              <w:pBdr>
                <w:top w:val="nil"/>
                <w:left w:val="nil"/>
                <w:bottom w:val="nil"/>
                <w:right w:val="nil"/>
                <w:between w:val="nil"/>
              </w:pBdr>
              <w:jc w:val="center"/>
              <w:rPr>
                <w:rFonts w:eastAsia="Arial" w:cs="Arial"/>
                <w:szCs w:val="24"/>
              </w:rPr>
            </w:pPr>
            <w:r>
              <w:rPr>
                <w:rFonts w:eastAsia="Arial" w:cs="Arial"/>
                <w:szCs w:val="24"/>
              </w:rPr>
              <w:t>and</w:t>
            </w:r>
          </w:p>
        </w:tc>
        <w:tc>
          <w:tcPr>
            <w:tcW w:w="2340" w:type="dxa"/>
            <w:shd w:val="clear" w:color="auto" w:fill="auto"/>
            <w:tcMar>
              <w:top w:w="100" w:type="dxa"/>
              <w:left w:w="100" w:type="dxa"/>
              <w:bottom w:w="100" w:type="dxa"/>
              <w:right w:w="100" w:type="dxa"/>
            </w:tcMar>
            <w:vAlign w:val="center"/>
          </w:tcPr>
          <w:p w14:paraId="0E90A301" w14:textId="77777777" w:rsidR="007C6854" w:rsidRDefault="00E0219E">
            <w:pPr>
              <w:widowControl w:val="0"/>
              <w:pBdr>
                <w:top w:val="nil"/>
                <w:left w:val="nil"/>
                <w:bottom w:val="nil"/>
                <w:right w:val="nil"/>
                <w:between w:val="nil"/>
              </w:pBdr>
              <w:jc w:val="center"/>
              <w:rPr>
                <w:rFonts w:eastAsia="Arial" w:cs="Arial"/>
                <w:szCs w:val="24"/>
              </w:rPr>
            </w:pPr>
            <w:r>
              <w:rPr>
                <w:rFonts w:eastAsia="Arial" w:cs="Arial"/>
                <w:szCs w:val="24"/>
              </w:rPr>
              <w:t>&lt;85</w:t>
            </w:r>
          </w:p>
        </w:tc>
      </w:tr>
      <w:tr w:rsidR="007C6854" w14:paraId="705FA979" w14:textId="77777777">
        <w:trPr>
          <w:trHeight w:val="500"/>
          <w:jc w:val="center"/>
        </w:trPr>
        <w:tc>
          <w:tcPr>
            <w:tcW w:w="2835" w:type="dxa"/>
            <w:shd w:val="clear" w:color="auto" w:fill="auto"/>
            <w:tcMar>
              <w:top w:w="100" w:type="dxa"/>
              <w:left w:w="100" w:type="dxa"/>
              <w:bottom w:w="100" w:type="dxa"/>
              <w:right w:w="100" w:type="dxa"/>
            </w:tcMar>
          </w:tcPr>
          <w:p w14:paraId="2F25350D" w14:textId="77777777" w:rsidR="007C6854" w:rsidRDefault="00E0219E">
            <w:pPr>
              <w:widowControl w:val="0"/>
              <w:pBdr>
                <w:top w:val="nil"/>
                <w:left w:val="nil"/>
                <w:bottom w:val="nil"/>
                <w:right w:val="nil"/>
                <w:between w:val="nil"/>
              </w:pBdr>
              <w:rPr>
                <w:rFonts w:eastAsia="Arial" w:cs="Arial"/>
                <w:szCs w:val="24"/>
              </w:rPr>
            </w:pPr>
            <w:r>
              <w:rPr>
                <w:rFonts w:eastAsia="Arial" w:cs="Arial"/>
                <w:szCs w:val="24"/>
              </w:rPr>
              <w:t>High-normal BP</w:t>
            </w:r>
          </w:p>
        </w:tc>
        <w:tc>
          <w:tcPr>
            <w:tcW w:w="2325" w:type="dxa"/>
            <w:shd w:val="clear" w:color="auto" w:fill="auto"/>
            <w:tcMar>
              <w:top w:w="100" w:type="dxa"/>
              <w:left w:w="100" w:type="dxa"/>
              <w:bottom w:w="100" w:type="dxa"/>
              <w:right w:w="100" w:type="dxa"/>
            </w:tcMar>
            <w:vAlign w:val="center"/>
          </w:tcPr>
          <w:p w14:paraId="4170F9A2" w14:textId="77777777" w:rsidR="007C6854" w:rsidRDefault="00E0219E">
            <w:pPr>
              <w:widowControl w:val="0"/>
              <w:pBdr>
                <w:top w:val="nil"/>
                <w:left w:val="nil"/>
                <w:bottom w:val="nil"/>
                <w:right w:val="nil"/>
                <w:between w:val="nil"/>
              </w:pBdr>
              <w:jc w:val="center"/>
              <w:rPr>
                <w:rFonts w:eastAsia="Arial" w:cs="Arial"/>
                <w:szCs w:val="24"/>
              </w:rPr>
            </w:pPr>
            <w:r>
              <w:rPr>
                <w:rFonts w:eastAsia="Arial" w:cs="Arial"/>
                <w:szCs w:val="24"/>
              </w:rPr>
              <w:t>130 - 139</w:t>
            </w:r>
          </w:p>
        </w:tc>
        <w:tc>
          <w:tcPr>
            <w:tcW w:w="1140" w:type="dxa"/>
            <w:shd w:val="clear" w:color="auto" w:fill="auto"/>
            <w:tcMar>
              <w:top w:w="100" w:type="dxa"/>
              <w:left w:w="100" w:type="dxa"/>
              <w:bottom w:w="100" w:type="dxa"/>
              <w:right w:w="100" w:type="dxa"/>
            </w:tcMar>
            <w:vAlign w:val="center"/>
          </w:tcPr>
          <w:p w14:paraId="26258163" w14:textId="77777777" w:rsidR="007C6854" w:rsidRDefault="00E0219E">
            <w:pPr>
              <w:widowControl w:val="0"/>
              <w:pBdr>
                <w:top w:val="nil"/>
                <w:left w:val="nil"/>
                <w:bottom w:val="nil"/>
                <w:right w:val="nil"/>
                <w:between w:val="nil"/>
              </w:pBdr>
              <w:jc w:val="center"/>
              <w:rPr>
                <w:rFonts w:eastAsia="Arial" w:cs="Arial"/>
                <w:szCs w:val="24"/>
              </w:rPr>
            </w:pPr>
            <w:r>
              <w:rPr>
                <w:rFonts w:eastAsia="Arial" w:cs="Arial"/>
                <w:szCs w:val="24"/>
              </w:rPr>
              <w:t>and/or</w:t>
            </w:r>
          </w:p>
        </w:tc>
        <w:tc>
          <w:tcPr>
            <w:tcW w:w="2340" w:type="dxa"/>
            <w:shd w:val="clear" w:color="auto" w:fill="auto"/>
            <w:tcMar>
              <w:top w:w="100" w:type="dxa"/>
              <w:left w:w="100" w:type="dxa"/>
              <w:bottom w:w="100" w:type="dxa"/>
              <w:right w:w="100" w:type="dxa"/>
            </w:tcMar>
            <w:vAlign w:val="center"/>
          </w:tcPr>
          <w:p w14:paraId="07E17C06" w14:textId="77777777" w:rsidR="007C6854" w:rsidRDefault="00E0219E">
            <w:pPr>
              <w:widowControl w:val="0"/>
              <w:pBdr>
                <w:top w:val="nil"/>
                <w:left w:val="nil"/>
                <w:bottom w:val="nil"/>
                <w:right w:val="nil"/>
                <w:between w:val="nil"/>
              </w:pBdr>
              <w:jc w:val="center"/>
              <w:rPr>
                <w:rFonts w:eastAsia="Arial" w:cs="Arial"/>
                <w:szCs w:val="24"/>
              </w:rPr>
            </w:pPr>
            <w:r>
              <w:rPr>
                <w:rFonts w:eastAsia="Arial" w:cs="Arial"/>
                <w:szCs w:val="24"/>
              </w:rPr>
              <w:t>85 - 89</w:t>
            </w:r>
          </w:p>
        </w:tc>
      </w:tr>
      <w:tr w:rsidR="007C6854" w14:paraId="536B55F7" w14:textId="77777777">
        <w:trPr>
          <w:trHeight w:val="500"/>
          <w:jc w:val="center"/>
        </w:trPr>
        <w:tc>
          <w:tcPr>
            <w:tcW w:w="2835" w:type="dxa"/>
            <w:shd w:val="clear" w:color="auto" w:fill="auto"/>
            <w:tcMar>
              <w:top w:w="100" w:type="dxa"/>
              <w:left w:w="100" w:type="dxa"/>
              <w:bottom w:w="100" w:type="dxa"/>
              <w:right w:w="100" w:type="dxa"/>
            </w:tcMar>
          </w:tcPr>
          <w:p w14:paraId="20F5891C" w14:textId="77777777" w:rsidR="007C6854" w:rsidRDefault="00E0219E">
            <w:pPr>
              <w:widowControl w:val="0"/>
              <w:pBdr>
                <w:top w:val="nil"/>
                <w:left w:val="nil"/>
                <w:bottom w:val="nil"/>
                <w:right w:val="nil"/>
                <w:between w:val="nil"/>
              </w:pBdr>
              <w:rPr>
                <w:rFonts w:eastAsia="Arial" w:cs="Arial"/>
                <w:szCs w:val="24"/>
              </w:rPr>
            </w:pPr>
            <w:r>
              <w:rPr>
                <w:rFonts w:eastAsia="Arial" w:cs="Arial"/>
                <w:szCs w:val="24"/>
              </w:rPr>
              <w:t>Grade 1 Hypertension</w:t>
            </w:r>
          </w:p>
        </w:tc>
        <w:tc>
          <w:tcPr>
            <w:tcW w:w="2325" w:type="dxa"/>
            <w:shd w:val="clear" w:color="auto" w:fill="auto"/>
            <w:tcMar>
              <w:top w:w="100" w:type="dxa"/>
              <w:left w:w="100" w:type="dxa"/>
              <w:bottom w:w="100" w:type="dxa"/>
              <w:right w:w="100" w:type="dxa"/>
            </w:tcMar>
            <w:vAlign w:val="center"/>
          </w:tcPr>
          <w:p w14:paraId="0699BE48" w14:textId="77777777" w:rsidR="007C6854" w:rsidRDefault="00E0219E">
            <w:pPr>
              <w:widowControl w:val="0"/>
              <w:pBdr>
                <w:top w:val="nil"/>
                <w:left w:val="nil"/>
                <w:bottom w:val="nil"/>
                <w:right w:val="nil"/>
                <w:between w:val="nil"/>
              </w:pBdr>
              <w:jc w:val="center"/>
              <w:rPr>
                <w:rFonts w:eastAsia="Arial" w:cs="Arial"/>
                <w:szCs w:val="24"/>
              </w:rPr>
            </w:pPr>
            <w:r>
              <w:rPr>
                <w:rFonts w:eastAsia="Arial" w:cs="Arial"/>
                <w:szCs w:val="24"/>
              </w:rPr>
              <w:t>140 - 159</w:t>
            </w:r>
          </w:p>
        </w:tc>
        <w:tc>
          <w:tcPr>
            <w:tcW w:w="1140" w:type="dxa"/>
            <w:shd w:val="clear" w:color="auto" w:fill="auto"/>
            <w:tcMar>
              <w:top w:w="100" w:type="dxa"/>
              <w:left w:w="100" w:type="dxa"/>
              <w:bottom w:w="100" w:type="dxa"/>
              <w:right w:w="100" w:type="dxa"/>
            </w:tcMar>
            <w:vAlign w:val="center"/>
          </w:tcPr>
          <w:p w14:paraId="53259218" w14:textId="77777777" w:rsidR="007C6854" w:rsidRDefault="00E0219E">
            <w:pPr>
              <w:widowControl w:val="0"/>
              <w:pBdr>
                <w:top w:val="nil"/>
                <w:left w:val="nil"/>
                <w:bottom w:val="nil"/>
                <w:right w:val="nil"/>
                <w:between w:val="nil"/>
              </w:pBdr>
              <w:jc w:val="center"/>
              <w:rPr>
                <w:rFonts w:eastAsia="Arial" w:cs="Arial"/>
                <w:szCs w:val="24"/>
              </w:rPr>
            </w:pPr>
            <w:r>
              <w:rPr>
                <w:rFonts w:eastAsia="Arial" w:cs="Arial"/>
                <w:szCs w:val="24"/>
              </w:rPr>
              <w:t>and/or</w:t>
            </w:r>
          </w:p>
        </w:tc>
        <w:tc>
          <w:tcPr>
            <w:tcW w:w="2340" w:type="dxa"/>
            <w:shd w:val="clear" w:color="auto" w:fill="auto"/>
            <w:tcMar>
              <w:top w:w="100" w:type="dxa"/>
              <w:left w:w="100" w:type="dxa"/>
              <w:bottom w:w="100" w:type="dxa"/>
              <w:right w:w="100" w:type="dxa"/>
            </w:tcMar>
            <w:vAlign w:val="center"/>
          </w:tcPr>
          <w:p w14:paraId="63627690" w14:textId="77777777" w:rsidR="007C6854" w:rsidRDefault="00E0219E">
            <w:pPr>
              <w:widowControl w:val="0"/>
              <w:pBdr>
                <w:top w:val="nil"/>
                <w:left w:val="nil"/>
                <w:bottom w:val="nil"/>
                <w:right w:val="nil"/>
                <w:between w:val="nil"/>
              </w:pBdr>
              <w:jc w:val="center"/>
              <w:rPr>
                <w:rFonts w:eastAsia="Arial" w:cs="Arial"/>
                <w:szCs w:val="24"/>
              </w:rPr>
            </w:pPr>
            <w:r>
              <w:rPr>
                <w:rFonts w:eastAsia="Arial" w:cs="Arial"/>
                <w:szCs w:val="24"/>
              </w:rPr>
              <w:t>90 - 99</w:t>
            </w:r>
          </w:p>
        </w:tc>
      </w:tr>
      <w:tr w:rsidR="007C6854" w14:paraId="197455DB" w14:textId="77777777">
        <w:trPr>
          <w:cantSplit/>
          <w:trHeight w:val="501"/>
          <w:jc w:val="center"/>
        </w:trPr>
        <w:tc>
          <w:tcPr>
            <w:tcW w:w="2835" w:type="dxa"/>
            <w:shd w:val="clear" w:color="auto" w:fill="auto"/>
            <w:tcMar>
              <w:top w:w="100" w:type="dxa"/>
              <w:left w:w="100" w:type="dxa"/>
              <w:bottom w:w="100" w:type="dxa"/>
              <w:right w:w="100" w:type="dxa"/>
            </w:tcMar>
          </w:tcPr>
          <w:p w14:paraId="57CDD4E6" w14:textId="77777777" w:rsidR="007C6854" w:rsidRDefault="00E0219E">
            <w:pPr>
              <w:widowControl w:val="0"/>
              <w:pBdr>
                <w:top w:val="nil"/>
                <w:left w:val="nil"/>
                <w:bottom w:val="nil"/>
                <w:right w:val="nil"/>
                <w:between w:val="nil"/>
              </w:pBdr>
              <w:rPr>
                <w:rFonts w:eastAsia="Arial" w:cs="Arial"/>
                <w:szCs w:val="24"/>
              </w:rPr>
            </w:pPr>
            <w:r>
              <w:rPr>
                <w:rFonts w:eastAsia="Arial" w:cs="Arial"/>
                <w:szCs w:val="24"/>
              </w:rPr>
              <w:t>Grade 2 Hypertension</w:t>
            </w:r>
          </w:p>
        </w:tc>
        <w:tc>
          <w:tcPr>
            <w:tcW w:w="2325" w:type="dxa"/>
            <w:shd w:val="clear" w:color="auto" w:fill="auto"/>
            <w:tcMar>
              <w:top w:w="100" w:type="dxa"/>
              <w:left w:w="100" w:type="dxa"/>
              <w:bottom w:w="100" w:type="dxa"/>
              <w:right w:w="100" w:type="dxa"/>
            </w:tcMar>
            <w:vAlign w:val="center"/>
          </w:tcPr>
          <w:p w14:paraId="0E6D522D" w14:textId="77777777" w:rsidR="007C6854" w:rsidRDefault="00000000">
            <w:pPr>
              <w:widowControl w:val="0"/>
              <w:pBdr>
                <w:top w:val="nil"/>
                <w:left w:val="nil"/>
                <w:bottom w:val="nil"/>
                <w:right w:val="nil"/>
                <w:between w:val="nil"/>
              </w:pBdr>
              <w:jc w:val="center"/>
              <w:rPr>
                <w:rFonts w:eastAsia="Arial" w:cs="Arial"/>
                <w:szCs w:val="24"/>
              </w:rPr>
            </w:pPr>
            <w:sdt>
              <w:sdtPr>
                <w:tag w:val="goog_rdk_12"/>
                <w:id w:val="-1043368129"/>
              </w:sdtPr>
              <w:sdtContent>
                <w:r w:rsidR="00E0219E">
                  <w:rPr>
                    <w:rFonts w:ascii="Arial Unicode MS" w:eastAsia="Arial Unicode MS" w:hAnsi="Arial Unicode MS" w:cs="Arial Unicode MS"/>
                    <w:szCs w:val="24"/>
                  </w:rPr>
                  <w:t>≤160</w:t>
                </w:r>
              </w:sdtContent>
            </w:sdt>
          </w:p>
        </w:tc>
        <w:tc>
          <w:tcPr>
            <w:tcW w:w="1140" w:type="dxa"/>
            <w:shd w:val="clear" w:color="auto" w:fill="auto"/>
            <w:tcMar>
              <w:top w:w="100" w:type="dxa"/>
              <w:left w:w="100" w:type="dxa"/>
              <w:bottom w:w="100" w:type="dxa"/>
              <w:right w:w="100" w:type="dxa"/>
            </w:tcMar>
            <w:vAlign w:val="center"/>
          </w:tcPr>
          <w:p w14:paraId="12F63AED" w14:textId="77777777" w:rsidR="007C6854" w:rsidRDefault="00E0219E">
            <w:pPr>
              <w:widowControl w:val="0"/>
              <w:pBdr>
                <w:top w:val="nil"/>
                <w:left w:val="nil"/>
                <w:bottom w:val="nil"/>
                <w:right w:val="nil"/>
                <w:between w:val="nil"/>
              </w:pBdr>
              <w:jc w:val="center"/>
              <w:rPr>
                <w:rFonts w:eastAsia="Arial" w:cs="Arial"/>
                <w:szCs w:val="24"/>
              </w:rPr>
            </w:pPr>
            <w:r>
              <w:rPr>
                <w:rFonts w:eastAsia="Arial" w:cs="Arial"/>
                <w:szCs w:val="24"/>
              </w:rPr>
              <w:t>and/or</w:t>
            </w:r>
          </w:p>
        </w:tc>
        <w:tc>
          <w:tcPr>
            <w:tcW w:w="2340" w:type="dxa"/>
            <w:shd w:val="clear" w:color="auto" w:fill="auto"/>
            <w:tcMar>
              <w:top w:w="100" w:type="dxa"/>
              <w:left w:w="100" w:type="dxa"/>
              <w:bottom w:w="100" w:type="dxa"/>
              <w:right w:w="100" w:type="dxa"/>
            </w:tcMar>
            <w:vAlign w:val="center"/>
          </w:tcPr>
          <w:p w14:paraId="0B3F60E1" w14:textId="77777777" w:rsidR="007C6854" w:rsidRDefault="00000000">
            <w:pPr>
              <w:widowControl w:val="0"/>
              <w:pBdr>
                <w:top w:val="nil"/>
                <w:left w:val="nil"/>
                <w:bottom w:val="nil"/>
                <w:right w:val="nil"/>
                <w:between w:val="nil"/>
              </w:pBdr>
              <w:jc w:val="center"/>
              <w:rPr>
                <w:rFonts w:eastAsia="Arial" w:cs="Arial"/>
                <w:szCs w:val="24"/>
              </w:rPr>
            </w:pPr>
            <w:sdt>
              <w:sdtPr>
                <w:tag w:val="goog_rdk_13"/>
                <w:id w:val="-74522700"/>
              </w:sdtPr>
              <w:sdtContent>
                <w:r w:rsidR="00E0219E">
                  <w:rPr>
                    <w:rFonts w:ascii="Arial Unicode MS" w:eastAsia="Arial Unicode MS" w:hAnsi="Arial Unicode MS" w:cs="Arial Unicode MS"/>
                    <w:szCs w:val="24"/>
                  </w:rPr>
                  <w:t>≥100</w:t>
                </w:r>
              </w:sdtContent>
            </w:sdt>
          </w:p>
        </w:tc>
      </w:tr>
    </w:tbl>
    <w:p w14:paraId="1F0E7C4A" w14:textId="77777777" w:rsidR="007C6854" w:rsidRDefault="007C6854">
      <w:pPr>
        <w:pBdr>
          <w:top w:val="nil"/>
          <w:left w:val="nil"/>
          <w:bottom w:val="nil"/>
          <w:right w:val="nil"/>
          <w:between w:val="nil"/>
        </w:pBdr>
        <w:spacing w:after="160" w:line="360" w:lineRule="auto"/>
        <w:rPr>
          <w:rFonts w:eastAsia="Arial" w:cs="Arial"/>
          <w:szCs w:val="24"/>
        </w:rPr>
      </w:pPr>
    </w:p>
    <w:p w14:paraId="09C2F289" w14:textId="77777777" w:rsidR="007C6854" w:rsidRDefault="00E0219E">
      <w:pPr>
        <w:pBdr>
          <w:top w:val="nil"/>
          <w:left w:val="nil"/>
          <w:bottom w:val="nil"/>
          <w:right w:val="nil"/>
          <w:between w:val="nil"/>
        </w:pBdr>
        <w:spacing w:after="160" w:line="360" w:lineRule="auto"/>
        <w:rPr>
          <w:rFonts w:eastAsia="Arial" w:cs="Arial"/>
          <w:szCs w:val="24"/>
        </w:rPr>
      </w:pPr>
      <w:r>
        <w:rPr>
          <w:rFonts w:eastAsia="Arial" w:cs="Arial"/>
          <w:szCs w:val="24"/>
        </w:rPr>
        <w:t>Criteria for Hypertension</w:t>
      </w:r>
    </w:p>
    <w:tbl>
      <w:tblPr>
        <w:tblStyle w:val="affff0"/>
        <w:tblW w:w="8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320"/>
        <w:gridCol w:w="4320"/>
      </w:tblGrid>
      <w:tr w:rsidR="007C6854" w14:paraId="145D17A4" w14:textId="77777777">
        <w:tc>
          <w:tcPr>
            <w:tcW w:w="4320" w:type="dxa"/>
            <w:shd w:val="clear" w:color="auto" w:fill="auto"/>
            <w:tcMar>
              <w:top w:w="100" w:type="dxa"/>
              <w:left w:w="100" w:type="dxa"/>
              <w:bottom w:w="100" w:type="dxa"/>
              <w:right w:w="100" w:type="dxa"/>
            </w:tcMar>
          </w:tcPr>
          <w:p w14:paraId="16DF2878" w14:textId="77777777" w:rsidR="007C6854" w:rsidRDefault="007C6854">
            <w:pPr>
              <w:widowControl w:val="0"/>
              <w:pBdr>
                <w:top w:val="nil"/>
                <w:left w:val="nil"/>
                <w:bottom w:val="nil"/>
                <w:right w:val="nil"/>
                <w:between w:val="nil"/>
              </w:pBdr>
              <w:rPr>
                <w:rFonts w:eastAsia="Arial" w:cs="Arial"/>
                <w:szCs w:val="24"/>
              </w:rPr>
            </w:pPr>
          </w:p>
        </w:tc>
        <w:tc>
          <w:tcPr>
            <w:tcW w:w="4320" w:type="dxa"/>
            <w:shd w:val="clear" w:color="auto" w:fill="auto"/>
            <w:tcMar>
              <w:top w:w="100" w:type="dxa"/>
              <w:left w:w="100" w:type="dxa"/>
              <w:bottom w:w="100" w:type="dxa"/>
              <w:right w:w="100" w:type="dxa"/>
            </w:tcMar>
          </w:tcPr>
          <w:p w14:paraId="0A204E00" w14:textId="77777777" w:rsidR="007C6854" w:rsidRDefault="00E0219E">
            <w:pPr>
              <w:widowControl w:val="0"/>
              <w:pBdr>
                <w:top w:val="nil"/>
                <w:left w:val="nil"/>
                <w:bottom w:val="nil"/>
                <w:right w:val="nil"/>
                <w:between w:val="nil"/>
              </w:pBdr>
              <w:jc w:val="center"/>
              <w:rPr>
                <w:rFonts w:eastAsia="Arial" w:cs="Arial"/>
                <w:b/>
                <w:szCs w:val="24"/>
              </w:rPr>
            </w:pPr>
            <w:r>
              <w:rPr>
                <w:rFonts w:eastAsia="Arial" w:cs="Arial"/>
                <w:b/>
                <w:szCs w:val="24"/>
              </w:rPr>
              <w:t>SBP/DBP, mm Hg</w:t>
            </w:r>
          </w:p>
        </w:tc>
      </w:tr>
      <w:tr w:rsidR="007C6854" w14:paraId="624AF14E" w14:textId="77777777">
        <w:tc>
          <w:tcPr>
            <w:tcW w:w="4320" w:type="dxa"/>
            <w:shd w:val="clear" w:color="auto" w:fill="auto"/>
            <w:tcMar>
              <w:top w:w="100" w:type="dxa"/>
              <w:left w:w="100" w:type="dxa"/>
              <w:bottom w:w="100" w:type="dxa"/>
              <w:right w:w="100" w:type="dxa"/>
            </w:tcMar>
          </w:tcPr>
          <w:p w14:paraId="5260A68C" w14:textId="77777777" w:rsidR="007C6854" w:rsidRDefault="00E0219E">
            <w:pPr>
              <w:widowControl w:val="0"/>
              <w:pBdr>
                <w:top w:val="nil"/>
                <w:left w:val="nil"/>
                <w:bottom w:val="nil"/>
                <w:right w:val="nil"/>
                <w:between w:val="nil"/>
              </w:pBdr>
              <w:rPr>
                <w:rFonts w:eastAsia="Arial" w:cs="Arial"/>
                <w:szCs w:val="24"/>
              </w:rPr>
            </w:pPr>
            <w:r>
              <w:rPr>
                <w:rFonts w:eastAsia="Arial" w:cs="Arial"/>
                <w:szCs w:val="24"/>
              </w:rPr>
              <w:t>Office BP</w:t>
            </w:r>
          </w:p>
        </w:tc>
        <w:tc>
          <w:tcPr>
            <w:tcW w:w="4320" w:type="dxa"/>
            <w:shd w:val="clear" w:color="auto" w:fill="auto"/>
            <w:tcMar>
              <w:top w:w="100" w:type="dxa"/>
              <w:left w:w="100" w:type="dxa"/>
              <w:bottom w:w="100" w:type="dxa"/>
              <w:right w:w="100" w:type="dxa"/>
            </w:tcMar>
          </w:tcPr>
          <w:p w14:paraId="60E23CFF" w14:textId="77777777" w:rsidR="007C6854" w:rsidRDefault="00000000">
            <w:pPr>
              <w:widowControl w:val="0"/>
              <w:pBdr>
                <w:top w:val="nil"/>
                <w:left w:val="nil"/>
                <w:bottom w:val="nil"/>
                <w:right w:val="nil"/>
                <w:between w:val="nil"/>
              </w:pBdr>
              <w:jc w:val="center"/>
              <w:rPr>
                <w:rFonts w:eastAsia="Arial" w:cs="Arial"/>
                <w:szCs w:val="24"/>
              </w:rPr>
            </w:pPr>
            <w:sdt>
              <w:sdtPr>
                <w:tag w:val="goog_rdk_14"/>
                <w:id w:val="1999765008"/>
              </w:sdtPr>
              <w:sdtContent>
                <w:r w:rsidR="00E0219E">
                  <w:rPr>
                    <w:rFonts w:ascii="Arial Unicode MS" w:eastAsia="Arial Unicode MS" w:hAnsi="Arial Unicode MS" w:cs="Arial Unicode MS"/>
                    <w:szCs w:val="24"/>
                  </w:rPr>
                  <w:t>≥140 and/or ≥90</w:t>
                </w:r>
              </w:sdtContent>
            </w:sdt>
          </w:p>
        </w:tc>
      </w:tr>
    </w:tbl>
    <w:p w14:paraId="70182209" w14:textId="77777777" w:rsidR="007C6854" w:rsidRDefault="007C6854">
      <w:pPr>
        <w:pBdr>
          <w:top w:val="nil"/>
          <w:left w:val="nil"/>
          <w:bottom w:val="nil"/>
          <w:right w:val="nil"/>
          <w:between w:val="nil"/>
        </w:pBdr>
        <w:spacing w:after="160" w:line="360" w:lineRule="auto"/>
        <w:rPr>
          <w:rFonts w:eastAsia="Arial" w:cs="Arial"/>
          <w:szCs w:val="24"/>
        </w:rPr>
      </w:pPr>
    </w:p>
    <w:p w14:paraId="68DEB844" w14:textId="77777777" w:rsidR="007C6854" w:rsidRDefault="00E0219E">
      <w:pPr>
        <w:pBdr>
          <w:top w:val="nil"/>
          <w:left w:val="nil"/>
          <w:bottom w:val="nil"/>
          <w:right w:val="nil"/>
          <w:between w:val="nil"/>
        </w:pBdr>
        <w:spacing w:after="160" w:line="360" w:lineRule="auto"/>
        <w:rPr>
          <w:rFonts w:eastAsia="Arial" w:cs="Arial"/>
          <w:b/>
          <w:szCs w:val="24"/>
        </w:rPr>
      </w:pPr>
      <w:r>
        <w:br w:type="page"/>
      </w:r>
    </w:p>
    <w:p w14:paraId="434FF26D" w14:textId="77777777" w:rsidR="007C6854" w:rsidRDefault="00E0219E">
      <w:pPr>
        <w:pStyle w:val="Heading2"/>
        <w:jc w:val="center"/>
        <w:rPr>
          <w:rFonts w:eastAsia="Arial" w:cs="Arial"/>
          <w:sz w:val="24"/>
          <w:szCs w:val="24"/>
        </w:rPr>
      </w:pPr>
      <w:bookmarkStart w:id="78" w:name="_heading=h.3hv69ve" w:colFirst="0" w:colLast="0"/>
      <w:bookmarkEnd w:id="78"/>
      <w:r>
        <w:rPr>
          <w:rFonts w:eastAsia="Arial" w:cs="Arial"/>
          <w:sz w:val="24"/>
          <w:szCs w:val="24"/>
        </w:rPr>
        <w:lastRenderedPageBreak/>
        <w:t>Appendix G: Sample Size Computation</w:t>
      </w:r>
    </w:p>
    <w:p w14:paraId="6D1424C0" w14:textId="77777777" w:rsidR="007C6854" w:rsidRDefault="007C6854"/>
    <w:p w14:paraId="38D2BBD5" w14:textId="77777777" w:rsidR="007C6854" w:rsidRDefault="00E0219E">
      <w:pPr>
        <w:spacing w:line="360" w:lineRule="auto"/>
        <w:ind w:firstLine="420"/>
        <w:jc w:val="both"/>
        <w:rPr>
          <w:rFonts w:eastAsia="Arial" w:cs="Arial"/>
          <w:szCs w:val="24"/>
        </w:rPr>
      </w:pPr>
      <w:r>
        <w:rPr>
          <w:rFonts w:eastAsia="Arial" w:cs="Arial"/>
          <w:szCs w:val="24"/>
        </w:rPr>
        <w:t xml:space="preserve">The desired sample size for this research was determined from the household line list from the previous community survey conducted by the barangay or the barangay health center.  The number of respondents were selected based on the reported adult population in the community and the average family size report in the barangay. To be able to get the desired sample size, the researcher or interviewer are stationed in the main health center or at the community post located in Sitio </w:t>
      </w:r>
      <w:proofErr w:type="spellStart"/>
      <w:r>
        <w:rPr>
          <w:rFonts w:eastAsia="Arial" w:cs="Arial"/>
          <w:szCs w:val="24"/>
        </w:rPr>
        <w:t>Bukuhan</w:t>
      </w:r>
      <w:proofErr w:type="spellEnd"/>
      <w:r>
        <w:rPr>
          <w:rFonts w:eastAsia="Arial" w:cs="Arial"/>
          <w:szCs w:val="24"/>
        </w:rPr>
        <w:t xml:space="preserve">, Santa Ana, Pateros Metro Manila or will visit the house of the identified respondent. Also, Individuals who visited the main health center or the community post who fit the research criteria were selected for the study. The sample size was determined by utilizing </w:t>
      </w:r>
      <w:proofErr w:type="spellStart"/>
      <w:r>
        <w:rPr>
          <w:rFonts w:eastAsia="Arial" w:cs="Arial"/>
          <w:szCs w:val="24"/>
        </w:rPr>
        <w:t>Jaykaran</w:t>
      </w:r>
      <w:proofErr w:type="spellEnd"/>
      <w:r>
        <w:rPr>
          <w:rFonts w:eastAsia="Arial" w:cs="Arial"/>
          <w:szCs w:val="24"/>
        </w:rPr>
        <w:t xml:space="preserve">, Charan, &amp; </w:t>
      </w:r>
      <w:proofErr w:type="spellStart"/>
      <w:r>
        <w:rPr>
          <w:rFonts w:eastAsia="Arial" w:cs="Arial"/>
          <w:szCs w:val="24"/>
        </w:rPr>
        <w:t>Tamaghna</w:t>
      </w:r>
      <w:proofErr w:type="spellEnd"/>
      <w:r>
        <w:rPr>
          <w:rFonts w:eastAsia="Arial" w:cs="Arial"/>
          <w:szCs w:val="24"/>
        </w:rPr>
        <w:t xml:space="preserve"> Biswas (2013) recommended sample size calculation for cross-sectional studies or surveys It was computed using the formula below </w:t>
      </w:r>
    </w:p>
    <w:p w14:paraId="077CAB61" w14:textId="77777777" w:rsidR="007C6854" w:rsidRDefault="00E0219E">
      <w:pPr>
        <w:spacing w:line="360" w:lineRule="auto"/>
        <w:ind w:left="220" w:firstLine="240"/>
        <w:jc w:val="both"/>
        <w:rPr>
          <w:rFonts w:eastAsia="Arial" w:cs="Arial"/>
          <w:szCs w:val="24"/>
        </w:rPr>
      </w:pPr>
      <w:r>
        <w:rPr>
          <w:rFonts w:eastAsia="Arial" w:cs="Arial"/>
          <w:noProof/>
          <w:szCs w:val="24"/>
        </w:rPr>
        <w:drawing>
          <wp:inline distT="0" distB="0" distL="0" distR="0" wp14:anchorId="29DF6EFE" wp14:editId="7BB1C62F">
            <wp:extent cx="1943100" cy="579120"/>
            <wp:effectExtent l="0" t="0" r="0" b="0"/>
            <wp:docPr id="75" name="image5.png" descr="C:\Users\RMARTI~1\AppData\Local\Temp\ksohtml5208\wps6.png"/>
            <wp:cNvGraphicFramePr/>
            <a:graphic xmlns:a="http://schemas.openxmlformats.org/drawingml/2006/main">
              <a:graphicData uri="http://schemas.openxmlformats.org/drawingml/2006/picture">
                <pic:pic xmlns:pic="http://schemas.openxmlformats.org/drawingml/2006/picture">
                  <pic:nvPicPr>
                    <pic:cNvPr id="0" name="image5.png" descr="C:\Users\RMARTI~1\AppData\Local\Temp\ksohtml5208\wps6.png"/>
                    <pic:cNvPicPr preferRelativeResize="0"/>
                  </pic:nvPicPr>
                  <pic:blipFill>
                    <a:blip r:embed="rId231"/>
                    <a:srcRect/>
                    <a:stretch>
                      <a:fillRect/>
                    </a:stretch>
                  </pic:blipFill>
                  <pic:spPr>
                    <a:xfrm>
                      <a:off x="0" y="0"/>
                      <a:ext cx="1943100" cy="579120"/>
                    </a:xfrm>
                    <a:prstGeom prst="rect">
                      <a:avLst/>
                    </a:prstGeom>
                    <a:ln/>
                  </pic:spPr>
                </pic:pic>
              </a:graphicData>
            </a:graphic>
          </wp:inline>
        </w:drawing>
      </w:r>
    </w:p>
    <w:p w14:paraId="54C76946" w14:textId="77777777" w:rsidR="007C6854" w:rsidRDefault="00E0219E">
      <w:pPr>
        <w:spacing w:after="160" w:line="360" w:lineRule="auto"/>
        <w:ind w:left="220" w:firstLine="240"/>
        <w:jc w:val="both"/>
        <w:rPr>
          <w:rFonts w:eastAsia="Arial" w:cs="Arial"/>
          <w:szCs w:val="24"/>
        </w:rPr>
      </w:pPr>
      <w:r>
        <w:rPr>
          <w:rFonts w:eastAsia="Arial" w:cs="Arial"/>
          <w:szCs w:val="24"/>
        </w:rPr>
        <w:t>Where:</w:t>
      </w:r>
    </w:p>
    <w:p w14:paraId="011E95C0" w14:textId="77777777" w:rsidR="007C6854" w:rsidRDefault="00E0219E">
      <w:pPr>
        <w:spacing w:after="160" w:line="360" w:lineRule="auto"/>
        <w:ind w:left="220" w:firstLine="240"/>
        <w:jc w:val="both"/>
        <w:rPr>
          <w:rFonts w:eastAsia="Arial" w:cs="Arial"/>
          <w:szCs w:val="24"/>
        </w:rPr>
      </w:pPr>
      <w:r>
        <w:rPr>
          <w:rFonts w:eastAsia="Arial" w:cs="Arial"/>
          <w:noProof/>
          <w:szCs w:val="24"/>
        </w:rPr>
        <w:drawing>
          <wp:inline distT="0" distB="0" distL="0" distR="0" wp14:anchorId="6E0CF6F4" wp14:editId="026ACE7A">
            <wp:extent cx="495300" cy="198120"/>
            <wp:effectExtent l="0" t="0" r="0" b="0"/>
            <wp:docPr id="76" name="image3.png" descr="C:\Users\RMARTI~1\AppData\Local\Temp\ksohtml5208\wps7.png"/>
            <wp:cNvGraphicFramePr/>
            <a:graphic xmlns:a="http://schemas.openxmlformats.org/drawingml/2006/main">
              <a:graphicData uri="http://schemas.openxmlformats.org/drawingml/2006/picture">
                <pic:pic xmlns:pic="http://schemas.openxmlformats.org/drawingml/2006/picture">
                  <pic:nvPicPr>
                    <pic:cNvPr id="0" name="image3.png" descr="C:\Users\RMARTI~1\AppData\Local\Temp\ksohtml5208\wps7.png"/>
                    <pic:cNvPicPr preferRelativeResize="0"/>
                  </pic:nvPicPr>
                  <pic:blipFill>
                    <a:blip r:embed="rId232"/>
                    <a:srcRect/>
                    <a:stretch>
                      <a:fillRect/>
                    </a:stretch>
                  </pic:blipFill>
                  <pic:spPr>
                    <a:xfrm>
                      <a:off x="0" y="0"/>
                      <a:ext cx="495300" cy="198120"/>
                    </a:xfrm>
                    <a:prstGeom prst="rect">
                      <a:avLst/>
                    </a:prstGeom>
                    <a:ln/>
                  </pic:spPr>
                </pic:pic>
              </a:graphicData>
            </a:graphic>
          </wp:inline>
        </w:drawing>
      </w:r>
      <w:r>
        <w:rPr>
          <w:rFonts w:eastAsia="Arial" w:cs="Arial"/>
          <w:szCs w:val="24"/>
        </w:rPr>
        <w:t xml:space="preserve"> =Is the Standard normal variate (at 5% type 1 error (</w:t>
      </w:r>
      <w:r>
        <w:rPr>
          <w:rFonts w:eastAsia="Arial" w:cs="Arial"/>
          <w:i/>
          <w:szCs w:val="24"/>
        </w:rPr>
        <w:t>P</w:t>
      </w:r>
      <w:r>
        <w:rPr>
          <w:rFonts w:eastAsia="Arial" w:cs="Arial"/>
          <w:szCs w:val="24"/>
        </w:rPr>
        <w:t>&lt;0.05) it is 1.96</w:t>
      </w:r>
    </w:p>
    <w:p w14:paraId="0D6388C5" w14:textId="77777777" w:rsidR="007C6854" w:rsidRDefault="00E0219E">
      <w:pPr>
        <w:spacing w:after="160" w:line="360" w:lineRule="auto"/>
        <w:ind w:left="220" w:firstLine="241"/>
        <w:jc w:val="both"/>
        <w:rPr>
          <w:rFonts w:eastAsia="Arial" w:cs="Arial"/>
          <w:szCs w:val="24"/>
        </w:rPr>
      </w:pPr>
      <w:r>
        <w:rPr>
          <w:rFonts w:eastAsia="Arial" w:cs="Arial"/>
          <w:b/>
          <w:i/>
          <w:szCs w:val="24"/>
        </w:rPr>
        <w:t>P</w:t>
      </w:r>
      <w:r>
        <w:rPr>
          <w:rFonts w:eastAsia="Arial" w:cs="Arial"/>
          <w:i/>
          <w:szCs w:val="24"/>
        </w:rPr>
        <w:t xml:space="preserve"> </w:t>
      </w:r>
      <w:r>
        <w:rPr>
          <w:rFonts w:eastAsia="Arial" w:cs="Arial"/>
          <w:szCs w:val="24"/>
        </w:rPr>
        <w:t>= Expected proportion in the population based on previous studies or pilot studies</w:t>
      </w:r>
    </w:p>
    <w:p w14:paraId="3E82B2E0" w14:textId="77777777" w:rsidR="007C6854" w:rsidRDefault="00E0219E">
      <w:pPr>
        <w:spacing w:after="160" w:line="360" w:lineRule="auto"/>
        <w:ind w:left="220" w:firstLine="241"/>
        <w:jc w:val="both"/>
        <w:rPr>
          <w:rFonts w:eastAsia="Arial" w:cs="Arial"/>
          <w:szCs w:val="24"/>
        </w:rPr>
      </w:pPr>
      <w:r>
        <w:rPr>
          <w:rFonts w:eastAsia="Arial" w:cs="Arial"/>
          <w:b/>
          <w:i/>
          <w:szCs w:val="24"/>
        </w:rPr>
        <w:t xml:space="preserve">d </w:t>
      </w:r>
      <w:r>
        <w:rPr>
          <w:rFonts w:eastAsia="Arial" w:cs="Arial"/>
          <w:szCs w:val="24"/>
        </w:rPr>
        <w:t>= Absolute error or precision at 5%</w:t>
      </w:r>
    </w:p>
    <w:p w14:paraId="37152164" w14:textId="77777777" w:rsidR="007C6854" w:rsidRDefault="00E0219E">
      <w:pPr>
        <w:spacing w:after="160" w:line="360" w:lineRule="auto"/>
        <w:jc w:val="both"/>
        <w:rPr>
          <w:rFonts w:eastAsia="Arial" w:cs="Arial"/>
          <w:szCs w:val="24"/>
        </w:rPr>
      </w:pPr>
      <w:r>
        <w:rPr>
          <w:rFonts w:eastAsia="Arial" w:cs="Arial"/>
          <w:szCs w:val="24"/>
        </w:rPr>
        <w:t>In case the desired sample size computed is less than 10% of the population, an adjusted sample size computation formula using the Finite Population Correction (FPC) (</w:t>
      </w:r>
      <w:r>
        <w:rPr>
          <w:rFonts w:eastAsia="Arial" w:cs="Arial"/>
          <w:i/>
          <w:szCs w:val="24"/>
        </w:rPr>
        <w:t>Estimation and Sample Size Determination for Finite Population)</w:t>
      </w:r>
      <w:r>
        <w:rPr>
          <w:rFonts w:eastAsia="Arial" w:cs="Arial"/>
          <w:szCs w:val="24"/>
        </w:rPr>
        <w:t xml:space="preserve"> was measured. This was demonstrated by using the formula below:</w:t>
      </w:r>
    </w:p>
    <w:p w14:paraId="40AECB9A" w14:textId="77777777" w:rsidR="007C6854" w:rsidRDefault="00E0219E">
      <w:pPr>
        <w:spacing w:after="160" w:line="360" w:lineRule="auto"/>
        <w:jc w:val="both"/>
        <w:rPr>
          <w:rFonts w:eastAsia="Arial" w:cs="Arial"/>
          <w:szCs w:val="24"/>
        </w:rPr>
      </w:pPr>
      <w:r>
        <w:rPr>
          <w:rFonts w:eastAsia="Arial" w:cs="Arial"/>
          <w:szCs w:val="24"/>
        </w:rPr>
        <w:t>n = N*X / (X + N-1)</w:t>
      </w:r>
    </w:p>
    <w:p w14:paraId="0CC5975C" w14:textId="77777777" w:rsidR="007C6854" w:rsidRDefault="00E0219E">
      <w:pPr>
        <w:spacing w:after="160" w:line="360" w:lineRule="auto"/>
        <w:jc w:val="both"/>
        <w:rPr>
          <w:rFonts w:eastAsia="Arial" w:cs="Arial"/>
          <w:szCs w:val="24"/>
        </w:rPr>
      </w:pPr>
      <w:r>
        <w:rPr>
          <w:rFonts w:eastAsia="Arial" w:cs="Arial"/>
          <w:szCs w:val="24"/>
        </w:rPr>
        <w:lastRenderedPageBreak/>
        <w:t xml:space="preserve">Where, </w:t>
      </w:r>
    </w:p>
    <w:p w14:paraId="134C51AE" w14:textId="77777777" w:rsidR="007C6854" w:rsidRDefault="00E0219E">
      <w:pPr>
        <w:spacing w:after="160" w:line="360" w:lineRule="auto"/>
        <w:jc w:val="both"/>
        <w:rPr>
          <w:rFonts w:eastAsia="Arial" w:cs="Arial"/>
          <w:szCs w:val="24"/>
        </w:rPr>
      </w:pPr>
      <w:r>
        <w:rPr>
          <w:rFonts w:eastAsia="Arial" w:cs="Arial"/>
          <w:szCs w:val="24"/>
        </w:rPr>
        <w:t>N = Population size</w:t>
      </w:r>
    </w:p>
    <w:p w14:paraId="71E64EF5" w14:textId="77777777" w:rsidR="007C6854" w:rsidRDefault="00E0219E">
      <w:pPr>
        <w:spacing w:after="160" w:line="360" w:lineRule="auto"/>
        <w:jc w:val="both"/>
        <w:rPr>
          <w:rFonts w:eastAsia="Arial" w:cs="Arial"/>
          <w:szCs w:val="24"/>
        </w:rPr>
      </w:pPr>
      <w:r>
        <w:rPr>
          <w:rFonts w:eastAsia="Arial" w:cs="Arial"/>
          <w:szCs w:val="24"/>
        </w:rPr>
        <w:t>X = Sample size calculated</w:t>
      </w:r>
    </w:p>
    <w:p w14:paraId="2B700989" w14:textId="77777777" w:rsidR="007C6854" w:rsidRDefault="00E0219E">
      <w:pPr>
        <w:spacing w:after="160" w:line="360" w:lineRule="auto"/>
        <w:ind w:firstLine="420"/>
        <w:jc w:val="both"/>
        <w:rPr>
          <w:rFonts w:eastAsia="Arial" w:cs="Arial"/>
          <w:szCs w:val="24"/>
        </w:rPr>
      </w:pPr>
      <w:r>
        <w:rPr>
          <w:rFonts w:eastAsia="Arial" w:cs="Arial"/>
          <w:szCs w:val="24"/>
        </w:rPr>
        <w:t xml:space="preserve">The table below shows the computation of the sample size and the decided sample size that the researcher considered for this study (Table 3). </w:t>
      </w:r>
    </w:p>
    <w:p w14:paraId="042AA26B" w14:textId="77777777" w:rsidR="007C6854" w:rsidRDefault="00E0219E">
      <w:pPr>
        <w:spacing w:after="160" w:line="360" w:lineRule="auto"/>
        <w:jc w:val="center"/>
        <w:rPr>
          <w:rFonts w:eastAsia="Arial" w:cs="Arial"/>
          <w:szCs w:val="24"/>
        </w:rPr>
      </w:pPr>
      <w:r>
        <w:rPr>
          <w:rFonts w:eastAsia="Arial" w:cs="Arial"/>
          <w:b/>
          <w:szCs w:val="24"/>
        </w:rPr>
        <w:t xml:space="preserve">Table 4: </w:t>
      </w:r>
      <w:r>
        <w:rPr>
          <w:rFonts w:eastAsia="Arial" w:cs="Arial"/>
          <w:szCs w:val="24"/>
        </w:rPr>
        <w:t>Sample Size Computation and Decided Sample Size</w:t>
      </w:r>
    </w:p>
    <w:tbl>
      <w:tblPr>
        <w:tblStyle w:val="affff1"/>
        <w:tblW w:w="906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96"/>
        <w:gridCol w:w="1134"/>
        <w:gridCol w:w="1560"/>
        <w:gridCol w:w="1842"/>
        <w:gridCol w:w="1418"/>
        <w:gridCol w:w="1417"/>
      </w:tblGrid>
      <w:tr w:rsidR="007C6854" w14:paraId="400FDFD3" w14:textId="77777777">
        <w:trPr>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2A58795" w14:textId="77777777" w:rsidR="007C6854" w:rsidRDefault="007C6854">
            <w:pPr>
              <w:ind w:left="220"/>
              <w:rPr>
                <w:rFonts w:eastAsia="Arial" w:cs="Arial"/>
              </w:rPr>
            </w:pPr>
          </w:p>
        </w:tc>
        <w:tc>
          <w:tcPr>
            <w:tcW w:w="1134" w:type="dxa"/>
            <w:tcBorders>
              <w:top w:val="single" w:sz="4" w:space="0" w:color="000000"/>
              <w:left w:val="nil"/>
              <w:bottom w:val="single" w:sz="4" w:space="0" w:color="000000"/>
              <w:right w:val="single" w:sz="4" w:space="0" w:color="000000"/>
            </w:tcBorders>
            <w:shd w:val="clear" w:color="auto" w:fill="auto"/>
            <w:vAlign w:val="center"/>
          </w:tcPr>
          <w:p w14:paraId="534F5F7B" w14:textId="77777777" w:rsidR="007C6854" w:rsidRDefault="00E0219E">
            <w:pPr>
              <w:ind w:left="220"/>
              <w:jc w:val="center"/>
              <w:rPr>
                <w:rFonts w:eastAsia="Arial" w:cs="Arial"/>
                <w:b/>
              </w:rPr>
            </w:pPr>
            <w:r>
              <w:rPr>
                <w:rFonts w:eastAsia="Arial" w:cs="Arial"/>
                <w:b/>
              </w:rPr>
              <w:t>5% Type 1 error</w:t>
            </w:r>
          </w:p>
        </w:tc>
        <w:tc>
          <w:tcPr>
            <w:tcW w:w="1560" w:type="dxa"/>
            <w:tcBorders>
              <w:top w:val="single" w:sz="4" w:space="0" w:color="000000"/>
              <w:left w:val="nil"/>
              <w:bottom w:val="single" w:sz="4" w:space="0" w:color="000000"/>
              <w:right w:val="single" w:sz="4" w:space="0" w:color="000000"/>
            </w:tcBorders>
            <w:shd w:val="clear" w:color="auto" w:fill="auto"/>
            <w:vAlign w:val="center"/>
          </w:tcPr>
          <w:p w14:paraId="270ED15E" w14:textId="77777777" w:rsidR="007C6854" w:rsidRDefault="00E0219E">
            <w:pPr>
              <w:ind w:left="220"/>
              <w:jc w:val="center"/>
              <w:rPr>
                <w:rFonts w:eastAsia="Arial" w:cs="Arial"/>
                <w:b/>
              </w:rPr>
            </w:pPr>
            <w:r>
              <w:rPr>
                <w:rFonts w:eastAsia="Arial" w:cs="Arial"/>
                <w:b/>
              </w:rPr>
              <w:t>Prevalence</w:t>
            </w:r>
          </w:p>
        </w:tc>
        <w:tc>
          <w:tcPr>
            <w:tcW w:w="1842" w:type="dxa"/>
            <w:tcBorders>
              <w:top w:val="single" w:sz="4" w:space="0" w:color="000000"/>
              <w:left w:val="nil"/>
              <w:bottom w:val="single" w:sz="4" w:space="0" w:color="000000"/>
              <w:right w:val="single" w:sz="4" w:space="0" w:color="000000"/>
            </w:tcBorders>
            <w:shd w:val="clear" w:color="auto" w:fill="auto"/>
            <w:vAlign w:val="center"/>
          </w:tcPr>
          <w:p w14:paraId="7E82DB43" w14:textId="77777777" w:rsidR="007C6854" w:rsidRDefault="00E0219E">
            <w:pPr>
              <w:ind w:left="220"/>
              <w:jc w:val="center"/>
              <w:rPr>
                <w:rFonts w:eastAsia="Arial" w:cs="Arial"/>
                <w:b/>
              </w:rPr>
            </w:pPr>
            <w:r>
              <w:rPr>
                <w:rFonts w:eastAsia="Arial" w:cs="Arial"/>
                <w:b/>
              </w:rPr>
              <w:t>Citation</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D228A8E" w14:textId="77777777" w:rsidR="007C6854" w:rsidRDefault="00E0219E">
            <w:pPr>
              <w:ind w:left="220"/>
              <w:jc w:val="center"/>
              <w:rPr>
                <w:rFonts w:eastAsia="Arial" w:cs="Arial"/>
                <w:b/>
              </w:rPr>
            </w:pPr>
            <w:r>
              <w:rPr>
                <w:rFonts w:eastAsia="Arial" w:cs="Arial"/>
                <w:b/>
              </w:rPr>
              <w:t>Absolute Error or Precision</w:t>
            </w:r>
          </w:p>
        </w:tc>
        <w:tc>
          <w:tcPr>
            <w:tcW w:w="1417" w:type="dxa"/>
            <w:tcBorders>
              <w:top w:val="single" w:sz="4" w:space="0" w:color="000000"/>
              <w:left w:val="nil"/>
              <w:bottom w:val="single" w:sz="4" w:space="0" w:color="000000"/>
              <w:right w:val="single" w:sz="4" w:space="0" w:color="000000"/>
            </w:tcBorders>
            <w:shd w:val="clear" w:color="auto" w:fill="auto"/>
            <w:vAlign w:val="center"/>
          </w:tcPr>
          <w:p w14:paraId="312A551C" w14:textId="77777777" w:rsidR="007C6854" w:rsidRDefault="00E0219E">
            <w:pPr>
              <w:ind w:left="220"/>
              <w:jc w:val="center"/>
              <w:rPr>
                <w:rFonts w:eastAsia="Arial" w:cs="Arial"/>
                <w:b/>
              </w:rPr>
            </w:pPr>
            <w:r>
              <w:rPr>
                <w:rFonts w:eastAsia="Arial" w:cs="Arial"/>
                <w:b/>
              </w:rPr>
              <w:t>Sample Size</w:t>
            </w:r>
          </w:p>
        </w:tc>
      </w:tr>
      <w:tr w:rsidR="007C6854" w14:paraId="671BA942" w14:textId="77777777">
        <w:trPr>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C0A7486" w14:textId="77777777" w:rsidR="007C6854" w:rsidRDefault="00E0219E">
            <w:pPr>
              <w:ind w:left="220"/>
              <w:rPr>
                <w:rFonts w:eastAsia="Arial" w:cs="Arial"/>
              </w:rPr>
            </w:pPr>
            <w:r>
              <w:rPr>
                <w:rFonts w:eastAsia="Arial" w:cs="Arial"/>
              </w:rPr>
              <w:t>Hypertension</w:t>
            </w:r>
          </w:p>
        </w:tc>
        <w:tc>
          <w:tcPr>
            <w:tcW w:w="1134" w:type="dxa"/>
            <w:tcBorders>
              <w:top w:val="single" w:sz="4" w:space="0" w:color="000000"/>
              <w:left w:val="nil"/>
              <w:bottom w:val="single" w:sz="4" w:space="0" w:color="000000"/>
              <w:right w:val="single" w:sz="4" w:space="0" w:color="000000"/>
            </w:tcBorders>
            <w:shd w:val="clear" w:color="auto" w:fill="auto"/>
            <w:vAlign w:val="center"/>
          </w:tcPr>
          <w:p w14:paraId="78250E78" w14:textId="77777777" w:rsidR="007C6854" w:rsidRDefault="00E0219E">
            <w:pPr>
              <w:ind w:left="220"/>
              <w:jc w:val="center"/>
              <w:rPr>
                <w:rFonts w:eastAsia="Arial" w:cs="Arial"/>
              </w:rPr>
            </w:pPr>
            <w:r>
              <w:rPr>
                <w:rFonts w:eastAsia="Arial" w:cs="Arial"/>
              </w:rPr>
              <w:t>1.96</w:t>
            </w:r>
          </w:p>
        </w:tc>
        <w:tc>
          <w:tcPr>
            <w:tcW w:w="1560" w:type="dxa"/>
            <w:tcBorders>
              <w:top w:val="single" w:sz="4" w:space="0" w:color="000000"/>
              <w:left w:val="nil"/>
              <w:bottom w:val="single" w:sz="4" w:space="0" w:color="000000"/>
              <w:right w:val="single" w:sz="4" w:space="0" w:color="000000"/>
            </w:tcBorders>
            <w:shd w:val="clear" w:color="auto" w:fill="auto"/>
            <w:vAlign w:val="center"/>
          </w:tcPr>
          <w:p w14:paraId="40A910F9" w14:textId="77777777" w:rsidR="007C6854" w:rsidRDefault="00E0219E">
            <w:pPr>
              <w:ind w:left="220"/>
              <w:jc w:val="center"/>
              <w:rPr>
                <w:rFonts w:eastAsia="Arial" w:cs="Arial"/>
              </w:rPr>
            </w:pPr>
            <w:r>
              <w:rPr>
                <w:rFonts w:eastAsia="Arial" w:cs="Arial"/>
              </w:rPr>
              <w:t>11.9%</w:t>
            </w:r>
          </w:p>
        </w:tc>
        <w:tc>
          <w:tcPr>
            <w:tcW w:w="1842" w:type="dxa"/>
            <w:tcBorders>
              <w:top w:val="single" w:sz="4" w:space="0" w:color="000000"/>
              <w:left w:val="nil"/>
              <w:bottom w:val="single" w:sz="4" w:space="0" w:color="000000"/>
              <w:right w:val="single" w:sz="4" w:space="0" w:color="000000"/>
            </w:tcBorders>
            <w:shd w:val="clear" w:color="auto" w:fill="auto"/>
            <w:vAlign w:val="center"/>
          </w:tcPr>
          <w:p w14:paraId="30FCF234" w14:textId="77777777" w:rsidR="007C6854" w:rsidRDefault="00E0219E">
            <w:pPr>
              <w:ind w:left="220"/>
              <w:jc w:val="center"/>
              <w:rPr>
                <w:rFonts w:eastAsia="Arial" w:cs="Arial"/>
              </w:rPr>
            </w:pPr>
            <w:r>
              <w:rPr>
                <w:rFonts w:eastAsia="Arial" w:cs="Arial"/>
              </w:rPr>
              <w:t>Min, H. et al. (2010)</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2E4953F" w14:textId="77777777" w:rsidR="007C6854" w:rsidRDefault="00E0219E">
            <w:pPr>
              <w:ind w:left="220"/>
              <w:jc w:val="center"/>
              <w:rPr>
                <w:rFonts w:eastAsia="Arial" w:cs="Arial"/>
              </w:rPr>
            </w:pPr>
            <w:r>
              <w:rPr>
                <w:rFonts w:eastAsia="Arial" w:cs="Arial"/>
              </w:rPr>
              <w:t>5%</w:t>
            </w:r>
          </w:p>
        </w:tc>
        <w:tc>
          <w:tcPr>
            <w:tcW w:w="1417" w:type="dxa"/>
            <w:tcBorders>
              <w:top w:val="single" w:sz="4" w:space="0" w:color="000000"/>
              <w:left w:val="nil"/>
              <w:bottom w:val="single" w:sz="4" w:space="0" w:color="000000"/>
              <w:right w:val="single" w:sz="4" w:space="0" w:color="000000"/>
            </w:tcBorders>
            <w:shd w:val="clear" w:color="auto" w:fill="auto"/>
            <w:vAlign w:val="center"/>
          </w:tcPr>
          <w:p w14:paraId="463E825B" w14:textId="77777777" w:rsidR="007C6854" w:rsidRDefault="00E0219E">
            <w:pPr>
              <w:ind w:left="220"/>
              <w:jc w:val="center"/>
              <w:rPr>
                <w:rFonts w:eastAsia="Arial" w:cs="Arial"/>
              </w:rPr>
            </w:pPr>
            <w:r>
              <w:rPr>
                <w:rFonts w:eastAsia="Arial" w:cs="Arial"/>
              </w:rPr>
              <w:t>161</w:t>
            </w:r>
          </w:p>
        </w:tc>
      </w:tr>
      <w:tr w:rsidR="007C6854" w14:paraId="48823845" w14:textId="77777777">
        <w:trPr>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B393EC4" w14:textId="77777777" w:rsidR="007C6854" w:rsidRDefault="007C6854">
            <w:pPr>
              <w:ind w:left="220"/>
              <w:rPr>
                <w:rFonts w:eastAsia="Arial" w:cs="Arial"/>
              </w:rPr>
            </w:pPr>
          </w:p>
        </w:tc>
        <w:tc>
          <w:tcPr>
            <w:tcW w:w="1134" w:type="dxa"/>
            <w:tcBorders>
              <w:top w:val="single" w:sz="4" w:space="0" w:color="000000"/>
              <w:left w:val="nil"/>
              <w:bottom w:val="single" w:sz="4" w:space="0" w:color="000000"/>
              <w:right w:val="single" w:sz="4" w:space="0" w:color="000000"/>
            </w:tcBorders>
            <w:shd w:val="clear" w:color="auto" w:fill="auto"/>
            <w:vAlign w:val="center"/>
          </w:tcPr>
          <w:p w14:paraId="4E29AD5C" w14:textId="77777777" w:rsidR="007C6854" w:rsidRDefault="00E0219E">
            <w:pPr>
              <w:ind w:left="220"/>
              <w:jc w:val="center"/>
              <w:rPr>
                <w:rFonts w:eastAsia="Arial" w:cs="Arial"/>
              </w:rPr>
            </w:pPr>
            <w:r>
              <w:rPr>
                <w:rFonts w:eastAsia="Arial" w:cs="Arial"/>
              </w:rPr>
              <w:t>1.96</w:t>
            </w:r>
          </w:p>
        </w:tc>
        <w:tc>
          <w:tcPr>
            <w:tcW w:w="1560" w:type="dxa"/>
            <w:tcBorders>
              <w:top w:val="single" w:sz="4" w:space="0" w:color="000000"/>
              <w:left w:val="nil"/>
              <w:bottom w:val="single" w:sz="4" w:space="0" w:color="000000"/>
              <w:right w:val="single" w:sz="4" w:space="0" w:color="000000"/>
            </w:tcBorders>
            <w:shd w:val="clear" w:color="auto" w:fill="auto"/>
            <w:vAlign w:val="center"/>
          </w:tcPr>
          <w:p w14:paraId="2FEC7931" w14:textId="77777777" w:rsidR="007C6854" w:rsidRDefault="00E0219E">
            <w:pPr>
              <w:ind w:left="220"/>
              <w:jc w:val="center"/>
              <w:rPr>
                <w:rFonts w:eastAsia="Arial" w:cs="Arial"/>
              </w:rPr>
            </w:pPr>
            <w:r>
              <w:rPr>
                <w:rFonts w:eastAsia="Arial" w:cs="Arial"/>
              </w:rPr>
              <w:t>25%</w:t>
            </w:r>
          </w:p>
        </w:tc>
        <w:tc>
          <w:tcPr>
            <w:tcW w:w="1842" w:type="dxa"/>
            <w:tcBorders>
              <w:top w:val="single" w:sz="4" w:space="0" w:color="000000"/>
              <w:left w:val="nil"/>
              <w:bottom w:val="single" w:sz="4" w:space="0" w:color="000000"/>
              <w:right w:val="single" w:sz="4" w:space="0" w:color="000000"/>
            </w:tcBorders>
            <w:shd w:val="clear" w:color="auto" w:fill="auto"/>
            <w:vAlign w:val="center"/>
          </w:tcPr>
          <w:p w14:paraId="1DF20D51" w14:textId="77777777" w:rsidR="007C6854" w:rsidRDefault="00E0219E">
            <w:pPr>
              <w:ind w:left="220"/>
              <w:jc w:val="center"/>
              <w:rPr>
                <w:rFonts w:eastAsia="Arial" w:cs="Arial"/>
              </w:rPr>
            </w:pPr>
            <w:proofErr w:type="spellStart"/>
            <w:r>
              <w:rPr>
                <w:rFonts w:eastAsia="Arial" w:cs="Arial"/>
              </w:rPr>
              <w:t>Bâ</w:t>
            </w:r>
            <w:proofErr w:type="spellEnd"/>
            <w:r>
              <w:rPr>
                <w:rFonts w:eastAsia="Arial" w:cs="Arial"/>
              </w:rPr>
              <w:t>, H.O., et al (2018)</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9F59EF6" w14:textId="77777777" w:rsidR="007C6854" w:rsidRDefault="00E0219E">
            <w:pPr>
              <w:ind w:left="220"/>
              <w:jc w:val="center"/>
              <w:rPr>
                <w:rFonts w:eastAsia="Arial" w:cs="Arial"/>
              </w:rPr>
            </w:pPr>
            <w:r>
              <w:rPr>
                <w:rFonts w:eastAsia="Arial" w:cs="Arial"/>
              </w:rPr>
              <w:t>5%</w:t>
            </w:r>
          </w:p>
        </w:tc>
        <w:tc>
          <w:tcPr>
            <w:tcW w:w="1417" w:type="dxa"/>
            <w:tcBorders>
              <w:top w:val="single" w:sz="4" w:space="0" w:color="000000"/>
              <w:left w:val="nil"/>
              <w:bottom w:val="single" w:sz="4" w:space="0" w:color="000000"/>
              <w:right w:val="single" w:sz="4" w:space="0" w:color="000000"/>
            </w:tcBorders>
            <w:shd w:val="clear" w:color="auto" w:fill="auto"/>
            <w:vAlign w:val="center"/>
          </w:tcPr>
          <w:p w14:paraId="0EE02899" w14:textId="77777777" w:rsidR="007C6854" w:rsidRDefault="00E0219E">
            <w:pPr>
              <w:ind w:left="220"/>
              <w:jc w:val="center"/>
              <w:rPr>
                <w:rFonts w:eastAsia="Arial" w:cs="Arial"/>
              </w:rPr>
            </w:pPr>
            <w:r>
              <w:rPr>
                <w:rFonts w:eastAsia="Arial" w:cs="Arial"/>
              </w:rPr>
              <w:t>288</w:t>
            </w:r>
          </w:p>
        </w:tc>
      </w:tr>
      <w:tr w:rsidR="007C6854" w14:paraId="6B374C06" w14:textId="77777777">
        <w:trPr>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6B57BDE" w14:textId="77777777" w:rsidR="007C6854" w:rsidRDefault="007C6854">
            <w:pPr>
              <w:ind w:left="220"/>
              <w:rPr>
                <w:rFonts w:eastAsia="Arial" w:cs="Arial"/>
              </w:rPr>
            </w:pPr>
          </w:p>
        </w:tc>
        <w:tc>
          <w:tcPr>
            <w:tcW w:w="1134" w:type="dxa"/>
            <w:tcBorders>
              <w:top w:val="single" w:sz="4" w:space="0" w:color="000000"/>
              <w:left w:val="nil"/>
              <w:bottom w:val="single" w:sz="4" w:space="0" w:color="000000"/>
              <w:right w:val="single" w:sz="4" w:space="0" w:color="000000"/>
            </w:tcBorders>
            <w:shd w:val="clear" w:color="auto" w:fill="auto"/>
            <w:vAlign w:val="center"/>
          </w:tcPr>
          <w:p w14:paraId="3B5DD475" w14:textId="77777777" w:rsidR="007C6854" w:rsidRDefault="00E0219E">
            <w:pPr>
              <w:ind w:left="220"/>
              <w:jc w:val="center"/>
              <w:rPr>
                <w:rFonts w:eastAsia="Arial" w:cs="Arial"/>
              </w:rPr>
            </w:pPr>
            <w:r>
              <w:rPr>
                <w:rFonts w:eastAsia="Arial" w:cs="Arial"/>
              </w:rPr>
              <w:t>1.96</w:t>
            </w:r>
          </w:p>
        </w:tc>
        <w:tc>
          <w:tcPr>
            <w:tcW w:w="1560" w:type="dxa"/>
            <w:tcBorders>
              <w:top w:val="single" w:sz="4" w:space="0" w:color="000000"/>
              <w:left w:val="nil"/>
              <w:bottom w:val="single" w:sz="4" w:space="0" w:color="000000"/>
              <w:right w:val="single" w:sz="4" w:space="0" w:color="000000"/>
            </w:tcBorders>
            <w:shd w:val="clear" w:color="auto" w:fill="auto"/>
            <w:vAlign w:val="center"/>
          </w:tcPr>
          <w:p w14:paraId="19AC5A0F" w14:textId="77777777" w:rsidR="007C6854" w:rsidRDefault="00E0219E">
            <w:pPr>
              <w:ind w:left="220"/>
              <w:jc w:val="center"/>
              <w:rPr>
                <w:rFonts w:eastAsia="Arial" w:cs="Arial"/>
              </w:rPr>
            </w:pPr>
            <w:r>
              <w:rPr>
                <w:rFonts w:eastAsia="Arial" w:cs="Arial"/>
              </w:rPr>
              <w:t>22.6%</w:t>
            </w:r>
          </w:p>
        </w:tc>
        <w:tc>
          <w:tcPr>
            <w:tcW w:w="1842" w:type="dxa"/>
            <w:tcBorders>
              <w:top w:val="single" w:sz="4" w:space="0" w:color="000000"/>
              <w:left w:val="nil"/>
              <w:bottom w:val="single" w:sz="4" w:space="0" w:color="000000"/>
              <w:right w:val="single" w:sz="4" w:space="0" w:color="000000"/>
            </w:tcBorders>
            <w:shd w:val="clear" w:color="auto" w:fill="auto"/>
            <w:vAlign w:val="center"/>
          </w:tcPr>
          <w:p w14:paraId="0407A4DB" w14:textId="77777777" w:rsidR="007C6854" w:rsidRDefault="00E0219E">
            <w:pPr>
              <w:ind w:left="220"/>
              <w:jc w:val="center"/>
              <w:rPr>
                <w:rFonts w:eastAsia="Arial" w:cs="Arial"/>
              </w:rPr>
            </w:pPr>
            <w:r>
              <w:rPr>
                <w:rFonts w:eastAsia="Arial" w:cs="Arial"/>
              </w:rPr>
              <w:t>WHO (2014)</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44C09E6" w14:textId="77777777" w:rsidR="007C6854" w:rsidRDefault="00E0219E">
            <w:pPr>
              <w:ind w:left="220"/>
              <w:jc w:val="center"/>
              <w:rPr>
                <w:rFonts w:eastAsia="Arial" w:cs="Arial"/>
              </w:rPr>
            </w:pPr>
            <w:r>
              <w:rPr>
                <w:rFonts w:eastAsia="Arial" w:cs="Arial"/>
              </w:rPr>
              <w:t>5%</w:t>
            </w:r>
          </w:p>
        </w:tc>
        <w:tc>
          <w:tcPr>
            <w:tcW w:w="1417" w:type="dxa"/>
            <w:tcBorders>
              <w:top w:val="single" w:sz="4" w:space="0" w:color="000000"/>
              <w:left w:val="nil"/>
              <w:bottom w:val="single" w:sz="4" w:space="0" w:color="000000"/>
              <w:right w:val="single" w:sz="4" w:space="0" w:color="000000"/>
            </w:tcBorders>
            <w:shd w:val="clear" w:color="auto" w:fill="auto"/>
            <w:vAlign w:val="center"/>
          </w:tcPr>
          <w:p w14:paraId="64249A10" w14:textId="77777777" w:rsidR="007C6854" w:rsidRDefault="00E0219E">
            <w:pPr>
              <w:ind w:left="220"/>
              <w:jc w:val="center"/>
              <w:rPr>
                <w:rFonts w:eastAsia="Arial" w:cs="Arial"/>
              </w:rPr>
            </w:pPr>
            <w:r>
              <w:rPr>
                <w:rFonts w:eastAsia="Arial" w:cs="Arial"/>
              </w:rPr>
              <w:t>269</w:t>
            </w:r>
          </w:p>
        </w:tc>
      </w:tr>
      <w:tr w:rsidR="007C6854" w14:paraId="06A413DB" w14:textId="77777777">
        <w:trPr>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36C77D1" w14:textId="77777777" w:rsidR="007C6854" w:rsidRDefault="007C6854">
            <w:pPr>
              <w:ind w:left="220"/>
              <w:rPr>
                <w:rFonts w:eastAsia="Arial" w:cs="Arial"/>
              </w:rPr>
            </w:pPr>
          </w:p>
        </w:tc>
        <w:tc>
          <w:tcPr>
            <w:tcW w:w="1134" w:type="dxa"/>
            <w:tcBorders>
              <w:top w:val="single" w:sz="4" w:space="0" w:color="000000"/>
              <w:left w:val="nil"/>
              <w:bottom w:val="single" w:sz="4" w:space="0" w:color="000000"/>
              <w:right w:val="single" w:sz="4" w:space="0" w:color="000000"/>
            </w:tcBorders>
            <w:shd w:val="clear" w:color="auto" w:fill="auto"/>
            <w:vAlign w:val="center"/>
          </w:tcPr>
          <w:p w14:paraId="333D6DA9" w14:textId="77777777" w:rsidR="007C6854" w:rsidRDefault="00E0219E">
            <w:pPr>
              <w:ind w:left="220"/>
              <w:jc w:val="center"/>
              <w:rPr>
                <w:rFonts w:eastAsia="Arial" w:cs="Arial"/>
              </w:rPr>
            </w:pPr>
            <w:r>
              <w:rPr>
                <w:rFonts w:eastAsia="Arial" w:cs="Arial"/>
              </w:rPr>
              <w:t>1.96</w:t>
            </w:r>
          </w:p>
        </w:tc>
        <w:tc>
          <w:tcPr>
            <w:tcW w:w="1560" w:type="dxa"/>
            <w:tcBorders>
              <w:top w:val="single" w:sz="4" w:space="0" w:color="000000"/>
              <w:left w:val="nil"/>
              <w:bottom w:val="single" w:sz="4" w:space="0" w:color="000000"/>
              <w:right w:val="single" w:sz="4" w:space="0" w:color="000000"/>
            </w:tcBorders>
            <w:shd w:val="clear" w:color="auto" w:fill="auto"/>
            <w:vAlign w:val="center"/>
          </w:tcPr>
          <w:p w14:paraId="56A4B2FA" w14:textId="77777777" w:rsidR="007C6854" w:rsidRDefault="00E0219E">
            <w:pPr>
              <w:ind w:left="220"/>
              <w:jc w:val="center"/>
              <w:rPr>
                <w:rFonts w:eastAsia="Arial" w:cs="Arial"/>
              </w:rPr>
            </w:pPr>
            <w:r>
              <w:rPr>
                <w:rFonts w:eastAsia="Arial" w:cs="Arial"/>
              </w:rPr>
              <w:t>23.9%</w:t>
            </w:r>
          </w:p>
        </w:tc>
        <w:tc>
          <w:tcPr>
            <w:tcW w:w="1842" w:type="dxa"/>
            <w:tcBorders>
              <w:top w:val="single" w:sz="4" w:space="0" w:color="000000"/>
              <w:left w:val="nil"/>
              <w:bottom w:val="single" w:sz="4" w:space="0" w:color="000000"/>
              <w:right w:val="single" w:sz="4" w:space="0" w:color="000000"/>
            </w:tcBorders>
            <w:shd w:val="clear" w:color="auto" w:fill="auto"/>
            <w:vAlign w:val="center"/>
          </w:tcPr>
          <w:p w14:paraId="0772FEB6" w14:textId="77777777" w:rsidR="007C6854" w:rsidRDefault="00E0219E">
            <w:pPr>
              <w:ind w:left="220"/>
              <w:rPr>
                <w:rFonts w:eastAsia="Arial" w:cs="Arial"/>
              </w:rPr>
            </w:pPr>
            <w:r>
              <w:rPr>
                <w:rFonts w:eastAsia="Arial" w:cs="Arial"/>
              </w:rPr>
              <w:t>NNC (2018); Dastan, I., et al (2017)</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1A23015" w14:textId="77777777" w:rsidR="007C6854" w:rsidRDefault="00E0219E">
            <w:pPr>
              <w:ind w:left="220"/>
              <w:jc w:val="center"/>
              <w:rPr>
                <w:rFonts w:eastAsia="Arial" w:cs="Arial"/>
              </w:rPr>
            </w:pPr>
            <w:r>
              <w:rPr>
                <w:rFonts w:eastAsia="Arial" w:cs="Arial"/>
              </w:rPr>
              <w:t>5%</w:t>
            </w:r>
          </w:p>
        </w:tc>
        <w:tc>
          <w:tcPr>
            <w:tcW w:w="1417" w:type="dxa"/>
            <w:tcBorders>
              <w:top w:val="single" w:sz="4" w:space="0" w:color="000000"/>
              <w:left w:val="nil"/>
              <w:bottom w:val="single" w:sz="4" w:space="0" w:color="000000"/>
              <w:right w:val="single" w:sz="4" w:space="0" w:color="000000"/>
            </w:tcBorders>
            <w:shd w:val="clear" w:color="auto" w:fill="auto"/>
            <w:vAlign w:val="center"/>
          </w:tcPr>
          <w:p w14:paraId="261B76AA" w14:textId="77777777" w:rsidR="007C6854" w:rsidRDefault="00E0219E">
            <w:pPr>
              <w:ind w:left="220"/>
              <w:jc w:val="center"/>
              <w:rPr>
                <w:rFonts w:eastAsia="Arial" w:cs="Arial"/>
              </w:rPr>
            </w:pPr>
            <w:r>
              <w:rPr>
                <w:rFonts w:eastAsia="Arial" w:cs="Arial"/>
              </w:rPr>
              <w:t>279</w:t>
            </w:r>
          </w:p>
        </w:tc>
      </w:tr>
      <w:tr w:rsidR="007C6854" w14:paraId="76E74B7B" w14:textId="77777777">
        <w:trPr>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F9A5F98" w14:textId="77777777" w:rsidR="007C6854" w:rsidRDefault="007C6854">
            <w:pPr>
              <w:ind w:left="220"/>
              <w:rPr>
                <w:rFonts w:eastAsia="Arial" w:cs="Arial"/>
              </w:rPr>
            </w:pPr>
          </w:p>
        </w:tc>
        <w:tc>
          <w:tcPr>
            <w:tcW w:w="1134" w:type="dxa"/>
            <w:tcBorders>
              <w:top w:val="single" w:sz="4" w:space="0" w:color="000000"/>
              <w:left w:val="nil"/>
              <w:bottom w:val="single" w:sz="4" w:space="0" w:color="000000"/>
              <w:right w:val="single" w:sz="4" w:space="0" w:color="000000"/>
            </w:tcBorders>
            <w:shd w:val="clear" w:color="auto" w:fill="auto"/>
            <w:vAlign w:val="center"/>
          </w:tcPr>
          <w:p w14:paraId="40523C69" w14:textId="77777777" w:rsidR="007C6854" w:rsidRDefault="00E0219E">
            <w:pPr>
              <w:ind w:left="220"/>
              <w:jc w:val="center"/>
              <w:rPr>
                <w:rFonts w:eastAsia="Arial" w:cs="Arial"/>
              </w:rPr>
            </w:pPr>
            <w:r>
              <w:rPr>
                <w:rFonts w:eastAsia="Arial" w:cs="Arial"/>
              </w:rPr>
              <w:t>1.96</w:t>
            </w:r>
          </w:p>
        </w:tc>
        <w:tc>
          <w:tcPr>
            <w:tcW w:w="1560" w:type="dxa"/>
            <w:tcBorders>
              <w:top w:val="single" w:sz="4" w:space="0" w:color="000000"/>
              <w:left w:val="nil"/>
              <w:bottom w:val="single" w:sz="4" w:space="0" w:color="000000"/>
              <w:right w:val="single" w:sz="4" w:space="0" w:color="000000"/>
            </w:tcBorders>
            <w:shd w:val="clear" w:color="auto" w:fill="auto"/>
            <w:vAlign w:val="center"/>
          </w:tcPr>
          <w:p w14:paraId="2DE45B17" w14:textId="77777777" w:rsidR="007C6854" w:rsidRDefault="00E0219E">
            <w:pPr>
              <w:ind w:left="220"/>
              <w:jc w:val="center"/>
              <w:rPr>
                <w:rFonts w:eastAsia="Arial" w:cs="Arial"/>
              </w:rPr>
            </w:pPr>
            <w:r>
              <w:rPr>
                <w:rFonts w:eastAsia="Arial" w:cs="Arial"/>
              </w:rPr>
              <w:t>24.7%</w:t>
            </w:r>
          </w:p>
        </w:tc>
        <w:tc>
          <w:tcPr>
            <w:tcW w:w="1842" w:type="dxa"/>
            <w:tcBorders>
              <w:top w:val="single" w:sz="4" w:space="0" w:color="000000"/>
              <w:left w:val="nil"/>
              <w:bottom w:val="single" w:sz="4" w:space="0" w:color="000000"/>
              <w:right w:val="single" w:sz="4" w:space="0" w:color="000000"/>
            </w:tcBorders>
            <w:shd w:val="clear" w:color="auto" w:fill="auto"/>
            <w:vAlign w:val="center"/>
          </w:tcPr>
          <w:p w14:paraId="2C875E1E" w14:textId="77777777" w:rsidR="007C6854" w:rsidRDefault="00E0219E">
            <w:pPr>
              <w:ind w:left="220"/>
              <w:jc w:val="center"/>
              <w:rPr>
                <w:rFonts w:eastAsia="Arial" w:cs="Arial"/>
              </w:rPr>
            </w:pPr>
            <w:proofErr w:type="spellStart"/>
            <w:r>
              <w:rPr>
                <w:rFonts w:eastAsia="Arial" w:cs="Arial"/>
              </w:rPr>
              <w:t>Bâ</w:t>
            </w:r>
            <w:proofErr w:type="spellEnd"/>
            <w:r>
              <w:rPr>
                <w:rFonts w:eastAsia="Arial" w:cs="Arial"/>
              </w:rPr>
              <w:t>, H.O., et al (2018)</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3279CA" w14:textId="77777777" w:rsidR="007C6854" w:rsidRDefault="00E0219E">
            <w:pPr>
              <w:ind w:left="220"/>
              <w:jc w:val="center"/>
              <w:rPr>
                <w:rFonts w:eastAsia="Arial" w:cs="Arial"/>
              </w:rPr>
            </w:pPr>
            <w:r>
              <w:rPr>
                <w:rFonts w:eastAsia="Arial" w:cs="Arial"/>
              </w:rPr>
              <w:t>5%</w:t>
            </w:r>
          </w:p>
        </w:tc>
        <w:tc>
          <w:tcPr>
            <w:tcW w:w="1417" w:type="dxa"/>
            <w:tcBorders>
              <w:top w:val="single" w:sz="4" w:space="0" w:color="000000"/>
              <w:left w:val="nil"/>
              <w:bottom w:val="single" w:sz="4" w:space="0" w:color="000000"/>
              <w:right w:val="single" w:sz="4" w:space="0" w:color="000000"/>
            </w:tcBorders>
            <w:shd w:val="clear" w:color="auto" w:fill="auto"/>
            <w:vAlign w:val="center"/>
          </w:tcPr>
          <w:p w14:paraId="0B7732DF" w14:textId="77777777" w:rsidR="007C6854" w:rsidRDefault="00E0219E">
            <w:pPr>
              <w:ind w:left="220"/>
              <w:jc w:val="center"/>
              <w:rPr>
                <w:rFonts w:eastAsia="Arial" w:cs="Arial"/>
              </w:rPr>
            </w:pPr>
            <w:r>
              <w:rPr>
                <w:rFonts w:eastAsia="Arial" w:cs="Arial"/>
              </w:rPr>
              <w:t>286</w:t>
            </w:r>
          </w:p>
        </w:tc>
      </w:tr>
      <w:tr w:rsidR="007C6854" w14:paraId="774DA749" w14:textId="77777777">
        <w:trPr>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247AFE9" w14:textId="77777777" w:rsidR="007C6854" w:rsidRDefault="007C6854">
            <w:pPr>
              <w:ind w:left="220"/>
              <w:rPr>
                <w:rFonts w:eastAsia="Arial" w:cs="Arial"/>
              </w:rPr>
            </w:pPr>
          </w:p>
        </w:tc>
        <w:tc>
          <w:tcPr>
            <w:tcW w:w="1134" w:type="dxa"/>
            <w:tcBorders>
              <w:top w:val="single" w:sz="4" w:space="0" w:color="000000"/>
              <w:left w:val="nil"/>
              <w:bottom w:val="single" w:sz="4" w:space="0" w:color="000000"/>
              <w:right w:val="single" w:sz="4" w:space="0" w:color="000000"/>
            </w:tcBorders>
            <w:shd w:val="clear" w:color="auto" w:fill="auto"/>
            <w:vAlign w:val="center"/>
          </w:tcPr>
          <w:p w14:paraId="33344BCC" w14:textId="77777777" w:rsidR="007C6854" w:rsidRDefault="00E0219E">
            <w:pPr>
              <w:ind w:left="220"/>
              <w:jc w:val="center"/>
              <w:rPr>
                <w:rFonts w:eastAsia="Arial" w:cs="Arial"/>
              </w:rPr>
            </w:pPr>
            <w:r>
              <w:rPr>
                <w:rFonts w:eastAsia="Arial" w:cs="Arial"/>
              </w:rPr>
              <w:t>1.96</w:t>
            </w:r>
          </w:p>
        </w:tc>
        <w:tc>
          <w:tcPr>
            <w:tcW w:w="1560" w:type="dxa"/>
            <w:tcBorders>
              <w:top w:val="single" w:sz="4" w:space="0" w:color="000000"/>
              <w:left w:val="nil"/>
              <w:bottom w:val="single" w:sz="4" w:space="0" w:color="000000"/>
              <w:right w:val="single" w:sz="4" w:space="0" w:color="000000"/>
            </w:tcBorders>
            <w:shd w:val="clear" w:color="auto" w:fill="auto"/>
            <w:vAlign w:val="center"/>
          </w:tcPr>
          <w:p w14:paraId="784C95E4" w14:textId="77777777" w:rsidR="007C6854" w:rsidRDefault="00E0219E">
            <w:pPr>
              <w:ind w:left="220"/>
              <w:jc w:val="center"/>
              <w:rPr>
                <w:rFonts w:eastAsia="Arial" w:cs="Arial"/>
              </w:rPr>
            </w:pPr>
            <w:r>
              <w:rPr>
                <w:rFonts w:eastAsia="Arial" w:cs="Arial"/>
              </w:rPr>
              <w:t>19.2%</w:t>
            </w:r>
          </w:p>
        </w:tc>
        <w:tc>
          <w:tcPr>
            <w:tcW w:w="1842" w:type="dxa"/>
            <w:tcBorders>
              <w:top w:val="single" w:sz="4" w:space="0" w:color="000000"/>
              <w:left w:val="nil"/>
              <w:bottom w:val="single" w:sz="4" w:space="0" w:color="000000"/>
              <w:right w:val="single" w:sz="4" w:space="0" w:color="000000"/>
            </w:tcBorders>
            <w:shd w:val="clear" w:color="auto" w:fill="auto"/>
            <w:vAlign w:val="center"/>
          </w:tcPr>
          <w:p w14:paraId="2D1F424B" w14:textId="77777777" w:rsidR="007C6854" w:rsidRDefault="00E0219E">
            <w:pPr>
              <w:ind w:left="220"/>
              <w:jc w:val="center"/>
              <w:rPr>
                <w:rFonts w:eastAsia="Arial" w:cs="Arial"/>
              </w:rPr>
            </w:pPr>
            <w:r>
              <w:rPr>
                <w:rFonts w:eastAsia="Arial" w:cs="Arial"/>
              </w:rPr>
              <w:t>FNRI, 2018</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14:paraId="233EF178" w14:textId="77777777" w:rsidR="007C6854" w:rsidRDefault="00E0219E">
            <w:pPr>
              <w:ind w:left="220"/>
              <w:jc w:val="center"/>
              <w:rPr>
                <w:rFonts w:eastAsia="Arial" w:cs="Arial"/>
              </w:rPr>
            </w:pPr>
            <w:r>
              <w:rPr>
                <w:rFonts w:eastAsia="Arial" w:cs="Arial"/>
              </w:rPr>
              <w:t>5%</w:t>
            </w:r>
          </w:p>
        </w:tc>
        <w:tc>
          <w:tcPr>
            <w:tcW w:w="1417" w:type="dxa"/>
            <w:tcBorders>
              <w:top w:val="single" w:sz="4" w:space="0" w:color="000000"/>
              <w:left w:val="nil"/>
              <w:bottom w:val="single" w:sz="4" w:space="0" w:color="000000"/>
              <w:right w:val="single" w:sz="4" w:space="0" w:color="000000"/>
            </w:tcBorders>
            <w:shd w:val="clear" w:color="auto" w:fill="auto"/>
            <w:vAlign w:val="center"/>
          </w:tcPr>
          <w:p w14:paraId="40C2413D" w14:textId="77777777" w:rsidR="007C6854" w:rsidRDefault="00E0219E">
            <w:pPr>
              <w:ind w:left="220"/>
              <w:jc w:val="center"/>
              <w:rPr>
                <w:rFonts w:eastAsia="Arial" w:cs="Arial"/>
              </w:rPr>
            </w:pPr>
            <w:r>
              <w:rPr>
                <w:rFonts w:eastAsia="Arial" w:cs="Arial"/>
              </w:rPr>
              <w:t>238</w:t>
            </w:r>
          </w:p>
        </w:tc>
      </w:tr>
      <w:tr w:rsidR="007C6854" w14:paraId="439B08FA" w14:textId="77777777">
        <w:trPr>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9178B76" w14:textId="77777777" w:rsidR="007C6854" w:rsidRDefault="007C6854">
            <w:pPr>
              <w:ind w:left="220"/>
              <w:rPr>
                <w:rFonts w:eastAsia="Arial" w:cs="Arial"/>
              </w:rPr>
            </w:pPr>
          </w:p>
        </w:tc>
        <w:tc>
          <w:tcPr>
            <w:tcW w:w="1134" w:type="dxa"/>
            <w:tcBorders>
              <w:top w:val="single" w:sz="4" w:space="0" w:color="000000"/>
              <w:left w:val="nil"/>
              <w:bottom w:val="single" w:sz="4" w:space="0" w:color="000000"/>
              <w:right w:val="single" w:sz="4" w:space="0" w:color="000000"/>
            </w:tcBorders>
            <w:shd w:val="clear" w:color="auto" w:fill="auto"/>
            <w:vAlign w:val="center"/>
          </w:tcPr>
          <w:p w14:paraId="174E1618" w14:textId="77777777" w:rsidR="007C6854" w:rsidRDefault="00E0219E">
            <w:pPr>
              <w:ind w:left="220"/>
              <w:jc w:val="center"/>
              <w:rPr>
                <w:rFonts w:eastAsia="Arial" w:cs="Arial"/>
              </w:rPr>
            </w:pPr>
            <w:r>
              <w:rPr>
                <w:rFonts w:eastAsia="Arial" w:cs="Arial"/>
              </w:rPr>
              <w:t>1.96</w:t>
            </w:r>
          </w:p>
        </w:tc>
        <w:tc>
          <w:tcPr>
            <w:tcW w:w="1560" w:type="dxa"/>
            <w:tcBorders>
              <w:top w:val="single" w:sz="4" w:space="0" w:color="000000"/>
              <w:left w:val="nil"/>
              <w:bottom w:val="single" w:sz="4" w:space="0" w:color="000000"/>
              <w:right w:val="single" w:sz="4" w:space="0" w:color="000000"/>
            </w:tcBorders>
            <w:shd w:val="clear" w:color="auto" w:fill="auto"/>
            <w:vAlign w:val="center"/>
          </w:tcPr>
          <w:p w14:paraId="29B263AC" w14:textId="77777777" w:rsidR="007C6854" w:rsidRDefault="00E0219E">
            <w:pPr>
              <w:ind w:left="220"/>
              <w:jc w:val="center"/>
              <w:rPr>
                <w:rFonts w:eastAsia="Arial" w:cs="Arial"/>
              </w:rPr>
            </w:pPr>
            <w:r>
              <w:rPr>
                <w:rFonts w:eastAsia="Arial" w:cs="Arial"/>
              </w:rPr>
              <w:t>30%</w:t>
            </w:r>
          </w:p>
        </w:tc>
        <w:tc>
          <w:tcPr>
            <w:tcW w:w="1842" w:type="dxa"/>
            <w:tcBorders>
              <w:top w:val="single" w:sz="4" w:space="0" w:color="000000"/>
              <w:left w:val="nil"/>
              <w:bottom w:val="single" w:sz="4" w:space="0" w:color="000000"/>
              <w:right w:val="single" w:sz="4" w:space="0" w:color="000000"/>
            </w:tcBorders>
            <w:shd w:val="clear" w:color="auto" w:fill="auto"/>
          </w:tcPr>
          <w:p w14:paraId="3BA685DE" w14:textId="77777777" w:rsidR="007C6854" w:rsidRDefault="00E0219E">
            <w:pPr>
              <w:ind w:left="220"/>
              <w:jc w:val="center"/>
              <w:rPr>
                <w:rFonts w:eastAsia="Arial" w:cs="Arial"/>
              </w:rPr>
            </w:pPr>
            <w:r>
              <w:rPr>
                <w:rFonts w:eastAsia="Arial" w:cs="Arial"/>
              </w:rPr>
              <w:t>FNRI, 2018</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14:paraId="7E6A5AF4" w14:textId="77777777" w:rsidR="007C6854" w:rsidRDefault="00E0219E">
            <w:pPr>
              <w:ind w:left="220"/>
              <w:jc w:val="center"/>
              <w:rPr>
                <w:rFonts w:eastAsia="Arial" w:cs="Arial"/>
              </w:rPr>
            </w:pPr>
            <w:r>
              <w:rPr>
                <w:rFonts w:eastAsia="Arial" w:cs="Arial"/>
              </w:rPr>
              <w:t>5%</w:t>
            </w:r>
          </w:p>
        </w:tc>
        <w:tc>
          <w:tcPr>
            <w:tcW w:w="1417" w:type="dxa"/>
            <w:tcBorders>
              <w:top w:val="single" w:sz="4" w:space="0" w:color="000000"/>
              <w:left w:val="nil"/>
              <w:bottom w:val="single" w:sz="4" w:space="0" w:color="000000"/>
              <w:right w:val="single" w:sz="4" w:space="0" w:color="000000"/>
            </w:tcBorders>
            <w:shd w:val="clear" w:color="auto" w:fill="auto"/>
            <w:vAlign w:val="center"/>
          </w:tcPr>
          <w:p w14:paraId="51304384" w14:textId="77777777" w:rsidR="007C6854" w:rsidRDefault="00E0219E">
            <w:pPr>
              <w:ind w:left="220"/>
              <w:jc w:val="center"/>
              <w:rPr>
                <w:rFonts w:eastAsia="Arial" w:cs="Arial"/>
              </w:rPr>
            </w:pPr>
            <w:r>
              <w:rPr>
                <w:rFonts w:eastAsia="Arial" w:cs="Arial"/>
              </w:rPr>
              <w:t>323</w:t>
            </w:r>
          </w:p>
        </w:tc>
      </w:tr>
      <w:tr w:rsidR="007C6854" w14:paraId="76272285" w14:textId="77777777">
        <w:trPr>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DB4397C" w14:textId="77777777" w:rsidR="007C6854" w:rsidRDefault="007C6854">
            <w:pPr>
              <w:ind w:left="220"/>
              <w:rPr>
                <w:rFonts w:eastAsia="Arial" w:cs="Arial"/>
              </w:rPr>
            </w:pPr>
          </w:p>
        </w:tc>
        <w:tc>
          <w:tcPr>
            <w:tcW w:w="1134" w:type="dxa"/>
            <w:tcBorders>
              <w:top w:val="single" w:sz="4" w:space="0" w:color="000000"/>
              <w:left w:val="nil"/>
              <w:bottom w:val="single" w:sz="4" w:space="0" w:color="000000"/>
              <w:right w:val="single" w:sz="4" w:space="0" w:color="000000"/>
            </w:tcBorders>
            <w:shd w:val="clear" w:color="auto" w:fill="auto"/>
          </w:tcPr>
          <w:p w14:paraId="760E1BA4" w14:textId="77777777" w:rsidR="007C6854" w:rsidRDefault="00E0219E">
            <w:pPr>
              <w:ind w:left="220"/>
              <w:jc w:val="center"/>
              <w:rPr>
                <w:rFonts w:eastAsia="Arial" w:cs="Arial"/>
              </w:rPr>
            </w:pPr>
            <w:r>
              <w:rPr>
                <w:rFonts w:eastAsia="Arial" w:cs="Arial"/>
              </w:rPr>
              <w:t>1.96</w:t>
            </w:r>
          </w:p>
        </w:tc>
        <w:tc>
          <w:tcPr>
            <w:tcW w:w="1560" w:type="dxa"/>
            <w:tcBorders>
              <w:top w:val="single" w:sz="4" w:space="0" w:color="000000"/>
              <w:left w:val="nil"/>
              <w:bottom w:val="single" w:sz="4" w:space="0" w:color="000000"/>
              <w:right w:val="single" w:sz="4" w:space="0" w:color="000000"/>
            </w:tcBorders>
            <w:shd w:val="clear" w:color="auto" w:fill="auto"/>
            <w:vAlign w:val="center"/>
          </w:tcPr>
          <w:p w14:paraId="16475B5E" w14:textId="77777777" w:rsidR="007C6854" w:rsidRDefault="00E0219E">
            <w:pPr>
              <w:ind w:left="220"/>
              <w:jc w:val="center"/>
              <w:rPr>
                <w:rFonts w:eastAsia="Arial" w:cs="Arial"/>
              </w:rPr>
            </w:pPr>
            <w:r>
              <w:rPr>
                <w:rFonts w:eastAsia="Arial" w:cs="Arial"/>
              </w:rPr>
              <w:t>36.3%</w:t>
            </w:r>
          </w:p>
        </w:tc>
        <w:tc>
          <w:tcPr>
            <w:tcW w:w="1842" w:type="dxa"/>
            <w:tcBorders>
              <w:top w:val="single" w:sz="4" w:space="0" w:color="000000"/>
              <w:left w:val="nil"/>
              <w:bottom w:val="single" w:sz="4" w:space="0" w:color="000000"/>
              <w:right w:val="single" w:sz="4" w:space="0" w:color="000000"/>
            </w:tcBorders>
            <w:shd w:val="clear" w:color="auto" w:fill="auto"/>
          </w:tcPr>
          <w:p w14:paraId="4A88D122" w14:textId="77777777" w:rsidR="007C6854" w:rsidRDefault="00E0219E">
            <w:pPr>
              <w:ind w:left="220"/>
              <w:jc w:val="center"/>
              <w:rPr>
                <w:rFonts w:eastAsia="Arial" w:cs="Arial"/>
              </w:rPr>
            </w:pPr>
            <w:r>
              <w:rPr>
                <w:rFonts w:eastAsia="Arial" w:cs="Arial"/>
              </w:rPr>
              <w:t>FNRI, 2018</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14:paraId="7DCBD0BA" w14:textId="77777777" w:rsidR="007C6854" w:rsidRDefault="00E0219E">
            <w:pPr>
              <w:ind w:left="220"/>
              <w:jc w:val="center"/>
              <w:rPr>
                <w:rFonts w:eastAsia="Arial" w:cs="Arial"/>
              </w:rPr>
            </w:pPr>
            <w:r>
              <w:rPr>
                <w:rFonts w:eastAsia="Arial" w:cs="Arial"/>
              </w:rPr>
              <w:t>5%</w:t>
            </w:r>
          </w:p>
        </w:tc>
        <w:tc>
          <w:tcPr>
            <w:tcW w:w="1417" w:type="dxa"/>
            <w:tcBorders>
              <w:top w:val="single" w:sz="4" w:space="0" w:color="000000"/>
              <w:left w:val="nil"/>
              <w:bottom w:val="single" w:sz="4" w:space="0" w:color="000000"/>
              <w:right w:val="single" w:sz="4" w:space="0" w:color="000000"/>
            </w:tcBorders>
            <w:shd w:val="clear" w:color="auto" w:fill="auto"/>
            <w:vAlign w:val="center"/>
          </w:tcPr>
          <w:p w14:paraId="0F136570" w14:textId="77777777" w:rsidR="007C6854" w:rsidRDefault="00E0219E">
            <w:pPr>
              <w:ind w:left="220"/>
              <w:jc w:val="center"/>
              <w:rPr>
                <w:rFonts w:eastAsia="Arial" w:cs="Arial"/>
              </w:rPr>
            </w:pPr>
            <w:r>
              <w:rPr>
                <w:rFonts w:eastAsia="Arial" w:cs="Arial"/>
              </w:rPr>
              <w:t>355</w:t>
            </w:r>
          </w:p>
        </w:tc>
      </w:tr>
      <w:tr w:rsidR="007C6854" w14:paraId="4E64ECC5" w14:textId="77777777">
        <w:trPr>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664484B" w14:textId="77777777" w:rsidR="007C6854" w:rsidRDefault="007C6854">
            <w:pPr>
              <w:ind w:left="220"/>
              <w:rPr>
                <w:rFonts w:eastAsia="Arial" w:cs="Arial"/>
              </w:rPr>
            </w:pPr>
          </w:p>
        </w:tc>
        <w:tc>
          <w:tcPr>
            <w:tcW w:w="1134" w:type="dxa"/>
            <w:tcBorders>
              <w:top w:val="single" w:sz="4" w:space="0" w:color="000000"/>
              <w:left w:val="nil"/>
              <w:bottom w:val="single" w:sz="4" w:space="0" w:color="000000"/>
              <w:right w:val="single" w:sz="4" w:space="0" w:color="000000"/>
            </w:tcBorders>
            <w:shd w:val="clear" w:color="auto" w:fill="auto"/>
          </w:tcPr>
          <w:p w14:paraId="60364860" w14:textId="77777777" w:rsidR="007C6854" w:rsidRDefault="00E0219E">
            <w:pPr>
              <w:ind w:left="220"/>
              <w:jc w:val="center"/>
              <w:rPr>
                <w:rFonts w:eastAsia="Arial" w:cs="Arial"/>
              </w:rPr>
            </w:pPr>
            <w:r>
              <w:rPr>
                <w:rFonts w:eastAsia="Arial" w:cs="Arial"/>
              </w:rPr>
              <w:t>1.96</w:t>
            </w:r>
          </w:p>
        </w:tc>
        <w:tc>
          <w:tcPr>
            <w:tcW w:w="1560" w:type="dxa"/>
            <w:tcBorders>
              <w:top w:val="single" w:sz="4" w:space="0" w:color="000000"/>
              <w:left w:val="nil"/>
              <w:bottom w:val="single" w:sz="4" w:space="0" w:color="000000"/>
              <w:right w:val="single" w:sz="4" w:space="0" w:color="000000"/>
            </w:tcBorders>
            <w:shd w:val="clear" w:color="auto" w:fill="auto"/>
            <w:vAlign w:val="center"/>
          </w:tcPr>
          <w:p w14:paraId="1D8370A1" w14:textId="77777777" w:rsidR="007C6854" w:rsidRDefault="00E0219E">
            <w:pPr>
              <w:ind w:left="220"/>
              <w:jc w:val="center"/>
              <w:rPr>
                <w:rFonts w:eastAsia="Arial" w:cs="Arial"/>
              </w:rPr>
            </w:pPr>
            <w:r>
              <w:rPr>
                <w:rFonts w:eastAsia="Arial" w:cs="Arial"/>
              </w:rPr>
              <w:t>35%</w:t>
            </w:r>
          </w:p>
        </w:tc>
        <w:tc>
          <w:tcPr>
            <w:tcW w:w="1842" w:type="dxa"/>
            <w:tcBorders>
              <w:top w:val="single" w:sz="4" w:space="0" w:color="000000"/>
              <w:left w:val="nil"/>
              <w:bottom w:val="single" w:sz="4" w:space="0" w:color="000000"/>
              <w:right w:val="single" w:sz="4" w:space="0" w:color="000000"/>
            </w:tcBorders>
            <w:shd w:val="clear" w:color="auto" w:fill="auto"/>
          </w:tcPr>
          <w:p w14:paraId="56849D97" w14:textId="77777777" w:rsidR="007C6854" w:rsidRDefault="00E0219E">
            <w:pPr>
              <w:ind w:left="220"/>
              <w:jc w:val="center"/>
              <w:rPr>
                <w:rFonts w:eastAsia="Arial" w:cs="Arial"/>
              </w:rPr>
            </w:pPr>
            <w:r>
              <w:rPr>
                <w:rFonts w:eastAsia="Arial" w:cs="Arial"/>
              </w:rPr>
              <w:t>FNRI, 2018</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14:paraId="389E802C" w14:textId="77777777" w:rsidR="007C6854" w:rsidRDefault="00E0219E">
            <w:pPr>
              <w:ind w:left="220"/>
              <w:jc w:val="center"/>
              <w:rPr>
                <w:rFonts w:eastAsia="Arial" w:cs="Arial"/>
              </w:rPr>
            </w:pPr>
            <w:r>
              <w:rPr>
                <w:rFonts w:eastAsia="Arial" w:cs="Arial"/>
              </w:rPr>
              <w:t>5%</w:t>
            </w:r>
          </w:p>
        </w:tc>
        <w:tc>
          <w:tcPr>
            <w:tcW w:w="1417" w:type="dxa"/>
            <w:tcBorders>
              <w:top w:val="single" w:sz="4" w:space="0" w:color="000000"/>
              <w:left w:val="nil"/>
              <w:bottom w:val="single" w:sz="4" w:space="0" w:color="000000"/>
              <w:right w:val="single" w:sz="4" w:space="0" w:color="000000"/>
            </w:tcBorders>
            <w:shd w:val="clear" w:color="auto" w:fill="auto"/>
            <w:vAlign w:val="center"/>
          </w:tcPr>
          <w:p w14:paraId="33A7FB6A" w14:textId="77777777" w:rsidR="007C6854" w:rsidRDefault="00E0219E">
            <w:pPr>
              <w:ind w:left="220"/>
              <w:jc w:val="center"/>
              <w:rPr>
                <w:rFonts w:eastAsia="Arial" w:cs="Arial"/>
              </w:rPr>
            </w:pPr>
            <w:r>
              <w:rPr>
                <w:rFonts w:eastAsia="Arial" w:cs="Arial"/>
              </w:rPr>
              <w:t>350</w:t>
            </w:r>
          </w:p>
        </w:tc>
      </w:tr>
      <w:tr w:rsidR="007C6854" w14:paraId="6C81C83E" w14:textId="77777777">
        <w:trPr>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0DC248D" w14:textId="77777777" w:rsidR="007C6854" w:rsidRDefault="007C6854">
            <w:pPr>
              <w:ind w:left="220"/>
              <w:rPr>
                <w:rFonts w:eastAsia="Arial" w:cs="Arial"/>
              </w:rPr>
            </w:pPr>
          </w:p>
        </w:tc>
        <w:tc>
          <w:tcPr>
            <w:tcW w:w="1134" w:type="dxa"/>
            <w:tcBorders>
              <w:top w:val="single" w:sz="4" w:space="0" w:color="000000"/>
              <w:left w:val="nil"/>
              <w:bottom w:val="single" w:sz="4" w:space="0" w:color="000000"/>
              <w:right w:val="single" w:sz="4" w:space="0" w:color="000000"/>
            </w:tcBorders>
            <w:shd w:val="clear" w:color="auto" w:fill="auto"/>
          </w:tcPr>
          <w:p w14:paraId="6872E6AC" w14:textId="77777777" w:rsidR="007C6854" w:rsidRDefault="00E0219E">
            <w:pPr>
              <w:ind w:left="220"/>
              <w:jc w:val="center"/>
              <w:rPr>
                <w:rFonts w:eastAsia="Arial" w:cs="Arial"/>
              </w:rPr>
            </w:pPr>
            <w:r>
              <w:rPr>
                <w:rFonts w:eastAsia="Arial" w:cs="Arial"/>
              </w:rPr>
              <w:t>1.96</w:t>
            </w:r>
          </w:p>
        </w:tc>
        <w:tc>
          <w:tcPr>
            <w:tcW w:w="1560" w:type="dxa"/>
            <w:tcBorders>
              <w:top w:val="single" w:sz="4" w:space="0" w:color="000000"/>
              <w:left w:val="nil"/>
              <w:bottom w:val="single" w:sz="4" w:space="0" w:color="000000"/>
              <w:right w:val="single" w:sz="4" w:space="0" w:color="000000"/>
            </w:tcBorders>
            <w:shd w:val="clear" w:color="auto" w:fill="auto"/>
            <w:vAlign w:val="center"/>
          </w:tcPr>
          <w:p w14:paraId="1B085032" w14:textId="77777777" w:rsidR="007C6854" w:rsidRDefault="00E0219E">
            <w:pPr>
              <w:ind w:left="220"/>
              <w:jc w:val="center"/>
              <w:rPr>
                <w:rFonts w:eastAsia="Arial" w:cs="Arial"/>
              </w:rPr>
            </w:pPr>
            <w:r>
              <w:rPr>
                <w:rFonts w:eastAsia="Arial" w:cs="Arial"/>
              </w:rPr>
              <w:t>41.2%</w:t>
            </w:r>
          </w:p>
        </w:tc>
        <w:tc>
          <w:tcPr>
            <w:tcW w:w="1842" w:type="dxa"/>
            <w:tcBorders>
              <w:top w:val="single" w:sz="4" w:space="0" w:color="000000"/>
              <w:left w:val="nil"/>
              <w:bottom w:val="single" w:sz="4" w:space="0" w:color="000000"/>
              <w:right w:val="single" w:sz="4" w:space="0" w:color="000000"/>
            </w:tcBorders>
            <w:shd w:val="clear" w:color="auto" w:fill="auto"/>
          </w:tcPr>
          <w:p w14:paraId="28F93D5F" w14:textId="77777777" w:rsidR="007C6854" w:rsidRDefault="00E0219E">
            <w:pPr>
              <w:ind w:left="220"/>
              <w:jc w:val="center"/>
              <w:rPr>
                <w:rFonts w:eastAsia="Arial" w:cs="Arial"/>
              </w:rPr>
            </w:pPr>
            <w:r>
              <w:rPr>
                <w:rFonts w:eastAsia="Arial" w:cs="Arial"/>
              </w:rPr>
              <w:t>FNRI, 2018</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14:paraId="7CB4299E" w14:textId="77777777" w:rsidR="007C6854" w:rsidRDefault="00E0219E">
            <w:pPr>
              <w:ind w:left="220"/>
              <w:jc w:val="center"/>
              <w:rPr>
                <w:rFonts w:eastAsia="Arial" w:cs="Arial"/>
              </w:rPr>
            </w:pPr>
            <w:r>
              <w:rPr>
                <w:rFonts w:eastAsia="Arial" w:cs="Arial"/>
              </w:rPr>
              <w:t>5%</w:t>
            </w:r>
          </w:p>
        </w:tc>
        <w:tc>
          <w:tcPr>
            <w:tcW w:w="1417" w:type="dxa"/>
            <w:tcBorders>
              <w:top w:val="single" w:sz="4" w:space="0" w:color="000000"/>
              <w:left w:val="nil"/>
              <w:bottom w:val="single" w:sz="4" w:space="0" w:color="000000"/>
              <w:right w:val="single" w:sz="4" w:space="0" w:color="000000"/>
            </w:tcBorders>
            <w:shd w:val="clear" w:color="auto" w:fill="auto"/>
            <w:vAlign w:val="center"/>
          </w:tcPr>
          <w:p w14:paraId="26AD96E0" w14:textId="77777777" w:rsidR="007C6854" w:rsidRDefault="00E0219E">
            <w:pPr>
              <w:ind w:left="220"/>
              <w:jc w:val="center"/>
              <w:rPr>
                <w:rFonts w:eastAsia="Arial" w:cs="Arial"/>
              </w:rPr>
            </w:pPr>
            <w:r>
              <w:rPr>
                <w:rFonts w:eastAsia="Arial" w:cs="Arial"/>
              </w:rPr>
              <w:t>372</w:t>
            </w:r>
          </w:p>
        </w:tc>
      </w:tr>
      <w:tr w:rsidR="007C6854" w14:paraId="568437F8" w14:textId="77777777">
        <w:trPr>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9EBED8E" w14:textId="77777777" w:rsidR="007C6854" w:rsidRDefault="00E0219E">
            <w:pPr>
              <w:ind w:left="220"/>
              <w:rPr>
                <w:rFonts w:eastAsia="Arial" w:cs="Arial"/>
              </w:rPr>
            </w:pPr>
            <w:r>
              <w:rPr>
                <w:rFonts w:eastAsia="Arial" w:cs="Arial"/>
              </w:rPr>
              <w:t>Health Literacy</w:t>
            </w:r>
          </w:p>
        </w:tc>
        <w:tc>
          <w:tcPr>
            <w:tcW w:w="1134" w:type="dxa"/>
            <w:tcBorders>
              <w:top w:val="single" w:sz="4" w:space="0" w:color="000000"/>
              <w:left w:val="nil"/>
              <w:bottom w:val="single" w:sz="4" w:space="0" w:color="000000"/>
              <w:right w:val="single" w:sz="4" w:space="0" w:color="000000"/>
            </w:tcBorders>
            <w:shd w:val="clear" w:color="auto" w:fill="auto"/>
            <w:vAlign w:val="center"/>
          </w:tcPr>
          <w:p w14:paraId="7B054450" w14:textId="77777777" w:rsidR="007C6854" w:rsidRDefault="00E0219E">
            <w:pPr>
              <w:ind w:left="220"/>
              <w:jc w:val="center"/>
              <w:rPr>
                <w:rFonts w:eastAsia="Arial" w:cs="Arial"/>
              </w:rPr>
            </w:pPr>
            <w:r>
              <w:rPr>
                <w:rFonts w:eastAsia="Arial" w:cs="Arial"/>
              </w:rPr>
              <w:t>1.96</w:t>
            </w:r>
          </w:p>
        </w:tc>
        <w:tc>
          <w:tcPr>
            <w:tcW w:w="1560" w:type="dxa"/>
            <w:tcBorders>
              <w:top w:val="single" w:sz="4" w:space="0" w:color="000000"/>
              <w:left w:val="nil"/>
              <w:bottom w:val="single" w:sz="4" w:space="0" w:color="000000"/>
              <w:right w:val="single" w:sz="4" w:space="0" w:color="000000"/>
            </w:tcBorders>
            <w:shd w:val="clear" w:color="auto" w:fill="auto"/>
            <w:vAlign w:val="center"/>
          </w:tcPr>
          <w:p w14:paraId="141AA834" w14:textId="77777777" w:rsidR="007C6854" w:rsidRDefault="00E0219E">
            <w:pPr>
              <w:ind w:left="220"/>
              <w:jc w:val="center"/>
              <w:rPr>
                <w:rFonts w:eastAsia="Arial" w:cs="Arial"/>
              </w:rPr>
            </w:pPr>
            <w:r>
              <w:rPr>
                <w:rFonts w:eastAsia="Arial" w:cs="Arial"/>
              </w:rPr>
              <w:t>47.8%</w:t>
            </w:r>
          </w:p>
        </w:tc>
        <w:tc>
          <w:tcPr>
            <w:tcW w:w="1842" w:type="dxa"/>
            <w:tcBorders>
              <w:top w:val="single" w:sz="4" w:space="0" w:color="000000"/>
              <w:left w:val="nil"/>
              <w:bottom w:val="single" w:sz="4" w:space="0" w:color="000000"/>
              <w:right w:val="single" w:sz="4" w:space="0" w:color="000000"/>
            </w:tcBorders>
            <w:shd w:val="clear" w:color="auto" w:fill="auto"/>
            <w:vAlign w:val="center"/>
          </w:tcPr>
          <w:p w14:paraId="5DB37F2C" w14:textId="77777777" w:rsidR="007C6854" w:rsidRDefault="00E0219E">
            <w:pPr>
              <w:ind w:left="220"/>
              <w:jc w:val="center"/>
              <w:rPr>
                <w:rFonts w:eastAsia="Arial" w:cs="Arial"/>
              </w:rPr>
            </w:pPr>
            <w:r>
              <w:rPr>
                <w:rFonts w:eastAsia="Arial" w:cs="Arial"/>
              </w:rPr>
              <w:t>PCHRD, 2018</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A22A23C" w14:textId="77777777" w:rsidR="007C6854" w:rsidRDefault="00E0219E">
            <w:pPr>
              <w:ind w:left="220"/>
              <w:jc w:val="center"/>
              <w:rPr>
                <w:rFonts w:eastAsia="Arial" w:cs="Arial"/>
              </w:rPr>
            </w:pPr>
            <w:r>
              <w:rPr>
                <w:rFonts w:eastAsia="Arial" w:cs="Arial"/>
              </w:rPr>
              <w:t>5%</w:t>
            </w:r>
          </w:p>
        </w:tc>
        <w:tc>
          <w:tcPr>
            <w:tcW w:w="1417" w:type="dxa"/>
            <w:tcBorders>
              <w:top w:val="single" w:sz="4" w:space="0" w:color="000000"/>
              <w:left w:val="nil"/>
              <w:bottom w:val="single" w:sz="4" w:space="0" w:color="000000"/>
              <w:right w:val="single" w:sz="4" w:space="0" w:color="000000"/>
            </w:tcBorders>
            <w:shd w:val="clear" w:color="auto" w:fill="auto"/>
            <w:vAlign w:val="center"/>
          </w:tcPr>
          <w:p w14:paraId="2DB6BD2D" w14:textId="77777777" w:rsidR="007C6854" w:rsidRDefault="00E0219E">
            <w:pPr>
              <w:ind w:left="220"/>
              <w:jc w:val="center"/>
              <w:rPr>
                <w:rFonts w:eastAsia="Arial" w:cs="Arial"/>
              </w:rPr>
            </w:pPr>
            <w:r>
              <w:rPr>
                <w:rFonts w:eastAsia="Arial" w:cs="Arial"/>
              </w:rPr>
              <w:t>383</w:t>
            </w:r>
          </w:p>
        </w:tc>
      </w:tr>
      <w:tr w:rsidR="007C6854" w14:paraId="7DAB9100" w14:textId="77777777">
        <w:trPr>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9641005" w14:textId="77777777" w:rsidR="007C6854" w:rsidRDefault="007C6854">
            <w:pPr>
              <w:ind w:left="220"/>
              <w:rPr>
                <w:rFonts w:eastAsia="Arial" w:cs="Arial"/>
              </w:rPr>
            </w:pPr>
          </w:p>
        </w:tc>
        <w:tc>
          <w:tcPr>
            <w:tcW w:w="1134" w:type="dxa"/>
            <w:tcBorders>
              <w:top w:val="single" w:sz="4" w:space="0" w:color="000000"/>
              <w:left w:val="nil"/>
              <w:bottom w:val="single" w:sz="4" w:space="0" w:color="000000"/>
              <w:right w:val="single" w:sz="4" w:space="0" w:color="000000"/>
            </w:tcBorders>
            <w:shd w:val="clear" w:color="auto" w:fill="auto"/>
            <w:vAlign w:val="center"/>
          </w:tcPr>
          <w:p w14:paraId="7EC74B02" w14:textId="77777777" w:rsidR="007C6854" w:rsidRDefault="00E0219E">
            <w:pPr>
              <w:ind w:left="220"/>
              <w:jc w:val="center"/>
              <w:rPr>
                <w:rFonts w:eastAsia="Arial" w:cs="Arial"/>
              </w:rPr>
            </w:pPr>
            <w:r>
              <w:rPr>
                <w:rFonts w:eastAsia="Arial" w:cs="Arial"/>
              </w:rPr>
              <w:t>1.96</w:t>
            </w:r>
          </w:p>
        </w:tc>
        <w:tc>
          <w:tcPr>
            <w:tcW w:w="1560" w:type="dxa"/>
            <w:tcBorders>
              <w:top w:val="single" w:sz="4" w:space="0" w:color="000000"/>
              <w:left w:val="nil"/>
              <w:bottom w:val="single" w:sz="4" w:space="0" w:color="000000"/>
              <w:right w:val="single" w:sz="4" w:space="0" w:color="000000"/>
            </w:tcBorders>
            <w:shd w:val="clear" w:color="auto" w:fill="auto"/>
            <w:vAlign w:val="center"/>
          </w:tcPr>
          <w:p w14:paraId="3E957899" w14:textId="77777777" w:rsidR="007C6854" w:rsidRDefault="00E0219E">
            <w:pPr>
              <w:ind w:left="220"/>
              <w:jc w:val="center"/>
              <w:rPr>
                <w:rFonts w:eastAsia="Arial" w:cs="Arial"/>
              </w:rPr>
            </w:pPr>
            <w:r>
              <w:rPr>
                <w:rFonts w:eastAsia="Arial" w:cs="Arial"/>
              </w:rPr>
              <w:t>46.3%</w:t>
            </w:r>
          </w:p>
        </w:tc>
        <w:tc>
          <w:tcPr>
            <w:tcW w:w="1842" w:type="dxa"/>
            <w:tcBorders>
              <w:top w:val="single" w:sz="4" w:space="0" w:color="000000"/>
              <w:left w:val="nil"/>
              <w:bottom w:val="single" w:sz="4" w:space="0" w:color="000000"/>
              <w:right w:val="single" w:sz="4" w:space="0" w:color="000000"/>
            </w:tcBorders>
            <w:shd w:val="clear" w:color="auto" w:fill="auto"/>
            <w:vAlign w:val="center"/>
          </w:tcPr>
          <w:p w14:paraId="07405C94" w14:textId="77777777" w:rsidR="007C6854" w:rsidRDefault="00E0219E">
            <w:pPr>
              <w:ind w:left="220"/>
              <w:jc w:val="center"/>
              <w:rPr>
                <w:rFonts w:eastAsia="Arial" w:cs="Arial"/>
              </w:rPr>
            </w:pPr>
            <w:r>
              <w:rPr>
                <w:rFonts w:eastAsia="Arial" w:cs="Arial"/>
              </w:rPr>
              <w:t>PCHRD, 2018</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14:paraId="4B2C48D2" w14:textId="77777777" w:rsidR="007C6854" w:rsidRDefault="00E0219E">
            <w:pPr>
              <w:ind w:left="220"/>
              <w:jc w:val="center"/>
              <w:rPr>
                <w:rFonts w:eastAsia="Arial" w:cs="Arial"/>
              </w:rPr>
            </w:pPr>
            <w:r>
              <w:rPr>
                <w:rFonts w:eastAsia="Arial" w:cs="Arial"/>
              </w:rPr>
              <w:t>5%</w:t>
            </w:r>
          </w:p>
        </w:tc>
        <w:tc>
          <w:tcPr>
            <w:tcW w:w="1417" w:type="dxa"/>
            <w:tcBorders>
              <w:top w:val="single" w:sz="4" w:space="0" w:color="000000"/>
              <w:left w:val="nil"/>
              <w:bottom w:val="single" w:sz="4" w:space="0" w:color="000000"/>
              <w:right w:val="single" w:sz="4" w:space="0" w:color="000000"/>
            </w:tcBorders>
            <w:shd w:val="clear" w:color="auto" w:fill="auto"/>
            <w:vAlign w:val="center"/>
          </w:tcPr>
          <w:p w14:paraId="7CF27CD2" w14:textId="77777777" w:rsidR="007C6854" w:rsidRDefault="00E0219E">
            <w:pPr>
              <w:ind w:left="220"/>
              <w:jc w:val="center"/>
              <w:rPr>
                <w:rFonts w:eastAsia="Arial" w:cs="Arial"/>
              </w:rPr>
            </w:pPr>
            <w:r>
              <w:rPr>
                <w:rFonts w:eastAsia="Arial" w:cs="Arial"/>
              </w:rPr>
              <w:t>382</w:t>
            </w:r>
          </w:p>
        </w:tc>
      </w:tr>
      <w:tr w:rsidR="007C6854" w14:paraId="39AE7F1E" w14:textId="77777777">
        <w:trPr>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9E6B200" w14:textId="77777777" w:rsidR="007C6854" w:rsidRDefault="007C6854">
            <w:pPr>
              <w:ind w:left="220"/>
              <w:rPr>
                <w:rFonts w:eastAsia="Arial" w:cs="Arial"/>
              </w:rPr>
            </w:pPr>
          </w:p>
        </w:tc>
        <w:tc>
          <w:tcPr>
            <w:tcW w:w="1134" w:type="dxa"/>
            <w:tcBorders>
              <w:top w:val="single" w:sz="4" w:space="0" w:color="000000"/>
              <w:left w:val="nil"/>
              <w:bottom w:val="single" w:sz="4" w:space="0" w:color="000000"/>
              <w:right w:val="single" w:sz="4" w:space="0" w:color="000000"/>
            </w:tcBorders>
            <w:shd w:val="clear" w:color="auto" w:fill="auto"/>
            <w:vAlign w:val="center"/>
          </w:tcPr>
          <w:p w14:paraId="62476D5C" w14:textId="77777777" w:rsidR="007C6854" w:rsidRDefault="00E0219E">
            <w:pPr>
              <w:ind w:left="220"/>
              <w:jc w:val="center"/>
              <w:rPr>
                <w:rFonts w:eastAsia="Arial" w:cs="Arial"/>
              </w:rPr>
            </w:pPr>
            <w:r>
              <w:rPr>
                <w:rFonts w:eastAsia="Arial" w:cs="Arial"/>
              </w:rPr>
              <w:t>1.96</w:t>
            </w:r>
          </w:p>
        </w:tc>
        <w:tc>
          <w:tcPr>
            <w:tcW w:w="1560" w:type="dxa"/>
            <w:tcBorders>
              <w:top w:val="single" w:sz="4" w:space="0" w:color="000000"/>
              <w:left w:val="nil"/>
              <w:bottom w:val="single" w:sz="4" w:space="0" w:color="000000"/>
              <w:right w:val="single" w:sz="4" w:space="0" w:color="000000"/>
            </w:tcBorders>
            <w:shd w:val="clear" w:color="auto" w:fill="auto"/>
            <w:vAlign w:val="center"/>
          </w:tcPr>
          <w:p w14:paraId="693B4793" w14:textId="77777777" w:rsidR="007C6854" w:rsidRDefault="00E0219E">
            <w:pPr>
              <w:ind w:left="220"/>
              <w:jc w:val="center"/>
              <w:rPr>
                <w:rFonts w:eastAsia="Arial" w:cs="Arial"/>
              </w:rPr>
            </w:pPr>
            <w:r>
              <w:rPr>
                <w:rFonts w:eastAsia="Arial" w:cs="Arial"/>
              </w:rPr>
              <w:t>56.6%</w:t>
            </w:r>
          </w:p>
        </w:tc>
        <w:tc>
          <w:tcPr>
            <w:tcW w:w="1842" w:type="dxa"/>
            <w:tcBorders>
              <w:top w:val="single" w:sz="4" w:space="0" w:color="000000"/>
              <w:left w:val="nil"/>
              <w:bottom w:val="single" w:sz="4" w:space="0" w:color="000000"/>
              <w:right w:val="single" w:sz="4" w:space="0" w:color="000000"/>
            </w:tcBorders>
            <w:shd w:val="clear" w:color="auto" w:fill="auto"/>
            <w:vAlign w:val="center"/>
          </w:tcPr>
          <w:p w14:paraId="2235B47C" w14:textId="77777777" w:rsidR="007C6854" w:rsidRDefault="00E0219E">
            <w:pPr>
              <w:ind w:left="220"/>
              <w:jc w:val="center"/>
              <w:rPr>
                <w:rFonts w:eastAsia="Arial" w:cs="Arial"/>
              </w:rPr>
            </w:pPr>
            <w:r>
              <w:rPr>
                <w:rFonts w:eastAsia="Arial" w:cs="Arial"/>
              </w:rPr>
              <w:t>PCHRD, 2018</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14:paraId="0159C9F9" w14:textId="77777777" w:rsidR="007C6854" w:rsidRDefault="00E0219E">
            <w:pPr>
              <w:ind w:left="220"/>
              <w:jc w:val="center"/>
              <w:rPr>
                <w:rFonts w:eastAsia="Arial" w:cs="Arial"/>
              </w:rPr>
            </w:pPr>
            <w:r>
              <w:rPr>
                <w:rFonts w:eastAsia="Arial" w:cs="Arial"/>
              </w:rPr>
              <w:t>5%</w:t>
            </w:r>
          </w:p>
        </w:tc>
        <w:tc>
          <w:tcPr>
            <w:tcW w:w="1417" w:type="dxa"/>
            <w:tcBorders>
              <w:top w:val="single" w:sz="4" w:space="0" w:color="000000"/>
              <w:left w:val="nil"/>
              <w:bottom w:val="single" w:sz="4" w:space="0" w:color="000000"/>
              <w:right w:val="single" w:sz="4" w:space="0" w:color="000000"/>
            </w:tcBorders>
            <w:shd w:val="clear" w:color="auto" w:fill="auto"/>
            <w:vAlign w:val="center"/>
          </w:tcPr>
          <w:p w14:paraId="6CA60F86" w14:textId="77777777" w:rsidR="007C6854" w:rsidRDefault="00E0219E">
            <w:pPr>
              <w:ind w:left="220"/>
              <w:jc w:val="center"/>
              <w:rPr>
                <w:rFonts w:eastAsia="Arial" w:cs="Arial"/>
              </w:rPr>
            </w:pPr>
            <w:r>
              <w:rPr>
                <w:rFonts w:eastAsia="Arial" w:cs="Arial"/>
              </w:rPr>
              <w:t>377</w:t>
            </w:r>
          </w:p>
        </w:tc>
      </w:tr>
      <w:tr w:rsidR="007C6854" w14:paraId="5DC3668B" w14:textId="77777777">
        <w:trPr>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64F7571" w14:textId="77777777" w:rsidR="007C6854" w:rsidRDefault="007C6854">
            <w:pPr>
              <w:ind w:left="220"/>
              <w:rPr>
                <w:rFonts w:eastAsia="Arial" w:cs="Arial"/>
              </w:rPr>
            </w:pPr>
          </w:p>
        </w:tc>
        <w:tc>
          <w:tcPr>
            <w:tcW w:w="1134" w:type="dxa"/>
            <w:tcBorders>
              <w:top w:val="single" w:sz="4" w:space="0" w:color="000000"/>
              <w:left w:val="nil"/>
              <w:bottom w:val="single" w:sz="4" w:space="0" w:color="000000"/>
              <w:right w:val="single" w:sz="4" w:space="0" w:color="000000"/>
            </w:tcBorders>
            <w:shd w:val="clear" w:color="auto" w:fill="auto"/>
            <w:vAlign w:val="center"/>
          </w:tcPr>
          <w:p w14:paraId="61595E32" w14:textId="77777777" w:rsidR="007C6854" w:rsidRDefault="00E0219E">
            <w:pPr>
              <w:ind w:left="220"/>
              <w:jc w:val="center"/>
              <w:rPr>
                <w:rFonts w:eastAsia="Arial" w:cs="Arial"/>
              </w:rPr>
            </w:pPr>
            <w:r>
              <w:rPr>
                <w:rFonts w:eastAsia="Arial" w:cs="Arial"/>
              </w:rPr>
              <w:t>1.96</w:t>
            </w:r>
          </w:p>
        </w:tc>
        <w:tc>
          <w:tcPr>
            <w:tcW w:w="1560" w:type="dxa"/>
            <w:tcBorders>
              <w:top w:val="single" w:sz="4" w:space="0" w:color="000000"/>
              <w:left w:val="nil"/>
              <w:bottom w:val="single" w:sz="4" w:space="0" w:color="000000"/>
              <w:right w:val="single" w:sz="4" w:space="0" w:color="000000"/>
            </w:tcBorders>
            <w:shd w:val="clear" w:color="auto" w:fill="auto"/>
            <w:vAlign w:val="center"/>
          </w:tcPr>
          <w:p w14:paraId="3C7F7E9A" w14:textId="77777777" w:rsidR="007C6854" w:rsidRDefault="00E0219E">
            <w:pPr>
              <w:ind w:left="220"/>
              <w:jc w:val="center"/>
              <w:rPr>
                <w:rFonts w:eastAsia="Arial" w:cs="Arial"/>
              </w:rPr>
            </w:pPr>
            <w:r>
              <w:rPr>
                <w:rFonts w:eastAsia="Arial" w:cs="Arial"/>
              </w:rPr>
              <w:t>83.7%</w:t>
            </w:r>
          </w:p>
        </w:tc>
        <w:tc>
          <w:tcPr>
            <w:tcW w:w="1842" w:type="dxa"/>
            <w:tcBorders>
              <w:top w:val="single" w:sz="4" w:space="0" w:color="000000"/>
              <w:left w:val="nil"/>
              <w:bottom w:val="single" w:sz="4" w:space="0" w:color="000000"/>
              <w:right w:val="single" w:sz="4" w:space="0" w:color="000000"/>
            </w:tcBorders>
            <w:shd w:val="clear" w:color="auto" w:fill="auto"/>
            <w:vAlign w:val="center"/>
          </w:tcPr>
          <w:p w14:paraId="0228BD01" w14:textId="77777777" w:rsidR="007C6854" w:rsidRDefault="00E0219E">
            <w:pPr>
              <w:ind w:left="220"/>
              <w:jc w:val="center"/>
              <w:rPr>
                <w:rFonts w:eastAsia="Arial" w:cs="Arial"/>
              </w:rPr>
            </w:pPr>
            <w:r>
              <w:rPr>
                <w:rFonts w:eastAsia="Arial" w:cs="Arial"/>
              </w:rPr>
              <w:t>PCHRD, 2018</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14:paraId="6FE787C8" w14:textId="77777777" w:rsidR="007C6854" w:rsidRDefault="00E0219E">
            <w:pPr>
              <w:ind w:left="220"/>
              <w:jc w:val="center"/>
              <w:rPr>
                <w:rFonts w:eastAsia="Arial" w:cs="Arial"/>
              </w:rPr>
            </w:pPr>
            <w:r>
              <w:rPr>
                <w:rFonts w:eastAsia="Arial" w:cs="Arial"/>
              </w:rPr>
              <w:t>5%</w:t>
            </w:r>
          </w:p>
        </w:tc>
        <w:tc>
          <w:tcPr>
            <w:tcW w:w="1417" w:type="dxa"/>
            <w:tcBorders>
              <w:top w:val="single" w:sz="4" w:space="0" w:color="000000"/>
              <w:left w:val="nil"/>
              <w:bottom w:val="single" w:sz="4" w:space="0" w:color="000000"/>
              <w:right w:val="single" w:sz="4" w:space="0" w:color="000000"/>
            </w:tcBorders>
            <w:shd w:val="clear" w:color="auto" w:fill="auto"/>
            <w:vAlign w:val="center"/>
          </w:tcPr>
          <w:p w14:paraId="2050FB3F" w14:textId="77777777" w:rsidR="007C6854" w:rsidRDefault="00E0219E">
            <w:pPr>
              <w:ind w:left="220"/>
              <w:jc w:val="center"/>
              <w:rPr>
                <w:rFonts w:eastAsia="Arial" w:cs="Arial"/>
              </w:rPr>
            </w:pPr>
            <w:r>
              <w:rPr>
                <w:rFonts w:eastAsia="Arial" w:cs="Arial"/>
              </w:rPr>
              <w:t>210</w:t>
            </w:r>
          </w:p>
        </w:tc>
      </w:tr>
      <w:tr w:rsidR="007C6854" w14:paraId="74DCA359" w14:textId="77777777">
        <w:trPr>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C41C75A" w14:textId="77777777" w:rsidR="007C6854" w:rsidRDefault="007C6854">
            <w:pPr>
              <w:ind w:left="220"/>
              <w:rPr>
                <w:rFonts w:eastAsia="Arial" w:cs="Arial"/>
              </w:rPr>
            </w:pPr>
          </w:p>
        </w:tc>
        <w:tc>
          <w:tcPr>
            <w:tcW w:w="1134" w:type="dxa"/>
            <w:tcBorders>
              <w:top w:val="single" w:sz="4" w:space="0" w:color="000000"/>
              <w:left w:val="nil"/>
              <w:bottom w:val="single" w:sz="4" w:space="0" w:color="000000"/>
              <w:right w:val="single" w:sz="4" w:space="0" w:color="000000"/>
            </w:tcBorders>
            <w:shd w:val="clear" w:color="auto" w:fill="auto"/>
            <w:vAlign w:val="center"/>
          </w:tcPr>
          <w:p w14:paraId="72898DE6" w14:textId="77777777" w:rsidR="007C6854" w:rsidRDefault="00E0219E">
            <w:pPr>
              <w:ind w:left="220"/>
              <w:jc w:val="center"/>
              <w:rPr>
                <w:rFonts w:eastAsia="Arial" w:cs="Arial"/>
              </w:rPr>
            </w:pPr>
            <w:r>
              <w:rPr>
                <w:rFonts w:eastAsia="Arial" w:cs="Arial"/>
              </w:rPr>
              <w:t>1.96</w:t>
            </w:r>
          </w:p>
        </w:tc>
        <w:tc>
          <w:tcPr>
            <w:tcW w:w="1560" w:type="dxa"/>
            <w:tcBorders>
              <w:top w:val="single" w:sz="4" w:space="0" w:color="000000"/>
              <w:left w:val="nil"/>
              <w:bottom w:val="single" w:sz="4" w:space="0" w:color="000000"/>
              <w:right w:val="single" w:sz="4" w:space="0" w:color="000000"/>
            </w:tcBorders>
            <w:shd w:val="clear" w:color="auto" w:fill="auto"/>
            <w:vAlign w:val="center"/>
          </w:tcPr>
          <w:p w14:paraId="2215B854" w14:textId="77777777" w:rsidR="007C6854" w:rsidRDefault="00E0219E">
            <w:pPr>
              <w:ind w:left="220"/>
              <w:jc w:val="center"/>
              <w:rPr>
                <w:rFonts w:eastAsia="Arial" w:cs="Arial"/>
              </w:rPr>
            </w:pPr>
            <w:r>
              <w:rPr>
                <w:rFonts w:eastAsia="Arial" w:cs="Arial"/>
              </w:rPr>
              <w:t>95%</w:t>
            </w:r>
          </w:p>
        </w:tc>
        <w:tc>
          <w:tcPr>
            <w:tcW w:w="1842" w:type="dxa"/>
            <w:tcBorders>
              <w:top w:val="single" w:sz="4" w:space="0" w:color="000000"/>
              <w:left w:val="nil"/>
              <w:bottom w:val="single" w:sz="4" w:space="0" w:color="000000"/>
              <w:right w:val="single" w:sz="4" w:space="0" w:color="000000"/>
            </w:tcBorders>
            <w:shd w:val="clear" w:color="auto" w:fill="auto"/>
            <w:vAlign w:val="center"/>
          </w:tcPr>
          <w:p w14:paraId="364D2716" w14:textId="77777777" w:rsidR="007C6854" w:rsidRDefault="00E0219E">
            <w:pPr>
              <w:ind w:left="220"/>
              <w:jc w:val="center"/>
              <w:rPr>
                <w:rFonts w:eastAsia="Arial" w:cs="Arial"/>
              </w:rPr>
            </w:pPr>
            <w:r>
              <w:rPr>
                <w:rFonts w:eastAsia="Arial" w:cs="Arial"/>
              </w:rPr>
              <w:t>WHO, 2018</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14:paraId="48E15627" w14:textId="77777777" w:rsidR="007C6854" w:rsidRDefault="00E0219E">
            <w:pPr>
              <w:ind w:left="220"/>
              <w:jc w:val="center"/>
              <w:rPr>
                <w:rFonts w:eastAsia="Arial" w:cs="Arial"/>
              </w:rPr>
            </w:pPr>
            <w:r>
              <w:rPr>
                <w:rFonts w:eastAsia="Arial" w:cs="Arial"/>
              </w:rPr>
              <w:t>5%</w:t>
            </w:r>
          </w:p>
        </w:tc>
        <w:tc>
          <w:tcPr>
            <w:tcW w:w="1417" w:type="dxa"/>
            <w:tcBorders>
              <w:top w:val="single" w:sz="4" w:space="0" w:color="000000"/>
              <w:left w:val="nil"/>
              <w:bottom w:val="single" w:sz="4" w:space="0" w:color="000000"/>
              <w:right w:val="single" w:sz="4" w:space="0" w:color="000000"/>
            </w:tcBorders>
            <w:shd w:val="clear" w:color="auto" w:fill="auto"/>
            <w:vAlign w:val="center"/>
          </w:tcPr>
          <w:p w14:paraId="07B2E3DF" w14:textId="77777777" w:rsidR="007C6854" w:rsidRDefault="00E0219E">
            <w:pPr>
              <w:ind w:left="220"/>
              <w:jc w:val="center"/>
              <w:rPr>
                <w:rFonts w:eastAsia="Arial" w:cs="Arial"/>
              </w:rPr>
            </w:pPr>
            <w:r>
              <w:rPr>
                <w:rFonts w:eastAsia="Arial" w:cs="Arial"/>
              </w:rPr>
              <w:t>73</w:t>
            </w:r>
          </w:p>
        </w:tc>
      </w:tr>
      <w:tr w:rsidR="007C6854" w14:paraId="4C643D57" w14:textId="77777777">
        <w:trPr>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F737628" w14:textId="77777777" w:rsidR="007C6854" w:rsidRDefault="007C6854">
            <w:pPr>
              <w:ind w:left="220"/>
              <w:rPr>
                <w:rFonts w:eastAsia="Arial" w:cs="Arial"/>
              </w:rPr>
            </w:pPr>
          </w:p>
        </w:tc>
        <w:tc>
          <w:tcPr>
            <w:tcW w:w="1134" w:type="dxa"/>
            <w:tcBorders>
              <w:top w:val="single" w:sz="4" w:space="0" w:color="000000"/>
              <w:left w:val="nil"/>
              <w:bottom w:val="single" w:sz="4" w:space="0" w:color="000000"/>
              <w:right w:val="single" w:sz="4" w:space="0" w:color="000000"/>
            </w:tcBorders>
            <w:shd w:val="clear" w:color="auto" w:fill="auto"/>
            <w:vAlign w:val="center"/>
          </w:tcPr>
          <w:p w14:paraId="1B88BADE" w14:textId="77777777" w:rsidR="007C6854" w:rsidRDefault="00E0219E">
            <w:pPr>
              <w:ind w:left="220"/>
              <w:jc w:val="center"/>
              <w:rPr>
                <w:rFonts w:eastAsia="Arial" w:cs="Arial"/>
              </w:rPr>
            </w:pPr>
            <w:r>
              <w:rPr>
                <w:rFonts w:eastAsia="Arial" w:cs="Arial"/>
              </w:rPr>
              <w:t>1.96</w:t>
            </w:r>
          </w:p>
        </w:tc>
        <w:tc>
          <w:tcPr>
            <w:tcW w:w="1560" w:type="dxa"/>
            <w:tcBorders>
              <w:top w:val="single" w:sz="4" w:space="0" w:color="000000"/>
              <w:left w:val="nil"/>
              <w:bottom w:val="single" w:sz="4" w:space="0" w:color="000000"/>
              <w:right w:val="single" w:sz="4" w:space="0" w:color="000000"/>
            </w:tcBorders>
            <w:shd w:val="clear" w:color="auto" w:fill="auto"/>
            <w:vAlign w:val="center"/>
          </w:tcPr>
          <w:p w14:paraId="6775A46C" w14:textId="77777777" w:rsidR="007C6854" w:rsidRDefault="00E0219E">
            <w:pPr>
              <w:ind w:left="220"/>
              <w:jc w:val="center"/>
              <w:rPr>
                <w:rFonts w:eastAsia="Arial" w:cs="Arial"/>
              </w:rPr>
            </w:pPr>
            <w:r>
              <w:rPr>
                <w:rFonts w:eastAsia="Arial" w:cs="Arial"/>
              </w:rPr>
              <w:t>94%</w:t>
            </w:r>
          </w:p>
        </w:tc>
        <w:tc>
          <w:tcPr>
            <w:tcW w:w="1842" w:type="dxa"/>
            <w:tcBorders>
              <w:top w:val="single" w:sz="4" w:space="0" w:color="000000"/>
              <w:left w:val="nil"/>
              <w:bottom w:val="single" w:sz="4" w:space="0" w:color="000000"/>
              <w:right w:val="single" w:sz="4" w:space="0" w:color="000000"/>
            </w:tcBorders>
            <w:shd w:val="clear" w:color="auto" w:fill="auto"/>
            <w:vAlign w:val="center"/>
          </w:tcPr>
          <w:p w14:paraId="2731B1E8" w14:textId="77777777" w:rsidR="007C6854" w:rsidRDefault="00E0219E">
            <w:pPr>
              <w:ind w:left="220"/>
              <w:jc w:val="center"/>
              <w:rPr>
                <w:rFonts w:eastAsia="Arial" w:cs="Arial"/>
              </w:rPr>
            </w:pPr>
            <w:r>
              <w:rPr>
                <w:rFonts w:eastAsia="Arial" w:cs="Arial"/>
              </w:rPr>
              <w:t>Agosto, H.G., 2015</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14:paraId="3882CF9F" w14:textId="77777777" w:rsidR="007C6854" w:rsidRDefault="00E0219E">
            <w:pPr>
              <w:ind w:left="220"/>
              <w:jc w:val="center"/>
              <w:rPr>
                <w:rFonts w:eastAsia="Arial" w:cs="Arial"/>
              </w:rPr>
            </w:pPr>
            <w:r>
              <w:rPr>
                <w:rFonts w:eastAsia="Arial" w:cs="Arial"/>
              </w:rPr>
              <w:t>5%</w:t>
            </w:r>
          </w:p>
        </w:tc>
        <w:tc>
          <w:tcPr>
            <w:tcW w:w="1417" w:type="dxa"/>
            <w:tcBorders>
              <w:top w:val="single" w:sz="4" w:space="0" w:color="000000"/>
              <w:left w:val="nil"/>
              <w:bottom w:val="single" w:sz="4" w:space="0" w:color="000000"/>
              <w:right w:val="single" w:sz="4" w:space="0" w:color="000000"/>
            </w:tcBorders>
            <w:shd w:val="clear" w:color="auto" w:fill="auto"/>
            <w:vAlign w:val="center"/>
          </w:tcPr>
          <w:p w14:paraId="0D63E566" w14:textId="77777777" w:rsidR="007C6854" w:rsidRDefault="00E0219E">
            <w:pPr>
              <w:ind w:left="220"/>
              <w:jc w:val="center"/>
              <w:rPr>
                <w:rFonts w:eastAsia="Arial" w:cs="Arial"/>
              </w:rPr>
            </w:pPr>
            <w:r>
              <w:rPr>
                <w:rFonts w:eastAsia="Arial" w:cs="Arial"/>
              </w:rPr>
              <w:t>87</w:t>
            </w:r>
          </w:p>
        </w:tc>
      </w:tr>
      <w:tr w:rsidR="007C6854" w14:paraId="72234834" w14:textId="77777777">
        <w:trPr>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C9210CA" w14:textId="77777777" w:rsidR="007C6854" w:rsidRDefault="007C6854">
            <w:pPr>
              <w:ind w:left="220"/>
              <w:rPr>
                <w:rFonts w:eastAsia="Arial" w:cs="Arial"/>
              </w:rPr>
            </w:pPr>
          </w:p>
        </w:tc>
        <w:tc>
          <w:tcPr>
            <w:tcW w:w="1134" w:type="dxa"/>
            <w:tcBorders>
              <w:top w:val="single" w:sz="4" w:space="0" w:color="000000"/>
              <w:left w:val="nil"/>
              <w:bottom w:val="single" w:sz="4" w:space="0" w:color="000000"/>
              <w:right w:val="single" w:sz="4" w:space="0" w:color="000000"/>
            </w:tcBorders>
            <w:shd w:val="clear" w:color="auto" w:fill="auto"/>
            <w:vAlign w:val="center"/>
          </w:tcPr>
          <w:p w14:paraId="4A9AFB96" w14:textId="77777777" w:rsidR="007C6854" w:rsidRDefault="00E0219E">
            <w:pPr>
              <w:ind w:left="220"/>
              <w:jc w:val="center"/>
              <w:rPr>
                <w:rFonts w:eastAsia="Arial" w:cs="Arial"/>
              </w:rPr>
            </w:pPr>
            <w:r>
              <w:rPr>
                <w:rFonts w:eastAsia="Arial" w:cs="Arial"/>
              </w:rPr>
              <w:t>1.96</w:t>
            </w:r>
          </w:p>
        </w:tc>
        <w:tc>
          <w:tcPr>
            <w:tcW w:w="1560" w:type="dxa"/>
            <w:tcBorders>
              <w:top w:val="single" w:sz="4" w:space="0" w:color="000000"/>
              <w:left w:val="nil"/>
              <w:bottom w:val="single" w:sz="4" w:space="0" w:color="000000"/>
              <w:right w:val="single" w:sz="4" w:space="0" w:color="000000"/>
            </w:tcBorders>
            <w:shd w:val="clear" w:color="auto" w:fill="auto"/>
            <w:vAlign w:val="center"/>
          </w:tcPr>
          <w:p w14:paraId="36B27A0A" w14:textId="77777777" w:rsidR="007C6854" w:rsidRDefault="00E0219E">
            <w:pPr>
              <w:ind w:left="220"/>
              <w:jc w:val="center"/>
              <w:rPr>
                <w:rFonts w:eastAsia="Arial" w:cs="Arial"/>
              </w:rPr>
            </w:pPr>
            <w:r>
              <w:rPr>
                <w:rFonts w:eastAsia="Arial" w:cs="Arial"/>
              </w:rPr>
              <w:t>31.5%</w:t>
            </w:r>
          </w:p>
        </w:tc>
        <w:tc>
          <w:tcPr>
            <w:tcW w:w="1842" w:type="dxa"/>
            <w:tcBorders>
              <w:top w:val="single" w:sz="4" w:space="0" w:color="000000"/>
              <w:left w:val="nil"/>
              <w:bottom w:val="single" w:sz="4" w:space="0" w:color="000000"/>
              <w:right w:val="single" w:sz="4" w:space="0" w:color="000000"/>
            </w:tcBorders>
            <w:shd w:val="clear" w:color="auto" w:fill="auto"/>
            <w:vAlign w:val="center"/>
          </w:tcPr>
          <w:p w14:paraId="7800B596" w14:textId="77777777" w:rsidR="007C6854" w:rsidRDefault="00E0219E">
            <w:pPr>
              <w:ind w:left="220"/>
              <w:jc w:val="center"/>
              <w:rPr>
                <w:rFonts w:eastAsia="Arial" w:cs="Arial"/>
              </w:rPr>
            </w:pPr>
            <w:proofErr w:type="spellStart"/>
            <w:r>
              <w:rPr>
                <w:rFonts w:eastAsia="Arial" w:cs="Arial"/>
              </w:rPr>
              <w:t>Denuwara</w:t>
            </w:r>
            <w:proofErr w:type="spellEnd"/>
            <w:r>
              <w:rPr>
                <w:rFonts w:eastAsia="Arial" w:cs="Arial"/>
              </w:rPr>
              <w:t xml:space="preserve"> &amp; Gunawardena, 2017</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14:paraId="4E43212B" w14:textId="77777777" w:rsidR="007C6854" w:rsidRDefault="00E0219E">
            <w:pPr>
              <w:ind w:left="220"/>
              <w:jc w:val="center"/>
              <w:rPr>
                <w:rFonts w:eastAsia="Arial" w:cs="Arial"/>
              </w:rPr>
            </w:pPr>
            <w:r>
              <w:rPr>
                <w:rFonts w:eastAsia="Arial" w:cs="Arial"/>
              </w:rPr>
              <w:t>5%</w:t>
            </w:r>
          </w:p>
        </w:tc>
        <w:tc>
          <w:tcPr>
            <w:tcW w:w="1417" w:type="dxa"/>
            <w:tcBorders>
              <w:top w:val="single" w:sz="4" w:space="0" w:color="000000"/>
              <w:left w:val="nil"/>
              <w:bottom w:val="single" w:sz="4" w:space="0" w:color="000000"/>
              <w:right w:val="single" w:sz="4" w:space="0" w:color="000000"/>
            </w:tcBorders>
            <w:shd w:val="clear" w:color="auto" w:fill="auto"/>
            <w:vAlign w:val="center"/>
          </w:tcPr>
          <w:p w14:paraId="005C5B32" w14:textId="77777777" w:rsidR="007C6854" w:rsidRDefault="00E0219E">
            <w:pPr>
              <w:ind w:left="220"/>
              <w:jc w:val="center"/>
              <w:rPr>
                <w:rFonts w:eastAsia="Arial" w:cs="Arial"/>
              </w:rPr>
            </w:pPr>
            <w:r>
              <w:rPr>
                <w:rFonts w:eastAsia="Arial" w:cs="Arial"/>
              </w:rPr>
              <w:t>332</w:t>
            </w:r>
          </w:p>
        </w:tc>
      </w:tr>
      <w:tr w:rsidR="007C6854" w14:paraId="600EC109" w14:textId="77777777">
        <w:trPr>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E95F830" w14:textId="77777777" w:rsidR="007C6854" w:rsidRDefault="00E0219E">
            <w:pPr>
              <w:ind w:left="220"/>
              <w:rPr>
                <w:rFonts w:eastAsia="Arial" w:cs="Arial"/>
              </w:rPr>
            </w:pPr>
            <w:r>
              <w:rPr>
                <w:rFonts w:eastAsia="Arial" w:cs="Arial"/>
              </w:rPr>
              <w:t>Decided Sample Size</w:t>
            </w:r>
          </w:p>
        </w:tc>
        <w:tc>
          <w:tcPr>
            <w:tcW w:w="1134" w:type="dxa"/>
            <w:tcBorders>
              <w:top w:val="single" w:sz="4" w:space="0" w:color="000000"/>
              <w:left w:val="nil"/>
              <w:bottom w:val="single" w:sz="4" w:space="0" w:color="000000"/>
              <w:right w:val="single" w:sz="4" w:space="0" w:color="000000"/>
            </w:tcBorders>
            <w:shd w:val="clear" w:color="auto" w:fill="auto"/>
            <w:vAlign w:val="center"/>
          </w:tcPr>
          <w:p w14:paraId="6A5F370E" w14:textId="77777777" w:rsidR="007C6854" w:rsidRDefault="007C6854">
            <w:pPr>
              <w:ind w:left="220"/>
              <w:jc w:val="center"/>
              <w:rPr>
                <w:rFonts w:eastAsia="Arial" w:cs="Arial"/>
              </w:rPr>
            </w:pPr>
          </w:p>
        </w:tc>
        <w:tc>
          <w:tcPr>
            <w:tcW w:w="1560" w:type="dxa"/>
            <w:tcBorders>
              <w:top w:val="single" w:sz="4" w:space="0" w:color="000000"/>
              <w:left w:val="nil"/>
              <w:bottom w:val="single" w:sz="4" w:space="0" w:color="000000"/>
              <w:right w:val="single" w:sz="4" w:space="0" w:color="000000"/>
            </w:tcBorders>
            <w:shd w:val="clear" w:color="auto" w:fill="auto"/>
            <w:vAlign w:val="center"/>
          </w:tcPr>
          <w:p w14:paraId="61D00A52" w14:textId="77777777" w:rsidR="007C6854" w:rsidRDefault="007C6854">
            <w:pPr>
              <w:ind w:left="220"/>
              <w:jc w:val="center"/>
              <w:rPr>
                <w:rFonts w:eastAsia="Arial" w:cs="Arial"/>
              </w:rPr>
            </w:pPr>
          </w:p>
        </w:tc>
        <w:tc>
          <w:tcPr>
            <w:tcW w:w="1842" w:type="dxa"/>
            <w:tcBorders>
              <w:top w:val="single" w:sz="4" w:space="0" w:color="000000"/>
              <w:left w:val="nil"/>
              <w:bottom w:val="single" w:sz="4" w:space="0" w:color="000000"/>
              <w:right w:val="single" w:sz="4" w:space="0" w:color="000000"/>
            </w:tcBorders>
            <w:shd w:val="clear" w:color="auto" w:fill="auto"/>
            <w:vAlign w:val="center"/>
          </w:tcPr>
          <w:p w14:paraId="0528DDC2" w14:textId="77777777" w:rsidR="007C6854" w:rsidRDefault="007C6854">
            <w:pPr>
              <w:ind w:left="220"/>
              <w:jc w:val="center"/>
              <w:rPr>
                <w:rFonts w:eastAsia="Arial" w:cs="Arial"/>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BD01985" w14:textId="77777777" w:rsidR="007C6854" w:rsidRDefault="007C6854">
            <w:pPr>
              <w:ind w:left="220"/>
              <w:jc w:val="center"/>
              <w:rPr>
                <w:rFonts w:eastAsia="Arial" w:cs="Arial"/>
              </w:rPr>
            </w:pPr>
          </w:p>
        </w:tc>
        <w:tc>
          <w:tcPr>
            <w:tcW w:w="1417" w:type="dxa"/>
            <w:tcBorders>
              <w:top w:val="single" w:sz="4" w:space="0" w:color="000000"/>
              <w:left w:val="nil"/>
              <w:bottom w:val="single" w:sz="4" w:space="0" w:color="000000"/>
              <w:right w:val="single" w:sz="4" w:space="0" w:color="000000"/>
            </w:tcBorders>
            <w:shd w:val="clear" w:color="auto" w:fill="auto"/>
            <w:vAlign w:val="center"/>
          </w:tcPr>
          <w:p w14:paraId="496FC614" w14:textId="77777777" w:rsidR="007C6854" w:rsidRDefault="00E0219E">
            <w:pPr>
              <w:ind w:left="220"/>
              <w:jc w:val="center"/>
              <w:rPr>
                <w:rFonts w:eastAsia="Arial" w:cs="Arial"/>
              </w:rPr>
            </w:pPr>
            <w:r>
              <w:rPr>
                <w:rFonts w:eastAsia="Arial" w:cs="Arial"/>
              </w:rPr>
              <w:t>161</w:t>
            </w:r>
          </w:p>
        </w:tc>
      </w:tr>
      <w:tr w:rsidR="007C6854" w14:paraId="6B2220D9" w14:textId="77777777">
        <w:trPr>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11052F5" w14:textId="77777777" w:rsidR="007C6854" w:rsidRDefault="00E0219E">
            <w:pPr>
              <w:ind w:left="220"/>
              <w:rPr>
                <w:rFonts w:eastAsia="Arial" w:cs="Arial"/>
                <w:b/>
              </w:rPr>
            </w:pPr>
            <w:r>
              <w:rPr>
                <w:rFonts w:eastAsia="Arial" w:cs="Arial"/>
                <w:b/>
              </w:rPr>
              <w:t>Adjusted Sample Size (FPC)</w:t>
            </w:r>
          </w:p>
        </w:tc>
        <w:tc>
          <w:tcPr>
            <w:tcW w:w="1134" w:type="dxa"/>
            <w:tcBorders>
              <w:top w:val="single" w:sz="4" w:space="0" w:color="000000"/>
              <w:left w:val="nil"/>
              <w:bottom w:val="single" w:sz="4" w:space="0" w:color="000000"/>
              <w:right w:val="single" w:sz="4" w:space="0" w:color="000000"/>
            </w:tcBorders>
            <w:shd w:val="clear" w:color="auto" w:fill="auto"/>
            <w:vAlign w:val="center"/>
          </w:tcPr>
          <w:p w14:paraId="5A4B4EEE" w14:textId="77777777" w:rsidR="007C6854" w:rsidRDefault="00E0219E">
            <w:pPr>
              <w:ind w:left="220"/>
              <w:jc w:val="center"/>
              <w:rPr>
                <w:rFonts w:eastAsia="Arial" w:cs="Arial"/>
                <w:b/>
              </w:rPr>
            </w:pPr>
            <w:r>
              <w:rPr>
                <w:rFonts w:eastAsia="Arial" w:cs="Arial"/>
                <w:b/>
              </w:rPr>
              <w:t>N = 1,954 (population of 20 years old and above)</w:t>
            </w:r>
          </w:p>
        </w:tc>
        <w:tc>
          <w:tcPr>
            <w:tcW w:w="1560" w:type="dxa"/>
            <w:tcBorders>
              <w:top w:val="single" w:sz="4" w:space="0" w:color="000000"/>
              <w:left w:val="nil"/>
              <w:bottom w:val="single" w:sz="4" w:space="0" w:color="000000"/>
              <w:right w:val="single" w:sz="4" w:space="0" w:color="000000"/>
            </w:tcBorders>
            <w:shd w:val="clear" w:color="auto" w:fill="auto"/>
            <w:vAlign w:val="center"/>
          </w:tcPr>
          <w:p w14:paraId="161FD6B5" w14:textId="77777777" w:rsidR="007C6854" w:rsidRDefault="00E0219E">
            <w:pPr>
              <w:ind w:left="220"/>
              <w:jc w:val="center"/>
              <w:rPr>
                <w:rFonts w:eastAsia="Arial" w:cs="Arial"/>
                <w:b/>
              </w:rPr>
            </w:pPr>
            <w:r>
              <w:rPr>
                <w:rFonts w:eastAsia="Arial" w:cs="Arial"/>
                <w:b/>
              </w:rPr>
              <w:t>X = 161 (below 10% of the population)</w:t>
            </w:r>
          </w:p>
        </w:tc>
        <w:tc>
          <w:tcPr>
            <w:tcW w:w="1842" w:type="dxa"/>
            <w:tcBorders>
              <w:top w:val="single" w:sz="4" w:space="0" w:color="000000"/>
              <w:left w:val="nil"/>
              <w:bottom w:val="single" w:sz="4" w:space="0" w:color="000000"/>
              <w:right w:val="single" w:sz="4" w:space="0" w:color="000000"/>
            </w:tcBorders>
            <w:shd w:val="clear" w:color="auto" w:fill="auto"/>
            <w:vAlign w:val="center"/>
          </w:tcPr>
          <w:p w14:paraId="5E7C93DA" w14:textId="77777777" w:rsidR="007C6854" w:rsidRDefault="007C6854">
            <w:pPr>
              <w:ind w:left="220"/>
              <w:jc w:val="center"/>
              <w:rPr>
                <w:rFonts w:eastAsia="Arial" w:cs="Arial"/>
                <w:b/>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40F194" w14:textId="77777777" w:rsidR="007C6854" w:rsidRDefault="007C6854">
            <w:pPr>
              <w:ind w:left="220"/>
              <w:jc w:val="center"/>
              <w:rPr>
                <w:rFonts w:eastAsia="Arial" w:cs="Arial"/>
                <w:b/>
              </w:rPr>
            </w:pPr>
          </w:p>
        </w:tc>
        <w:tc>
          <w:tcPr>
            <w:tcW w:w="1417" w:type="dxa"/>
            <w:tcBorders>
              <w:top w:val="single" w:sz="4" w:space="0" w:color="000000"/>
              <w:left w:val="nil"/>
              <w:bottom w:val="single" w:sz="4" w:space="0" w:color="000000"/>
              <w:right w:val="single" w:sz="4" w:space="0" w:color="000000"/>
            </w:tcBorders>
            <w:shd w:val="clear" w:color="auto" w:fill="auto"/>
            <w:vAlign w:val="center"/>
          </w:tcPr>
          <w:p w14:paraId="12809D60" w14:textId="77777777" w:rsidR="007C6854" w:rsidRDefault="00E0219E">
            <w:pPr>
              <w:ind w:left="220"/>
              <w:jc w:val="center"/>
              <w:rPr>
                <w:rFonts w:eastAsia="Arial" w:cs="Arial"/>
                <w:b/>
              </w:rPr>
            </w:pPr>
            <w:r>
              <w:rPr>
                <w:rFonts w:eastAsia="Arial" w:cs="Arial"/>
                <w:b/>
              </w:rPr>
              <w:t>149 (adjusted sample size)</w:t>
            </w:r>
          </w:p>
        </w:tc>
      </w:tr>
    </w:tbl>
    <w:p w14:paraId="17530EC9" w14:textId="77777777" w:rsidR="007C6854" w:rsidRDefault="007C6854">
      <w:pPr>
        <w:pStyle w:val="Heading2"/>
        <w:jc w:val="center"/>
        <w:rPr>
          <w:rFonts w:eastAsia="Arial" w:cs="Arial"/>
          <w:sz w:val="24"/>
          <w:szCs w:val="24"/>
        </w:rPr>
      </w:pPr>
    </w:p>
    <w:p w14:paraId="686AE280" w14:textId="77777777" w:rsidR="007C6854" w:rsidRDefault="007C6854">
      <w:pPr>
        <w:pBdr>
          <w:top w:val="nil"/>
          <w:left w:val="nil"/>
          <w:bottom w:val="nil"/>
          <w:right w:val="nil"/>
          <w:between w:val="nil"/>
        </w:pBdr>
        <w:rPr>
          <w:rFonts w:eastAsia="Arial" w:cs="Arial"/>
          <w:color w:val="000000"/>
          <w:szCs w:val="24"/>
        </w:rPr>
      </w:pPr>
    </w:p>
    <w:p w14:paraId="67802C27" w14:textId="77777777" w:rsidR="007C6854" w:rsidRDefault="007C6854">
      <w:pPr>
        <w:pBdr>
          <w:top w:val="nil"/>
          <w:left w:val="nil"/>
          <w:bottom w:val="nil"/>
          <w:right w:val="nil"/>
          <w:between w:val="nil"/>
        </w:pBdr>
        <w:rPr>
          <w:rFonts w:eastAsia="Arial" w:cs="Arial"/>
          <w:color w:val="000000"/>
          <w:szCs w:val="24"/>
        </w:rPr>
      </w:pPr>
    </w:p>
    <w:p w14:paraId="3B2AC456" w14:textId="77777777" w:rsidR="007C6854" w:rsidRDefault="00E0219E">
      <w:pPr>
        <w:pStyle w:val="Heading2"/>
        <w:jc w:val="center"/>
        <w:rPr>
          <w:rFonts w:eastAsia="Arial" w:cs="Arial"/>
          <w:sz w:val="24"/>
          <w:szCs w:val="24"/>
        </w:rPr>
      </w:pPr>
      <w:bookmarkStart w:id="79" w:name="_heading=h.1x0gk37" w:colFirst="0" w:colLast="0"/>
      <w:bookmarkEnd w:id="79"/>
      <w:r>
        <w:rPr>
          <w:rFonts w:eastAsia="Arial" w:cs="Arial"/>
          <w:sz w:val="24"/>
          <w:szCs w:val="24"/>
        </w:rPr>
        <w:t>Appendix H: Estimation of the Adult Population, 20 years old and above</w:t>
      </w:r>
    </w:p>
    <w:p w14:paraId="72BAEDDB" w14:textId="77777777" w:rsidR="007C6854" w:rsidRDefault="007C6854">
      <w:pPr>
        <w:jc w:val="both"/>
      </w:pPr>
    </w:p>
    <w:p w14:paraId="0843E9DE" w14:textId="77777777" w:rsidR="007C6854" w:rsidRDefault="00E0219E">
      <w:pPr>
        <w:spacing w:line="360" w:lineRule="auto"/>
        <w:ind w:firstLine="420"/>
        <w:jc w:val="both"/>
        <w:rPr>
          <w:rFonts w:eastAsia="Arial" w:cs="Arial"/>
          <w:szCs w:val="24"/>
        </w:rPr>
      </w:pPr>
      <w:r>
        <w:rPr>
          <w:rFonts w:eastAsia="Arial" w:cs="Arial"/>
          <w:color w:val="0A0A0A"/>
          <w:szCs w:val="24"/>
        </w:rPr>
        <w:t xml:space="preserve">The Municipality of Pateros recognizes the Community of </w:t>
      </w:r>
      <w:proofErr w:type="spellStart"/>
      <w:r>
        <w:rPr>
          <w:rFonts w:eastAsia="Arial" w:cs="Arial"/>
          <w:color w:val="0A0A0A"/>
          <w:szCs w:val="24"/>
        </w:rPr>
        <w:t>Bukuhan</w:t>
      </w:r>
      <w:proofErr w:type="spellEnd"/>
      <w:r>
        <w:rPr>
          <w:rFonts w:eastAsia="Arial" w:cs="Arial"/>
          <w:color w:val="0A0A0A"/>
          <w:szCs w:val="24"/>
        </w:rPr>
        <w:t xml:space="preserve"> as an Urban Poor Community. </w:t>
      </w:r>
      <w:r>
        <w:rPr>
          <w:rFonts w:eastAsia="Arial" w:cs="Arial"/>
          <w:szCs w:val="24"/>
        </w:rPr>
        <w:t xml:space="preserve">The total population of the community is around 3,257 individuals. </w:t>
      </w:r>
    </w:p>
    <w:p w14:paraId="306F8E24" w14:textId="77777777" w:rsidR="007C6854" w:rsidRDefault="00E0219E">
      <w:pPr>
        <w:spacing w:line="360" w:lineRule="auto"/>
        <w:ind w:firstLine="420"/>
        <w:jc w:val="both"/>
        <w:rPr>
          <w:rFonts w:eastAsia="Arial" w:cs="Arial"/>
          <w:szCs w:val="24"/>
        </w:rPr>
      </w:pPr>
      <w:r>
        <w:rPr>
          <w:rFonts w:eastAsia="Arial" w:cs="Arial"/>
          <w:szCs w:val="24"/>
        </w:rPr>
        <w:t xml:space="preserve">To get the population of adults ages 20 years and above, the researcher uses the Philippine Statistics Authority (PSA, 2010) project population matrix </w:t>
      </w:r>
      <w:r>
        <w:rPr>
          <w:rFonts w:eastAsia="Arial" w:cs="Arial"/>
          <w:szCs w:val="24"/>
        </w:rPr>
        <w:lastRenderedPageBreak/>
        <w:t xml:space="preserve">for 2018. The percentage of the adult population (20 years and above) is calculated as 60% (See table below). We are projecting that around 1,954 individuals aged 20 years and above are living in the </w:t>
      </w:r>
      <w:proofErr w:type="spellStart"/>
      <w:r>
        <w:rPr>
          <w:rFonts w:eastAsia="Arial" w:cs="Arial"/>
          <w:szCs w:val="24"/>
        </w:rPr>
        <w:t>Bukuhan</w:t>
      </w:r>
      <w:proofErr w:type="spellEnd"/>
      <w:r>
        <w:rPr>
          <w:rFonts w:eastAsia="Arial" w:cs="Arial"/>
          <w:szCs w:val="24"/>
        </w:rPr>
        <w:t xml:space="preserve"> community. </w:t>
      </w:r>
    </w:p>
    <w:p w14:paraId="42ACC02A" w14:textId="77777777" w:rsidR="007C6854" w:rsidRDefault="00E0219E">
      <w:pPr>
        <w:spacing w:line="360" w:lineRule="auto"/>
        <w:ind w:left="220" w:firstLine="241"/>
        <w:jc w:val="center"/>
        <w:rPr>
          <w:rFonts w:eastAsia="Arial" w:cs="Arial"/>
          <w:szCs w:val="24"/>
        </w:rPr>
      </w:pPr>
      <w:r>
        <w:rPr>
          <w:rFonts w:eastAsia="Arial" w:cs="Arial"/>
          <w:b/>
          <w:szCs w:val="24"/>
        </w:rPr>
        <w:t>Table 5:</w:t>
      </w:r>
      <w:r>
        <w:rPr>
          <w:rFonts w:eastAsia="Arial" w:cs="Arial"/>
          <w:szCs w:val="24"/>
        </w:rPr>
        <w:t xml:space="preserve"> Computation of the Percentage of 20 years old and above. The Philippines. 2018</w:t>
      </w:r>
    </w:p>
    <w:tbl>
      <w:tblPr>
        <w:tblStyle w:val="affff2"/>
        <w:tblW w:w="48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81"/>
        <w:gridCol w:w="2265"/>
      </w:tblGrid>
      <w:tr w:rsidR="007C6854" w14:paraId="1A033407" w14:textId="77777777">
        <w:trPr>
          <w:trHeight w:val="191"/>
          <w:jc w:val="center"/>
        </w:trPr>
        <w:tc>
          <w:tcPr>
            <w:tcW w:w="258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854D0DD" w14:textId="77777777" w:rsidR="007C6854" w:rsidRDefault="00E0219E">
            <w:pPr>
              <w:spacing w:line="360" w:lineRule="auto"/>
              <w:ind w:left="220"/>
              <w:jc w:val="both"/>
              <w:rPr>
                <w:rFonts w:eastAsia="Arial" w:cs="Arial"/>
                <w:b/>
              </w:rPr>
            </w:pPr>
            <w:r>
              <w:rPr>
                <w:rFonts w:eastAsia="Arial" w:cs="Arial"/>
                <w:b/>
              </w:rPr>
              <w:t>Age Group</w:t>
            </w:r>
          </w:p>
        </w:tc>
        <w:tc>
          <w:tcPr>
            <w:tcW w:w="2265" w:type="dxa"/>
            <w:tcBorders>
              <w:top w:val="single" w:sz="4" w:space="0" w:color="000000"/>
              <w:left w:val="nil"/>
              <w:bottom w:val="single" w:sz="4" w:space="0" w:color="000000"/>
              <w:right w:val="single" w:sz="4" w:space="0" w:color="000000"/>
            </w:tcBorders>
            <w:shd w:val="clear" w:color="auto" w:fill="auto"/>
            <w:vAlign w:val="center"/>
          </w:tcPr>
          <w:p w14:paraId="68DDA4AB" w14:textId="77777777" w:rsidR="007C6854" w:rsidRDefault="00E0219E">
            <w:pPr>
              <w:spacing w:line="360" w:lineRule="auto"/>
              <w:ind w:left="220"/>
              <w:jc w:val="center"/>
              <w:rPr>
                <w:rFonts w:eastAsia="Arial" w:cs="Arial"/>
                <w:b/>
              </w:rPr>
            </w:pPr>
            <w:r>
              <w:rPr>
                <w:rFonts w:eastAsia="Arial" w:cs="Arial"/>
                <w:b/>
              </w:rPr>
              <w:t>Philippines</w:t>
            </w:r>
          </w:p>
        </w:tc>
      </w:tr>
      <w:tr w:rsidR="007C6854" w14:paraId="5055D869" w14:textId="77777777">
        <w:trPr>
          <w:trHeight w:val="191"/>
          <w:jc w:val="center"/>
        </w:trPr>
        <w:tc>
          <w:tcPr>
            <w:tcW w:w="258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7EFA658" w14:textId="77777777" w:rsidR="007C6854" w:rsidRDefault="00E0219E">
            <w:pPr>
              <w:spacing w:line="360" w:lineRule="auto"/>
              <w:ind w:left="220"/>
              <w:jc w:val="both"/>
              <w:rPr>
                <w:rFonts w:eastAsia="Arial" w:cs="Arial"/>
              </w:rPr>
            </w:pPr>
            <w:r>
              <w:rPr>
                <w:rFonts w:eastAsia="Arial" w:cs="Arial"/>
              </w:rPr>
              <w:t>20-24</w:t>
            </w:r>
          </w:p>
        </w:tc>
        <w:tc>
          <w:tcPr>
            <w:tcW w:w="2265" w:type="dxa"/>
            <w:tcBorders>
              <w:top w:val="single" w:sz="4" w:space="0" w:color="000000"/>
              <w:left w:val="nil"/>
              <w:bottom w:val="single" w:sz="4" w:space="0" w:color="000000"/>
              <w:right w:val="single" w:sz="4" w:space="0" w:color="000000"/>
            </w:tcBorders>
            <w:shd w:val="clear" w:color="auto" w:fill="auto"/>
            <w:vAlign w:val="center"/>
          </w:tcPr>
          <w:p w14:paraId="0FCD417B" w14:textId="77777777" w:rsidR="007C6854" w:rsidRDefault="00E0219E">
            <w:pPr>
              <w:spacing w:line="360" w:lineRule="auto"/>
              <w:ind w:left="220"/>
              <w:jc w:val="center"/>
              <w:rPr>
                <w:rFonts w:eastAsia="Arial" w:cs="Arial"/>
              </w:rPr>
            </w:pPr>
            <w:r>
              <w:rPr>
                <w:rFonts w:eastAsia="Arial" w:cs="Arial"/>
              </w:rPr>
              <w:t>9,892,300</w:t>
            </w:r>
          </w:p>
        </w:tc>
      </w:tr>
      <w:tr w:rsidR="007C6854" w14:paraId="377293BC" w14:textId="77777777">
        <w:trPr>
          <w:trHeight w:val="191"/>
          <w:jc w:val="center"/>
        </w:trPr>
        <w:tc>
          <w:tcPr>
            <w:tcW w:w="258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85C0DFD" w14:textId="77777777" w:rsidR="007C6854" w:rsidRDefault="00E0219E">
            <w:pPr>
              <w:spacing w:line="360" w:lineRule="auto"/>
              <w:ind w:left="220"/>
              <w:jc w:val="both"/>
              <w:rPr>
                <w:rFonts w:eastAsia="Arial" w:cs="Arial"/>
              </w:rPr>
            </w:pPr>
            <w:r>
              <w:rPr>
                <w:rFonts w:eastAsia="Arial" w:cs="Arial"/>
              </w:rPr>
              <w:t>25-29</w:t>
            </w:r>
          </w:p>
        </w:tc>
        <w:tc>
          <w:tcPr>
            <w:tcW w:w="2265" w:type="dxa"/>
            <w:tcBorders>
              <w:top w:val="single" w:sz="4" w:space="0" w:color="000000"/>
              <w:left w:val="nil"/>
              <w:bottom w:val="single" w:sz="4" w:space="0" w:color="000000"/>
              <w:right w:val="single" w:sz="4" w:space="0" w:color="000000"/>
            </w:tcBorders>
            <w:shd w:val="clear" w:color="auto" w:fill="auto"/>
            <w:vAlign w:val="center"/>
          </w:tcPr>
          <w:p w14:paraId="4E914E38" w14:textId="77777777" w:rsidR="007C6854" w:rsidRDefault="00E0219E">
            <w:pPr>
              <w:spacing w:line="360" w:lineRule="auto"/>
              <w:ind w:left="220"/>
              <w:jc w:val="center"/>
              <w:rPr>
                <w:rFonts w:eastAsia="Arial" w:cs="Arial"/>
              </w:rPr>
            </w:pPr>
            <w:r>
              <w:rPr>
                <w:rFonts w:eastAsia="Arial" w:cs="Arial"/>
              </w:rPr>
              <w:t>9,047,900</w:t>
            </w:r>
          </w:p>
        </w:tc>
      </w:tr>
      <w:tr w:rsidR="007C6854" w14:paraId="3221F74D" w14:textId="77777777">
        <w:trPr>
          <w:trHeight w:val="191"/>
          <w:jc w:val="center"/>
        </w:trPr>
        <w:tc>
          <w:tcPr>
            <w:tcW w:w="258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19A6186" w14:textId="77777777" w:rsidR="007C6854" w:rsidRDefault="00E0219E">
            <w:pPr>
              <w:spacing w:line="360" w:lineRule="auto"/>
              <w:ind w:left="220"/>
              <w:jc w:val="both"/>
              <w:rPr>
                <w:rFonts w:eastAsia="Arial" w:cs="Arial"/>
              </w:rPr>
            </w:pPr>
            <w:r>
              <w:rPr>
                <w:rFonts w:eastAsia="Arial" w:cs="Arial"/>
              </w:rPr>
              <w:t>30-34</w:t>
            </w:r>
          </w:p>
        </w:tc>
        <w:tc>
          <w:tcPr>
            <w:tcW w:w="2265" w:type="dxa"/>
            <w:tcBorders>
              <w:top w:val="single" w:sz="4" w:space="0" w:color="000000"/>
              <w:left w:val="nil"/>
              <w:bottom w:val="single" w:sz="4" w:space="0" w:color="000000"/>
              <w:right w:val="single" w:sz="4" w:space="0" w:color="000000"/>
            </w:tcBorders>
            <w:shd w:val="clear" w:color="auto" w:fill="auto"/>
            <w:vAlign w:val="center"/>
          </w:tcPr>
          <w:p w14:paraId="5A9C1D6E" w14:textId="77777777" w:rsidR="007C6854" w:rsidRDefault="00E0219E">
            <w:pPr>
              <w:spacing w:line="360" w:lineRule="auto"/>
              <w:ind w:left="220"/>
              <w:jc w:val="center"/>
              <w:rPr>
                <w:rFonts w:eastAsia="Arial" w:cs="Arial"/>
              </w:rPr>
            </w:pPr>
            <w:r>
              <w:rPr>
                <w:rFonts w:eastAsia="Arial" w:cs="Arial"/>
              </w:rPr>
              <w:t>7,869,600</w:t>
            </w:r>
          </w:p>
        </w:tc>
      </w:tr>
      <w:tr w:rsidR="007C6854" w14:paraId="3C582FE9" w14:textId="77777777">
        <w:trPr>
          <w:trHeight w:val="191"/>
          <w:jc w:val="center"/>
        </w:trPr>
        <w:tc>
          <w:tcPr>
            <w:tcW w:w="258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C1925DB" w14:textId="77777777" w:rsidR="007C6854" w:rsidRDefault="00E0219E">
            <w:pPr>
              <w:spacing w:line="360" w:lineRule="auto"/>
              <w:ind w:left="220"/>
              <w:jc w:val="both"/>
              <w:rPr>
                <w:rFonts w:eastAsia="Arial" w:cs="Arial"/>
              </w:rPr>
            </w:pPr>
            <w:r>
              <w:rPr>
                <w:rFonts w:eastAsia="Arial" w:cs="Arial"/>
              </w:rPr>
              <w:t>35-39</w:t>
            </w:r>
          </w:p>
        </w:tc>
        <w:tc>
          <w:tcPr>
            <w:tcW w:w="2265" w:type="dxa"/>
            <w:tcBorders>
              <w:top w:val="single" w:sz="4" w:space="0" w:color="000000"/>
              <w:left w:val="nil"/>
              <w:bottom w:val="single" w:sz="4" w:space="0" w:color="000000"/>
              <w:right w:val="single" w:sz="4" w:space="0" w:color="000000"/>
            </w:tcBorders>
            <w:shd w:val="clear" w:color="auto" w:fill="auto"/>
            <w:vAlign w:val="center"/>
          </w:tcPr>
          <w:p w14:paraId="4BCE1714" w14:textId="77777777" w:rsidR="007C6854" w:rsidRDefault="00E0219E">
            <w:pPr>
              <w:spacing w:line="360" w:lineRule="auto"/>
              <w:ind w:left="220"/>
              <w:jc w:val="center"/>
              <w:rPr>
                <w:rFonts w:eastAsia="Arial" w:cs="Arial"/>
              </w:rPr>
            </w:pPr>
            <w:r>
              <w:rPr>
                <w:rFonts w:eastAsia="Arial" w:cs="Arial"/>
              </w:rPr>
              <w:t>7,017,600</w:t>
            </w:r>
          </w:p>
        </w:tc>
      </w:tr>
      <w:tr w:rsidR="007C6854" w14:paraId="6A2ACCC5" w14:textId="77777777">
        <w:trPr>
          <w:trHeight w:val="191"/>
          <w:jc w:val="center"/>
        </w:trPr>
        <w:tc>
          <w:tcPr>
            <w:tcW w:w="258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E32C8BA" w14:textId="77777777" w:rsidR="007C6854" w:rsidRDefault="00E0219E">
            <w:pPr>
              <w:spacing w:line="360" w:lineRule="auto"/>
              <w:ind w:left="220"/>
              <w:jc w:val="both"/>
              <w:rPr>
                <w:rFonts w:eastAsia="Arial" w:cs="Arial"/>
              </w:rPr>
            </w:pPr>
            <w:r>
              <w:rPr>
                <w:rFonts w:eastAsia="Arial" w:cs="Arial"/>
              </w:rPr>
              <w:t>40-44</w:t>
            </w:r>
          </w:p>
        </w:tc>
        <w:tc>
          <w:tcPr>
            <w:tcW w:w="2265" w:type="dxa"/>
            <w:tcBorders>
              <w:top w:val="single" w:sz="4" w:space="0" w:color="000000"/>
              <w:left w:val="nil"/>
              <w:bottom w:val="single" w:sz="4" w:space="0" w:color="000000"/>
              <w:right w:val="single" w:sz="4" w:space="0" w:color="000000"/>
            </w:tcBorders>
            <w:shd w:val="clear" w:color="auto" w:fill="auto"/>
            <w:vAlign w:val="center"/>
          </w:tcPr>
          <w:p w14:paraId="1D4B3B33" w14:textId="77777777" w:rsidR="007C6854" w:rsidRDefault="00E0219E">
            <w:pPr>
              <w:spacing w:line="360" w:lineRule="auto"/>
              <w:ind w:left="220"/>
              <w:jc w:val="center"/>
              <w:rPr>
                <w:rFonts w:eastAsia="Arial" w:cs="Arial"/>
              </w:rPr>
            </w:pPr>
            <w:r>
              <w:rPr>
                <w:rFonts w:eastAsia="Arial" w:cs="Arial"/>
              </w:rPr>
              <w:t>6,308,000</w:t>
            </w:r>
          </w:p>
        </w:tc>
      </w:tr>
      <w:tr w:rsidR="007C6854" w14:paraId="6443063B" w14:textId="77777777">
        <w:trPr>
          <w:trHeight w:val="191"/>
          <w:jc w:val="center"/>
        </w:trPr>
        <w:tc>
          <w:tcPr>
            <w:tcW w:w="258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6FE9915" w14:textId="77777777" w:rsidR="007C6854" w:rsidRDefault="00E0219E">
            <w:pPr>
              <w:spacing w:line="360" w:lineRule="auto"/>
              <w:ind w:left="220"/>
              <w:jc w:val="both"/>
              <w:rPr>
                <w:rFonts w:eastAsia="Arial" w:cs="Arial"/>
              </w:rPr>
            </w:pPr>
            <w:r>
              <w:rPr>
                <w:rFonts w:eastAsia="Arial" w:cs="Arial"/>
              </w:rPr>
              <w:t>45-49</w:t>
            </w:r>
          </w:p>
        </w:tc>
        <w:tc>
          <w:tcPr>
            <w:tcW w:w="2265" w:type="dxa"/>
            <w:tcBorders>
              <w:top w:val="single" w:sz="4" w:space="0" w:color="000000"/>
              <w:left w:val="nil"/>
              <w:bottom w:val="single" w:sz="4" w:space="0" w:color="000000"/>
              <w:right w:val="single" w:sz="4" w:space="0" w:color="000000"/>
            </w:tcBorders>
            <w:shd w:val="clear" w:color="auto" w:fill="auto"/>
            <w:vAlign w:val="center"/>
          </w:tcPr>
          <w:p w14:paraId="7043633D" w14:textId="77777777" w:rsidR="007C6854" w:rsidRDefault="00E0219E">
            <w:pPr>
              <w:spacing w:line="360" w:lineRule="auto"/>
              <w:ind w:left="220"/>
              <w:jc w:val="center"/>
              <w:rPr>
                <w:rFonts w:eastAsia="Arial" w:cs="Arial"/>
              </w:rPr>
            </w:pPr>
            <w:r>
              <w:rPr>
                <w:rFonts w:eastAsia="Arial" w:cs="Arial"/>
              </w:rPr>
              <w:t>5,613,200</w:t>
            </w:r>
          </w:p>
        </w:tc>
      </w:tr>
      <w:tr w:rsidR="007C6854" w14:paraId="6EBA7D20" w14:textId="77777777">
        <w:trPr>
          <w:trHeight w:val="191"/>
          <w:jc w:val="center"/>
        </w:trPr>
        <w:tc>
          <w:tcPr>
            <w:tcW w:w="258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A52F500" w14:textId="77777777" w:rsidR="007C6854" w:rsidRDefault="00E0219E">
            <w:pPr>
              <w:spacing w:line="360" w:lineRule="auto"/>
              <w:ind w:left="220"/>
              <w:jc w:val="both"/>
              <w:rPr>
                <w:rFonts w:eastAsia="Arial" w:cs="Arial"/>
              </w:rPr>
            </w:pPr>
            <w:r>
              <w:rPr>
                <w:rFonts w:eastAsia="Arial" w:cs="Arial"/>
              </w:rPr>
              <w:t>50-54</w:t>
            </w:r>
          </w:p>
        </w:tc>
        <w:tc>
          <w:tcPr>
            <w:tcW w:w="2265" w:type="dxa"/>
            <w:tcBorders>
              <w:top w:val="single" w:sz="4" w:space="0" w:color="000000"/>
              <w:left w:val="nil"/>
              <w:bottom w:val="single" w:sz="4" w:space="0" w:color="000000"/>
              <w:right w:val="single" w:sz="4" w:space="0" w:color="000000"/>
            </w:tcBorders>
            <w:shd w:val="clear" w:color="auto" w:fill="auto"/>
            <w:vAlign w:val="center"/>
          </w:tcPr>
          <w:p w14:paraId="5B8DEC98" w14:textId="77777777" w:rsidR="007C6854" w:rsidRDefault="00E0219E">
            <w:pPr>
              <w:spacing w:line="360" w:lineRule="auto"/>
              <w:ind w:left="220"/>
              <w:jc w:val="center"/>
              <w:rPr>
                <w:rFonts w:eastAsia="Arial" w:cs="Arial"/>
              </w:rPr>
            </w:pPr>
            <w:r>
              <w:rPr>
                <w:rFonts w:eastAsia="Arial" w:cs="Arial"/>
              </w:rPr>
              <w:t>4,918,500</w:t>
            </w:r>
          </w:p>
        </w:tc>
      </w:tr>
      <w:tr w:rsidR="007C6854" w14:paraId="037D9B6C" w14:textId="77777777">
        <w:trPr>
          <w:trHeight w:val="191"/>
          <w:jc w:val="center"/>
        </w:trPr>
        <w:tc>
          <w:tcPr>
            <w:tcW w:w="258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35F22C6" w14:textId="77777777" w:rsidR="007C6854" w:rsidRDefault="00E0219E">
            <w:pPr>
              <w:spacing w:line="360" w:lineRule="auto"/>
              <w:ind w:left="220"/>
              <w:jc w:val="both"/>
              <w:rPr>
                <w:rFonts w:eastAsia="Arial" w:cs="Arial"/>
              </w:rPr>
            </w:pPr>
            <w:r>
              <w:rPr>
                <w:rFonts w:eastAsia="Arial" w:cs="Arial"/>
              </w:rPr>
              <w:t>55-59</w:t>
            </w:r>
          </w:p>
        </w:tc>
        <w:tc>
          <w:tcPr>
            <w:tcW w:w="2265" w:type="dxa"/>
            <w:tcBorders>
              <w:top w:val="single" w:sz="4" w:space="0" w:color="000000"/>
              <w:left w:val="nil"/>
              <w:bottom w:val="single" w:sz="4" w:space="0" w:color="000000"/>
              <w:right w:val="single" w:sz="4" w:space="0" w:color="000000"/>
            </w:tcBorders>
            <w:shd w:val="clear" w:color="auto" w:fill="auto"/>
            <w:vAlign w:val="center"/>
          </w:tcPr>
          <w:p w14:paraId="73C5BA01" w14:textId="77777777" w:rsidR="007C6854" w:rsidRDefault="00E0219E">
            <w:pPr>
              <w:spacing w:line="360" w:lineRule="auto"/>
              <w:ind w:left="220"/>
              <w:jc w:val="center"/>
              <w:rPr>
                <w:rFonts w:eastAsia="Arial" w:cs="Arial"/>
              </w:rPr>
            </w:pPr>
            <w:r>
              <w:rPr>
                <w:rFonts w:eastAsia="Arial" w:cs="Arial"/>
              </w:rPr>
              <w:t>4,067,300</w:t>
            </w:r>
          </w:p>
        </w:tc>
      </w:tr>
      <w:tr w:rsidR="007C6854" w14:paraId="64ED1356" w14:textId="77777777">
        <w:trPr>
          <w:trHeight w:val="191"/>
          <w:jc w:val="center"/>
        </w:trPr>
        <w:tc>
          <w:tcPr>
            <w:tcW w:w="258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4C036CF" w14:textId="77777777" w:rsidR="007C6854" w:rsidRDefault="00E0219E">
            <w:pPr>
              <w:spacing w:line="360" w:lineRule="auto"/>
              <w:ind w:left="220"/>
              <w:jc w:val="both"/>
              <w:rPr>
                <w:rFonts w:eastAsia="Arial" w:cs="Arial"/>
              </w:rPr>
            </w:pPr>
            <w:r>
              <w:rPr>
                <w:rFonts w:eastAsia="Arial" w:cs="Arial"/>
              </w:rPr>
              <w:t>60-64</w:t>
            </w:r>
          </w:p>
        </w:tc>
        <w:tc>
          <w:tcPr>
            <w:tcW w:w="2265" w:type="dxa"/>
            <w:tcBorders>
              <w:top w:val="single" w:sz="4" w:space="0" w:color="000000"/>
              <w:left w:val="nil"/>
              <w:bottom w:val="single" w:sz="4" w:space="0" w:color="000000"/>
              <w:right w:val="single" w:sz="4" w:space="0" w:color="000000"/>
            </w:tcBorders>
            <w:shd w:val="clear" w:color="auto" w:fill="auto"/>
            <w:vAlign w:val="center"/>
          </w:tcPr>
          <w:p w14:paraId="5D035BFE" w14:textId="77777777" w:rsidR="007C6854" w:rsidRDefault="00E0219E">
            <w:pPr>
              <w:spacing w:line="360" w:lineRule="auto"/>
              <w:ind w:left="220"/>
              <w:jc w:val="center"/>
              <w:rPr>
                <w:rFonts w:eastAsia="Arial" w:cs="Arial"/>
              </w:rPr>
            </w:pPr>
            <w:r>
              <w:rPr>
                <w:rFonts w:eastAsia="Arial" w:cs="Arial"/>
              </w:rPr>
              <w:t>3,164,900</w:t>
            </w:r>
          </w:p>
        </w:tc>
      </w:tr>
      <w:tr w:rsidR="007C6854" w14:paraId="22A96836" w14:textId="77777777">
        <w:trPr>
          <w:trHeight w:val="191"/>
          <w:jc w:val="center"/>
        </w:trPr>
        <w:tc>
          <w:tcPr>
            <w:tcW w:w="258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60BB1F1" w14:textId="77777777" w:rsidR="007C6854" w:rsidRDefault="00E0219E">
            <w:pPr>
              <w:spacing w:line="360" w:lineRule="auto"/>
              <w:ind w:left="220"/>
              <w:jc w:val="both"/>
              <w:rPr>
                <w:rFonts w:eastAsia="Arial" w:cs="Arial"/>
              </w:rPr>
            </w:pPr>
            <w:r>
              <w:rPr>
                <w:rFonts w:eastAsia="Arial" w:cs="Arial"/>
              </w:rPr>
              <w:t>65-69</w:t>
            </w:r>
          </w:p>
        </w:tc>
        <w:tc>
          <w:tcPr>
            <w:tcW w:w="2265" w:type="dxa"/>
            <w:tcBorders>
              <w:top w:val="single" w:sz="4" w:space="0" w:color="000000"/>
              <w:left w:val="nil"/>
              <w:bottom w:val="single" w:sz="4" w:space="0" w:color="000000"/>
              <w:right w:val="single" w:sz="4" w:space="0" w:color="000000"/>
            </w:tcBorders>
            <w:shd w:val="clear" w:color="auto" w:fill="auto"/>
            <w:vAlign w:val="center"/>
          </w:tcPr>
          <w:p w14:paraId="39B65360" w14:textId="77777777" w:rsidR="007C6854" w:rsidRDefault="00E0219E">
            <w:pPr>
              <w:spacing w:line="360" w:lineRule="auto"/>
              <w:ind w:left="220"/>
              <w:jc w:val="center"/>
              <w:rPr>
                <w:rFonts w:eastAsia="Arial" w:cs="Arial"/>
              </w:rPr>
            </w:pPr>
            <w:r>
              <w:rPr>
                <w:rFonts w:eastAsia="Arial" w:cs="Arial"/>
              </w:rPr>
              <w:t>2,268,800</w:t>
            </w:r>
          </w:p>
        </w:tc>
      </w:tr>
      <w:tr w:rsidR="007C6854" w14:paraId="631AF257" w14:textId="77777777">
        <w:trPr>
          <w:trHeight w:val="191"/>
          <w:jc w:val="center"/>
        </w:trPr>
        <w:tc>
          <w:tcPr>
            <w:tcW w:w="258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80FAD64" w14:textId="77777777" w:rsidR="007C6854" w:rsidRDefault="00E0219E">
            <w:pPr>
              <w:spacing w:line="360" w:lineRule="auto"/>
              <w:ind w:left="220"/>
              <w:jc w:val="both"/>
              <w:rPr>
                <w:rFonts w:eastAsia="Arial" w:cs="Arial"/>
              </w:rPr>
            </w:pPr>
            <w:r>
              <w:rPr>
                <w:rFonts w:eastAsia="Arial" w:cs="Arial"/>
              </w:rPr>
              <w:t>70-74</w:t>
            </w:r>
          </w:p>
        </w:tc>
        <w:tc>
          <w:tcPr>
            <w:tcW w:w="2265" w:type="dxa"/>
            <w:tcBorders>
              <w:top w:val="single" w:sz="4" w:space="0" w:color="000000"/>
              <w:left w:val="nil"/>
              <w:bottom w:val="single" w:sz="4" w:space="0" w:color="000000"/>
              <w:right w:val="single" w:sz="4" w:space="0" w:color="000000"/>
            </w:tcBorders>
            <w:shd w:val="clear" w:color="auto" w:fill="auto"/>
            <w:vAlign w:val="center"/>
          </w:tcPr>
          <w:p w14:paraId="6C7BC3FF" w14:textId="77777777" w:rsidR="007C6854" w:rsidRDefault="00E0219E">
            <w:pPr>
              <w:spacing w:line="360" w:lineRule="auto"/>
              <w:ind w:left="220"/>
              <w:jc w:val="center"/>
              <w:rPr>
                <w:rFonts w:eastAsia="Arial" w:cs="Arial"/>
              </w:rPr>
            </w:pPr>
            <w:r>
              <w:rPr>
                <w:rFonts w:eastAsia="Arial" w:cs="Arial"/>
              </w:rPr>
              <w:t>1,494,600</w:t>
            </w:r>
          </w:p>
        </w:tc>
      </w:tr>
      <w:tr w:rsidR="007C6854" w14:paraId="2A527E63" w14:textId="77777777">
        <w:trPr>
          <w:trHeight w:val="191"/>
          <w:jc w:val="center"/>
        </w:trPr>
        <w:tc>
          <w:tcPr>
            <w:tcW w:w="258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BCFD23E" w14:textId="77777777" w:rsidR="007C6854" w:rsidRDefault="00E0219E">
            <w:pPr>
              <w:spacing w:line="360" w:lineRule="auto"/>
              <w:ind w:left="220"/>
              <w:jc w:val="both"/>
              <w:rPr>
                <w:rFonts w:eastAsia="Arial" w:cs="Arial"/>
              </w:rPr>
            </w:pPr>
            <w:r>
              <w:rPr>
                <w:rFonts w:eastAsia="Arial" w:cs="Arial"/>
              </w:rPr>
              <w:t>75-79</w:t>
            </w:r>
          </w:p>
        </w:tc>
        <w:tc>
          <w:tcPr>
            <w:tcW w:w="2265" w:type="dxa"/>
            <w:tcBorders>
              <w:top w:val="single" w:sz="4" w:space="0" w:color="000000"/>
              <w:left w:val="nil"/>
              <w:bottom w:val="single" w:sz="4" w:space="0" w:color="000000"/>
              <w:right w:val="single" w:sz="4" w:space="0" w:color="000000"/>
            </w:tcBorders>
            <w:shd w:val="clear" w:color="auto" w:fill="auto"/>
            <w:vAlign w:val="center"/>
          </w:tcPr>
          <w:p w14:paraId="0EC157D0" w14:textId="77777777" w:rsidR="007C6854" w:rsidRDefault="00E0219E">
            <w:pPr>
              <w:spacing w:line="360" w:lineRule="auto"/>
              <w:ind w:left="220"/>
              <w:jc w:val="center"/>
              <w:rPr>
                <w:rFonts w:eastAsia="Arial" w:cs="Arial"/>
              </w:rPr>
            </w:pPr>
            <w:r>
              <w:rPr>
                <w:rFonts w:eastAsia="Arial" w:cs="Arial"/>
              </w:rPr>
              <w:t>927,600</w:t>
            </w:r>
          </w:p>
        </w:tc>
      </w:tr>
      <w:tr w:rsidR="007C6854" w14:paraId="66A9998E" w14:textId="77777777">
        <w:trPr>
          <w:trHeight w:val="191"/>
          <w:jc w:val="center"/>
        </w:trPr>
        <w:tc>
          <w:tcPr>
            <w:tcW w:w="258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9C75BCE" w14:textId="77777777" w:rsidR="007C6854" w:rsidRDefault="00E0219E">
            <w:pPr>
              <w:spacing w:line="360" w:lineRule="auto"/>
              <w:ind w:left="220"/>
              <w:jc w:val="both"/>
              <w:rPr>
                <w:rFonts w:eastAsia="Arial" w:cs="Arial"/>
              </w:rPr>
            </w:pPr>
            <w:r>
              <w:rPr>
                <w:rFonts w:eastAsia="Arial" w:cs="Arial"/>
              </w:rPr>
              <w:t>80+</w:t>
            </w:r>
          </w:p>
        </w:tc>
        <w:tc>
          <w:tcPr>
            <w:tcW w:w="2265" w:type="dxa"/>
            <w:tcBorders>
              <w:top w:val="single" w:sz="4" w:space="0" w:color="000000"/>
              <w:left w:val="nil"/>
              <w:bottom w:val="single" w:sz="4" w:space="0" w:color="000000"/>
              <w:right w:val="single" w:sz="4" w:space="0" w:color="000000"/>
            </w:tcBorders>
            <w:shd w:val="clear" w:color="auto" w:fill="auto"/>
            <w:vAlign w:val="center"/>
          </w:tcPr>
          <w:p w14:paraId="3019BE63" w14:textId="77777777" w:rsidR="007C6854" w:rsidRDefault="00E0219E">
            <w:pPr>
              <w:spacing w:line="360" w:lineRule="auto"/>
              <w:ind w:left="220"/>
              <w:jc w:val="center"/>
              <w:rPr>
                <w:rFonts w:eastAsia="Arial" w:cs="Arial"/>
              </w:rPr>
            </w:pPr>
            <w:r>
              <w:rPr>
                <w:rFonts w:eastAsia="Arial" w:cs="Arial"/>
              </w:rPr>
              <w:t>882,800</w:t>
            </w:r>
          </w:p>
        </w:tc>
      </w:tr>
      <w:tr w:rsidR="007C6854" w14:paraId="12EE9C2F" w14:textId="77777777">
        <w:trPr>
          <w:trHeight w:val="191"/>
          <w:jc w:val="center"/>
        </w:trPr>
        <w:tc>
          <w:tcPr>
            <w:tcW w:w="258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374C244" w14:textId="77777777" w:rsidR="007C6854" w:rsidRDefault="00E0219E">
            <w:pPr>
              <w:spacing w:line="360" w:lineRule="auto"/>
              <w:ind w:left="220"/>
              <w:jc w:val="both"/>
              <w:rPr>
                <w:rFonts w:eastAsia="Arial" w:cs="Arial"/>
              </w:rPr>
            </w:pPr>
            <w:r>
              <w:rPr>
                <w:rFonts w:eastAsia="Arial" w:cs="Arial"/>
              </w:rPr>
              <w:t>Total 20-69</w:t>
            </w:r>
          </w:p>
        </w:tc>
        <w:tc>
          <w:tcPr>
            <w:tcW w:w="2265" w:type="dxa"/>
            <w:tcBorders>
              <w:top w:val="single" w:sz="4" w:space="0" w:color="000000"/>
              <w:left w:val="nil"/>
              <w:bottom w:val="single" w:sz="4" w:space="0" w:color="000000"/>
              <w:right w:val="single" w:sz="4" w:space="0" w:color="000000"/>
            </w:tcBorders>
            <w:shd w:val="clear" w:color="auto" w:fill="auto"/>
            <w:vAlign w:val="center"/>
          </w:tcPr>
          <w:p w14:paraId="014D70D7" w14:textId="77777777" w:rsidR="007C6854" w:rsidRDefault="00E0219E">
            <w:pPr>
              <w:spacing w:line="360" w:lineRule="auto"/>
              <w:ind w:left="220"/>
              <w:jc w:val="center"/>
              <w:rPr>
                <w:rFonts w:eastAsia="Arial" w:cs="Arial"/>
              </w:rPr>
            </w:pPr>
            <w:r>
              <w:rPr>
                <w:rFonts w:eastAsia="Arial" w:cs="Arial"/>
              </w:rPr>
              <w:t>63,473,100</w:t>
            </w:r>
          </w:p>
        </w:tc>
      </w:tr>
      <w:tr w:rsidR="007C6854" w14:paraId="724D6B51" w14:textId="77777777">
        <w:trPr>
          <w:trHeight w:val="190"/>
          <w:jc w:val="center"/>
        </w:trPr>
        <w:tc>
          <w:tcPr>
            <w:tcW w:w="258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EA73C4" w14:textId="77777777" w:rsidR="007C6854" w:rsidRDefault="00E0219E">
            <w:pPr>
              <w:spacing w:line="360" w:lineRule="auto"/>
              <w:ind w:left="220"/>
              <w:jc w:val="both"/>
              <w:rPr>
                <w:rFonts w:eastAsia="Arial" w:cs="Arial"/>
              </w:rPr>
            </w:pPr>
            <w:r>
              <w:rPr>
                <w:rFonts w:eastAsia="Arial" w:cs="Arial"/>
              </w:rPr>
              <w:t>Total 2018</w:t>
            </w:r>
          </w:p>
        </w:tc>
        <w:tc>
          <w:tcPr>
            <w:tcW w:w="2265" w:type="dxa"/>
            <w:tcBorders>
              <w:top w:val="single" w:sz="4" w:space="0" w:color="000000"/>
              <w:left w:val="nil"/>
              <w:bottom w:val="single" w:sz="4" w:space="0" w:color="000000"/>
              <w:right w:val="single" w:sz="4" w:space="0" w:color="000000"/>
            </w:tcBorders>
            <w:shd w:val="clear" w:color="auto" w:fill="auto"/>
            <w:vAlign w:val="center"/>
          </w:tcPr>
          <w:p w14:paraId="4B68107D" w14:textId="77777777" w:rsidR="007C6854" w:rsidRDefault="00E0219E">
            <w:pPr>
              <w:spacing w:line="360" w:lineRule="auto"/>
              <w:ind w:left="220"/>
              <w:jc w:val="center"/>
              <w:rPr>
                <w:rFonts w:eastAsia="Arial" w:cs="Arial"/>
              </w:rPr>
            </w:pPr>
            <w:r>
              <w:rPr>
                <w:rFonts w:eastAsia="Arial" w:cs="Arial"/>
              </w:rPr>
              <w:t>106,598,600</w:t>
            </w:r>
          </w:p>
        </w:tc>
      </w:tr>
      <w:tr w:rsidR="007C6854" w14:paraId="07B27626" w14:textId="77777777">
        <w:trPr>
          <w:trHeight w:val="191"/>
          <w:jc w:val="center"/>
        </w:trPr>
        <w:tc>
          <w:tcPr>
            <w:tcW w:w="258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F1AEF73" w14:textId="77777777" w:rsidR="007C6854" w:rsidRDefault="00E0219E">
            <w:pPr>
              <w:spacing w:line="360" w:lineRule="auto"/>
              <w:ind w:left="220"/>
              <w:jc w:val="both"/>
              <w:rPr>
                <w:rFonts w:eastAsia="Arial" w:cs="Arial"/>
                <w:b/>
              </w:rPr>
            </w:pPr>
            <w:r>
              <w:rPr>
                <w:rFonts w:eastAsia="Arial" w:cs="Arial"/>
                <w:b/>
              </w:rPr>
              <w:lastRenderedPageBreak/>
              <w:t>Percentage 20-69</w:t>
            </w:r>
          </w:p>
        </w:tc>
        <w:tc>
          <w:tcPr>
            <w:tcW w:w="2265" w:type="dxa"/>
            <w:tcBorders>
              <w:top w:val="single" w:sz="4" w:space="0" w:color="000000"/>
              <w:left w:val="nil"/>
              <w:bottom w:val="single" w:sz="4" w:space="0" w:color="000000"/>
              <w:right w:val="single" w:sz="4" w:space="0" w:color="000000"/>
            </w:tcBorders>
            <w:shd w:val="clear" w:color="auto" w:fill="auto"/>
            <w:vAlign w:val="center"/>
          </w:tcPr>
          <w:p w14:paraId="6760CD57" w14:textId="77777777" w:rsidR="007C6854" w:rsidRDefault="00E0219E">
            <w:pPr>
              <w:spacing w:line="360" w:lineRule="auto"/>
              <w:ind w:left="220"/>
              <w:jc w:val="center"/>
              <w:rPr>
                <w:rFonts w:eastAsia="Arial" w:cs="Arial"/>
                <w:b/>
              </w:rPr>
            </w:pPr>
            <w:r>
              <w:rPr>
                <w:rFonts w:eastAsia="Arial" w:cs="Arial"/>
                <w:b/>
              </w:rPr>
              <w:t>60%</w:t>
            </w:r>
          </w:p>
        </w:tc>
      </w:tr>
    </w:tbl>
    <w:p w14:paraId="646B46BA" w14:textId="77777777" w:rsidR="007C6854" w:rsidRDefault="00E0219E">
      <w:pPr>
        <w:spacing w:line="360" w:lineRule="auto"/>
        <w:ind w:left="1680" w:firstLine="240"/>
        <w:rPr>
          <w:rFonts w:eastAsia="Arial" w:cs="Arial"/>
          <w:szCs w:val="24"/>
        </w:rPr>
      </w:pPr>
      <w:r>
        <w:rPr>
          <w:rFonts w:eastAsia="Arial" w:cs="Arial"/>
          <w:szCs w:val="24"/>
        </w:rPr>
        <w:t>Source: PSA, 2010</w:t>
      </w:r>
    </w:p>
    <w:p w14:paraId="02852CE2" w14:textId="77777777" w:rsidR="007C6854" w:rsidRDefault="00E0219E">
      <w:pPr>
        <w:pStyle w:val="Heading2"/>
        <w:jc w:val="center"/>
        <w:rPr>
          <w:rFonts w:eastAsia="Arial" w:cs="Arial"/>
          <w:sz w:val="24"/>
          <w:szCs w:val="24"/>
        </w:rPr>
      </w:pPr>
      <w:bookmarkStart w:id="80" w:name="_heading=h.4h042r0" w:colFirst="0" w:colLast="0"/>
      <w:bookmarkEnd w:id="80"/>
      <w:r>
        <w:br w:type="page"/>
      </w:r>
      <w:r>
        <w:rPr>
          <w:rFonts w:eastAsia="Arial" w:cs="Arial"/>
          <w:sz w:val="24"/>
          <w:szCs w:val="24"/>
        </w:rPr>
        <w:lastRenderedPageBreak/>
        <w:t>Appendix I. Summary of the Research Construct</w:t>
      </w:r>
    </w:p>
    <w:p w14:paraId="4A178F60" w14:textId="77777777" w:rsidR="007C6854" w:rsidRDefault="007C6854">
      <w:pPr>
        <w:spacing w:after="160" w:line="360" w:lineRule="auto"/>
        <w:ind w:left="220"/>
        <w:rPr>
          <w:rFonts w:eastAsia="Arial" w:cs="Arial"/>
          <w:szCs w:val="24"/>
        </w:rPr>
      </w:pPr>
    </w:p>
    <w:p w14:paraId="04E43557" w14:textId="77777777" w:rsidR="007C6854" w:rsidRDefault="00E0219E">
      <w:pPr>
        <w:spacing w:line="360" w:lineRule="auto"/>
        <w:ind w:left="220" w:firstLine="240"/>
        <w:jc w:val="both"/>
        <w:rPr>
          <w:rFonts w:eastAsia="Arial" w:cs="Arial"/>
          <w:szCs w:val="24"/>
        </w:rPr>
      </w:pPr>
      <w:r>
        <w:rPr>
          <w:rFonts w:eastAsia="Arial" w:cs="Arial"/>
          <w:szCs w:val="24"/>
        </w:rPr>
        <w:t>The research theory/model construct and the study variables and information were explored during the survey.</w:t>
      </w:r>
    </w:p>
    <w:p w14:paraId="41DEFE75" w14:textId="77777777" w:rsidR="007C6854" w:rsidRDefault="00E0219E">
      <w:pPr>
        <w:spacing w:line="360" w:lineRule="auto"/>
        <w:ind w:left="220" w:firstLine="241"/>
        <w:jc w:val="center"/>
        <w:rPr>
          <w:rFonts w:eastAsia="Arial" w:cs="Arial"/>
          <w:b/>
          <w:szCs w:val="24"/>
        </w:rPr>
      </w:pPr>
      <w:bookmarkStart w:id="81" w:name="_heading=h.tyjcwt" w:colFirst="0" w:colLast="0"/>
      <w:bookmarkEnd w:id="81"/>
      <w:r>
        <w:rPr>
          <w:rFonts w:eastAsia="Arial" w:cs="Arial"/>
          <w:szCs w:val="24"/>
        </w:rPr>
        <w:t>Theory/Model Construct, Study Variables, &amp; Indicators</w:t>
      </w:r>
    </w:p>
    <w:tbl>
      <w:tblPr>
        <w:tblStyle w:val="affff3"/>
        <w:tblW w:w="9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77"/>
        <w:gridCol w:w="3177"/>
        <w:gridCol w:w="3177"/>
      </w:tblGrid>
      <w:tr w:rsidR="007C6854" w14:paraId="05E065B1" w14:textId="77777777">
        <w:tc>
          <w:tcPr>
            <w:tcW w:w="3177" w:type="dxa"/>
            <w:tcBorders>
              <w:top w:val="single" w:sz="4" w:space="0" w:color="000000"/>
              <w:left w:val="single" w:sz="4" w:space="0" w:color="000000"/>
              <w:bottom w:val="single" w:sz="4" w:space="0" w:color="000000"/>
              <w:right w:val="single" w:sz="4" w:space="0" w:color="000000"/>
            </w:tcBorders>
            <w:shd w:val="clear" w:color="auto" w:fill="auto"/>
          </w:tcPr>
          <w:p w14:paraId="22D49CA8" w14:textId="77777777" w:rsidR="007C6854" w:rsidRDefault="00E0219E">
            <w:pPr>
              <w:spacing w:after="160" w:line="360" w:lineRule="auto"/>
              <w:rPr>
                <w:rFonts w:eastAsia="Arial" w:cs="Arial"/>
                <w:b/>
                <w:szCs w:val="24"/>
              </w:rPr>
            </w:pPr>
            <w:r>
              <w:rPr>
                <w:rFonts w:eastAsia="Arial" w:cs="Arial"/>
                <w:b/>
                <w:szCs w:val="24"/>
              </w:rPr>
              <w:t>Theory/Model</w:t>
            </w:r>
          </w:p>
        </w:tc>
        <w:tc>
          <w:tcPr>
            <w:tcW w:w="3177" w:type="dxa"/>
            <w:tcBorders>
              <w:top w:val="single" w:sz="4" w:space="0" w:color="000000"/>
              <w:left w:val="nil"/>
              <w:bottom w:val="single" w:sz="4" w:space="0" w:color="000000"/>
              <w:right w:val="single" w:sz="4" w:space="0" w:color="000000"/>
            </w:tcBorders>
            <w:shd w:val="clear" w:color="auto" w:fill="auto"/>
          </w:tcPr>
          <w:p w14:paraId="518A9DD1" w14:textId="77777777" w:rsidR="007C6854" w:rsidRDefault="00E0219E">
            <w:pPr>
              <w:spacing w:after="160" w:line="360" w:lineRule="auto"/>
              <w:ind w:left="220"/>
              <w:rPr>
                <w:rFonts w:eastAsia="Arial" w:cs="Arial"/>
                <w:b/>
                <w:szCs w:val="24"/>
              </w:rPr>
            </w:pPr>
            <w:r>
              <w:rPr>
                <w:rFonts w:eastAsia="Arial" w:cs="Arial"/>
                <w:b/>
                <w:szCs w:val="24"/>
              </w:rPr>
              <w:t>Survey Category</w:t>
            </w:r>
          </w:p>
        </w:tc>
        <w:tc>
          <w:tcPr>
            <w:tcW w:w="3177" w:type="dxa"/>
            <w:tcBorders>
              <w:top w:val="single" w:sz="4" w:space="0" w:color="000000"/>
              <w:left w:val="nil"/>
              <w:bottom w:val="single" w:sz="4" w:space="0" w:color="000000"/>
              <w:right w:val="single" w:sz="4" w:space="0" w:color="000000"/>
            </w:tcBorders>
            <w:shd w:val="clear" w:color="auto" w:fill="auto"/>
          </w:tcPr>
          <w:p w14:paraId="4DD52B06" w14:textId="77777777" w:rsidR="007C6854" w:rsidRDefault="00E0219E">
            <w:pPr>
              <w:spacing w:after="160" w:line="360" w:lineRule="auto"/>
              <w:ind w:left="220"/>
              <w:rPr>
                <w:rFonts w:eastAsia="Arial" w:cs="Arial"/>
                <w:b/>
                <w:szCs w:val="24"/>
              </w:rPr>
            </w:pPr>
            <w:r>
              <w:rPr>
                <w:rFonts w:eastAsia="Arial" w:cs="Arial"/>
                <w:b/>
                <w:szCs w:val="24"/>
              </w:rPr>
              <w:t>Information</w:t>
            </w:r>
          </w:p>
        </w:tc>
      </w:tr>
      <w:tr w:rsidR="007C6854" w14:paraId="6C305C10" w14:textId="77777777">
        <w:tc>
          <w:tcPr>
            <w:tcW w:w="3177" w:type="dxa"/>
            <w:vMerge w:val="restart"/>
            <w:tcBorders>
              <w:top w:val="single" w:sz="4" w:space="0" w:color="000000"/>
              <w:left w:val="single" w:sz="4" w:space="0" w:color="000000"/>
              <w:right w:val="single" w:sz="4" w:space="0" w:color="000000"/>
            </w:tcBorders>
            <w:shd w:val="clear" w:color="auto" w:fill="auto"/>
          </w:tcPr>
          <w:p w14:paraId="0CA9E8FB" w14:textId="77777777" w:rsidR="007C6854" w:rsidRDefault="00E0219E">
            <w:pPr>
              <w:spacing w:after="160" w:line="360" w:lineRule="auto"/>
              <w:ind w:left="220"/>
              <w:rPr>
                <w:rFonts w:eastAsia="Arial" w:cs="Arial"/>
                <w:szCs w:val="24"/>
              </w:rPr>
            </w:pPr>
            <w:r>
              <w:rPr>
                <w:rFonts w:eastAsia="Arial" w:cs="Arial"/>
                <w:szCs w:val="24"/>
              </w:rPr>
              <w:t>Urban HEART</w:t>
            </w:r>
          </w:p>
          <w:p w14:paraId="6D5BA911" w14:textId="77777777" w:rsidR="007C6854" w:rsidRDefault="00E0219E">
            <w:pPr>
              <w:spacing w:after="160" w:line="360" w:lineRule="auto"/>
              <w:ind w:left="220"/>
              <w:rPr>
                <w:rFonts w:eastAsia="Arial" w:cs="Arial"/>
                <w:szCs w:val="24"/>
              </w:rPr>
            </w:pPr>
            <w:proofErr w:type="spellStart"/>
            <w:r>
              <w:rPr>
                <w:rFonts w:eastAsia="Arial" w:cs="Arial"/>
                <w:szCs w:val="24"/>
              </w:rPr>
              <w:t>STEPwise</w:t>
            </w:r>
            <w:proofErr w:type="spellEnd"/>
            <w:r>
              <w:rPr>
                <w:rFonts w:eastAsia="Arial" w:cs="Arial"/>
                <w:szCs w:val="24"/>
              </w:rPr>
              <w:t xml:space="preserve"> Approach</w:t>
            </w:r>
          </w:p>
        </w:tc>
        <w:tc>
          <w:tcPr>
            <w:tcW w:w="3177" w:type="dxa"/>
            <w:vMerge w:val="restart"/>
            <w:tcBorders>
              <w:top w:val="single" w:sz="4" w:space="0" w:color="000000"/>
              <w:left w:val="nil"/>
              <w:right w:val="single" w:sz="4" w:space="0" w:color="000000"/>
            </w:tcBorders>
            <w:shd w:val="clear" w:color="auto" w:fill="auto"/>
          </w:tcPr>
          <w:p w14:paraId="7071E0BE" w14:textId="77777777" w:rsidR="007C6854" w:rsidRDefault="00E0219E">
            <w:pPr>
              <w:spacing w:after="160" w:line="360" w:lineRule="auto"/>
              <w:ind w:left="220"/>
              <w:rPr>
                <w:rFonts w:eastAsia="Arial" w:cs="Arial"/>
                <w:szCs w:val="24"/>
              </w:rPr>
            </w:pPr>
            <w:r>
              <w:rPr>
                <w:rFonts w:eastAsia="Arial" w:cs="Arial"/>
                <w:szCs w:val="24"/>
              </w:rPr>
              <w:t>Pre-existing condition</w:t>
            </w:r>
          </w:p>
          <w:p w14:paraId="5BC7C4B2" w14:textId="77777777" w:rsidR="007C6854" w:rsidRDefault="00E0219E">
            <w:pPr>
              <w:spacing w:after="160" w:line="360" w:lineRule="auto"/>
              <w:ind w:left="220"/>
              <w:rPr>
                <w:rFonts w:eastAsia="Arial" w:cs="Arial"/>
                <w:szCs w:val="24"/>
              </w:rPr>
            </w:pPr>
            <w:r>
              <w:rPr>
                <w:rFonts w:eastAsia="Arial" w:cs="Arial"/>
                <w:szCs w:val="24"/>
              </w:rPr>
              <w:t xml:space="preserve"> </w:t>
            </w:r>
          </w:p>
        </w:tc>
        <w:tc>
          <w:tcPr>
            <w:tcW w:w="3177" w:type="dxa"/>
            <w:tcBorders>
              <w:top w:val="single" w:sz="4" w:space="0" w:color="000000"/>
              <w:left w:val="nil"/>
              <w:bottom w:val="single" w:sz="4" w:space="0" w:color="000000"/>
              <w:right w:val="single" w:sz="4" w:space="0" w:color="000000"/>
            </w:tcBorders>
            <w:shd w:val="clear" w:color="auto" w:fill="auto"/>
          </w:tcPr>
          <w:p w14:paraId="19D1BB41" w14:textId="77777777" w:rsidR="007C6854" w:rsidRDefault="00E0219E">
            <w:pPr>
              <w:numPr>
                <w:ilvl w:val="0"/>
                <w:numId w:val="35"/>
              </w:numPr>
              <w:spacing w:after="160" w:line="360" w:lineRule="auto"/>
              <w:rPr>
                <w:rFonts w:eastAsia="Arial" w:cs="Arial"/>
                <w:szCs w:val="24"/>
              </w:rPr>
            </w:pPr>
            <w:r>
              <w:rPr>
                <w:rFonts w:eastAsia="Arial" w:cs="Arial"/>
                <w:szCs w:val="24"/>
              </w:rPr>
              <w:t xml:space="preserve">Hypertension </w:t>
            </w:r>
          </w:p>
          <w:p w14:paraId="1E09773F" w14:textId="77777777" w:rsidR="007C6854" w:rsidRDefault="007C6854">
            <w:pPr>
              <w:spacing w:after="160" w:line="360" w:lineRule="auto"/>
              <w:ind w:left="220"/>
              <w:rPr>
                <w:rFonts w:eastAsia="Arial" w:cs="Arial"/>
                <w:szCs w:val="24"/>
              </w:rPr>
            </w:pPr>
          </w:p>
        </w:tc>
      </w:tr>
      <w:tr w:rsidR="007C6854" w14:paraId="18C2CC75" w14:textId="77777777">
        <w:tc>
          <w:tcPr>
            <w:tcW w:w="3177" w:type="dxa"/>
            <w:vMerge/>
            <w:tcBorders>
              <w:top w:val="single" w:sz="4" w:space="0" w:color="000000"/>
              <w:left w:val="single" w:sz="4" w:space="0" w:color="000000"/>
              <w:right w:val="single" w:sz="4" w:space="0" w:color="000000"/>
            </w:tcBorders>
            <w:shd w:val="clear" w:color="auto" w:fill="auto"/>
          </w:tcPr>
          <w:p w14:paraId="1648CA26" w14:textId="77777777" w:rsidR="007C6854" w:rsidRDefault="007C6854">
            <w:pPr>
              <w:widowControl w:val="0"/>
              <w:pBdr>
                <w:top w:val="nil"/>
                <w:left w:val="nil"/>
                <w:bottom w:val="nil"/>
                <w:right w:val="nil"/>
                <w:between w:val="nil"/>
              </w:pBdr>
              <w:spacing w:line="276" w:lineRule="auto"/>
              <w:rPr>
                <w:rFonts w:eastAsia="Arial" w:cs="Arial"/>
                <w:szCs w:val="24"/>
              </w:rPr>
            </w:pPr>
          </w:p>
        </w:tc>
        <w:tc>
          <w:tcPr>
            <w:tcW w:w="3177" w:type="dxa"/>
            <w:vMerge/>
            <w:tcBorders>
              <w:top w:val="single" w:sz="4" w:space="0" w:color="000000"/>
              <w:left w:val="nil"/>
              <w:right w:val="single" w:sz="4" w:space="0" w:color="000000"/>
            </w:tcBorders>
            <w:shd w:val="clear" w:color="auto" w:fill="auto"/>
          </w:tcPr>
          <w:p w14:paraId="017FE2DC" w14:textId="77777777" w:rsidR="007C6854" w:rsidRDefault="007C6854">
            <w:pPr>
              <w:widowControl w:val="0"/>
              <w:pBdr>
                <w:top w:val="nil"/>
                <w:left w:val="nil"/>
                <w:bottom w:val="nil"/>
                <w:right w:val="nil"/>
                <w:between w:val="nil"/>
              </w:pBdr>
              <w:spacing w:line="276" w:lineRule="auto"/>
              <w:rPr>
                <w:rFonts w:eastAsia="Arial" w:cs="Arial"/>
                <w:szCs w:val="24"/>
              </w:rPr>
            </w:pPr>
          </w:p>
        </w:tc>
        <w:tc>
          <w:tcPr>
            <w:tcW w:w="3177" w:type="dxa"/>
            <w:tcBorders>
              <w:top w:val="single" w:sz="4" w:space="0" w:color="000000"/>
              <w:left w:val="nil"/>
              <w:bottom w:val="single" w:sz="4" w:space="0" w:color="000000"/>
              <w:right w:val="single" w:sz="4" w:space="0" w:color="000000"/>
            </w:tcBorders>
            <w:shd w:val="clear" w:color="auto" w:fill="auto"/>
          </w:tcPr>
          <w:p w14:paraId="222EB73D" w14:textId="77777777" w:rsidR="007C6854" w:rsidRDefault="00E0219E">
            <w:pPr>
              <w:numPr>
                <w:ilvl w:val="0"/>
                <w:numId w:val="35"/>
              </w:numPr>
              <w:spacing w:after="160" w:line="360" w:lineRule="auto"/>
              <w:rPr>
                <w:rFonts w:eastAsia="Arial" w:cs="Arial"/>
                <w:szCs w:val="24"/>
              </w:rPr>
            </w:pPr>
            <w:r>
              <w:rPr>
                <w:rFonts w:eastAsia="Arial" w:cs="Arial"/>
                <w:szCs w:val="24"/>
              </w:rPr>
              <w:t xml:space="preserve">Self-reported use of antihypertensive medication prescribed by a doctor or a health worker in the past two weeks and/or </w:t>
            </w:r>
          </w:p>
          <w:p w14:paraId="7538642B" w14:textId="77777777" w:rsidR="007C6854" w:rsidRDefault="00E0219E">
            <w:pPr>
              <w:numPr>
                <w:ilvl w:val="0"/>
                <w:numId w:val="35"/>
              </w:numPr>
              <w:spacing w:after="160" w:line="360" w:lineRule="auto"/>
              <w:rPr>
                <w:rFonts w:eastAsia="Arial" w:cs="Arial"/>
                <w:szCs w:val="24"/>
              </w:rPr>
            </w:pPr>
            <w:r>
              <w:rPr>
                <w:rFonts w:eastAsia="Arial" w:cs="Arial"/>
                <w:szCs w:val="24"/>
              </w:rPr>
              <w:t xml:space="preserve">Have you ever been told by a doctor or health worker of having raised blood pressure or hypertension in the past 12 months? </w:t>
            </w:r>
          </w:p>
          <w:p w14:paraId="0F67B621" w14:textId="77777777" w:rsidR="007C6854" w:rsidRDefault="007C6854">
            <w:pPr>
              <w:spacing w:after="160" w:line="360" w:lineRule="auto"/>
              <w:rPr>
                <w:rFonts w:eastAsia="Arial" w:cs="Arial"/>
                <w:szCs w:val="24"/>
              </w:rPr>
            </w:pPr>
          </w:p>
        </w:tc>
      </w:tr>
      <w:tr w:rsidR="007C6854" w14:paraId="49E1CAEA" w14:textId="77777777">
        <w:tc>
          <w:tcPr>
            <w:tcW w:w="3177" w:type="dxa"/>
            <w:tcBorders>
              <w:top w:val="single" w:sz="4" w:space="0" w:color="000000"/>
              <w:left w:val="single" w:sz="4" w:space="0" w:color="000000"/>
              <w:bottom w:val="single" w:sz="4" w:space="0" w:color="000000"/>
              <w:right w:val="single" w:sz="4" w:space="0" w:color="000000"/>
            </w:tcBorders>
            <w:shd w:val="clear" w:color="auto" w:fill="auto"/>
          </w:tcPr>
          <w:p w14:paraId="042A6E63" w14:textId="77777777" w:rsidR="007C6854" w:rsidRDefault="00E0219E">
            <w:pPr>
              <w:spacing w:after="160" w:line="360" w:lineRule="auto"/>
              <w:ind w:left="220"/>
              <w:rPr>
                <w:rFonts w:eastAsia="Arial" w:cs="Arial"/>
                <w:szCs w:val="24"/>
              </w:rPr>
            </w:pPr>
            <w:r>
              <w:rPr>
                <w:rFonts w:eastAsia="Arial" w:cs="Arial"/>
                <w:szCs w:val="24"/>
              </w:rPr>
              <w:t>Urban HEART</w:t>
            </w:r>
          </w:p>
          <w:p w14:paraId="6AD9832F" w14:textId="77777777" w:rsidR="007C6854" w:rsidRDefault="00E0219E">
            <w:pPr>
              <w:spacing w:after="160" w:line="360" w:lineRule="auto"/>
              <w:ind w:left="220"/>
              <w:rPr>
                <w:rFonts w:eastAsia="Arial" w:cs="Arial"/>
                <w:szCs w:val="24"/>
              </w:rPr>
            </w:pPr>
            <w:r>
              <w:rPr>
                <w:rFonts w:eastAsia="Arial" w:cs="Arial"/>
                <w:szCs w:val="24"/>
              </w:rPr>
              <w:t>STEPWISE Approach</w:t>
            </w:r>
          </w:p>
        </w:tc>
        <w:tc>
          <w:tcPr>
            <w:tcW w:w="3177" w:type="dxa"/>
            <w:tcBorders>
              <w:top w:val="single" w:sz="4" w:space="0" w:color="000000"/>
              <w:left w:val="nil"/>
              <w:bottom w:val="single" w:sz="4" w:space="0" w:color="000000"/>
              <w:right w:val="single" w:sz="4" w:space="0" w:color="000000"/>
            </w:tcBorders>
            <w:shd w:val="clear" w:color="auto" w:fill="auto"/>
          </w:tcPr>
          <w:p w14:paraId="358A9D42" w14:textId="77777777" w:rsidR="007C6854" w:rsidRDefault="00E0219E">
            <w:pPr>
              <w:spacing w:after="160" w:line="360" w:lineRule="auto"/>
              <w:ind w:left="220"/>
              <w:rPr>
                <w:rFonts w:eastAsia="Arial" w:cs="Arial"/>
                <w:szCs w:val="24"/>
              </w:rPr>
            </w:pPr>
            <w:r>
              <w:rPr>
                <w:rFonts w:eastAsia="Arial" w:cs="Arial"/>
                <w:szCs w:val="24"/>
              </w:rPr>
              <w:t>Socio-Demographic</w:t>
            </w:r>
          </w:p>
        </w:tc>
        <w:tc>
          <w:tcPr>
            <w:tcW w:w="3177" w:type="dxa"/>
            <w:tcBorders>
              <w:top w:val="single" w:sz="4" w:space="0" w:color="000000"/>
              <w:left w:val="nil"/>
              <w:bottom w:val="single" w:sz="4" w:space="0" w:color="000000"/>
              <w:right w:val="single" w:sz="4" w:space="0" w:color="000000"/>
            </w:tcBorders>
            <w:shd w:val="clear" w:color="auto" w:fill="auto"/>
          </w:tcPr>
          <w:p w14:paraId="21BFB822" w14:textId="77777777" w:rsidR="007C6854" w:rsidRDefault="00E0219E">
            <w:pPr>
              <w:numPr>
                <w:ilvl w:val="0"/>
                <w:numId w:val="35"/>
              </w:numPr>
              <w:spacing w:after="160" w:line="360" w:lineRule="auto"/>
              <w:ind w:left="220" w:firstLine="0"/>
              <w:rPr>
                <w:rFonts w:eastAsia="Arial" w:cs="Arial"/>
                <w:szCs w:val="24"/>
              </w:rPr>
            </w:pPr>
            <w:r>
              <w:rPr>
                <w:rFonts w:eastAsia="Arial" w:cs="Arial"/>
                <w:szCs w:val="24"/>
              </w:rPr>
              <w:t>Age Group (by 5)</w:t>
            </w:r>
          </w:p>
          <w:p w14:paraId="5307AAF2" w14:textId="77777777" w:rsidR="007C6854" w:rsidRDefault="00E0219E">
            <w:pPr>
              <w:numPr>
                <w:ilvl w:val="0"/>
                <w:numId w:val="35"/>
              </w:numPr>
              <w:spacing w:after="160" w:line="360" w:lineRule="auto"/>
              <w:ind w:left="220" w:firstLine="0"/>
              <w:rPr>
                <w:rFonts w:eastAsia="Arial" w:cs="Arial"/>
                <w:szCs w:val="24"/>
              </w:rPr>
            </w:pPr>
            <w:r>
              <w:rPr>
                <w:rFonts w:eastAsia="Arial" w:cs="Arial"/>
                <w:szCs w:val="24"/>
              </w:rPr>
              <w:t>Gender (Male / Female)</w:t>
            </w:r>
          </w:p>
          <w:p w14:paraId="6835E166" w14:textId="77777777" w:rsidR="007C6854" w:rsidRDefault="00E0219E">
            <w:pPr>
              <w:numPr>
                <w:ilvl w:val="0"/>
                <w:numId w:val="35"/>
              </w:numPr>
              <w:spacing w:after="160" w:line="360" w:lineRule="auto"/>
              <w:ind w:left="220" w:firstLine="0"/>
              <w:rPr>
                <w:rFonts w:eastAsia="Arial" w:cs="Arial"/>
                <w:szCs w:val="24"/>
              </w:rPr>
            </w:pPr>
            <w:r>
              <w:rPr>
                <w:rFonts w:eastAsia="Arial" w:cs="Arial"/>
                <w:szCs w:val="24"/>
              </w:rPr>
              <w:lastRenderedPageBreak/>
              <w:t>Marital status (Never married, currently married, Separated, Widowed, Cohabitating)</w:t>
            </w:r>
          </w:p>
          <w:p w14:paraId="7614FDF0" w14:textId="77777777" w:rsidR="007C6854" w:rsidRDefault="00E0219E">
            <w:pPr>
              <w:numPr>
                <w:ilvl w:val="0"/>
                <w:numId w:val="35"/>
              </w:numPr>
              <w:spacing w:after="160" w:line="360" w:lineRule="auto"/>
              <w:ind w:left="220" w:firstLine="0"/>
              <w:rPr>
                <w:rFonts w:eastAsia="Arial" w:cs="Arial"/>
                <w:szCs w:val="24"/>
              </w:rPr>
            </w:pPr>
            <w:r>
              <w:rPr>
                <w:rFonts w:eastAsia="Arial" w:cs="Arial"/>
                <w:szCs w:val="24"/>
              </w:rPr>
              <w:t>Employment Status (primary work status in the past 12 months))</w:t>
            </w:r>
          </w:p>
          <w:p w14:paraId="1E5ED202" w14:textId="77777777" w:rsidR="007C6854" w:rsidRDefault="00E0219E">
            <w:pPr>
              <w:numPr>
                <w:ilvl w:val="0"/>
                <w:numId w:val="35"/>
              </w:numPr>
              <w:spacing w:after="160" w:line="360" w:lineRule="auto"/>
              <w:ind w:left="220" w:firstLine="0"/>
              <w:rPr>
                <w:rFonts w:eastAsia="Arial" w:cs="Arial"/>
                <w:szCs w:val="24"/>
              </w:rPr>
            </w:pPr>
            <w:r>
              <w:rPr>
                <w:rFonts w:eastAsia="Arial" w:cs="Arial"/>
                <w:szCs w:val="24"/>
              </w:rPr>
              <w:t>Family annual income (family monthly income x 12)</w:t>
            </w:r>
          </w:p>
          <w:p w14:paraId="36AB46E8" w14:textId="77777777" w:rsidR="007C6854" w:rsidRDefault="00E0219E">
            <w:pPr>
              <w:numPr>
                <w:ilvl w:val="0"/>
                <w:numId w:val="35"/>
              </w:numPr>
              <w:spacing w:after="160" w:line="360" w:lineRule="auto"/>
              <w:ind w:left="220" w:firstLine="0"/>
              <w:rPr>
                <w:rFonts w:eastAsia="Arial" w:cs="Arial"/>
                <w:szCs w:val="24"/>
              </w:rPr>
            </w:pPr>
            <w:r>
              <w:rPr>
                <w:rFonts w:eastAsia="Arial" w:cs="Arial"/>
                <w:szCs w:val="24"/>
              </w:rPr>
              <w:t>Wealth category [using the Philippine Institute for Development Studies Income Class Cluster (PIDS, 2018)]</w:t>
            </w:r>
          </w:p>
          <w:p w14:paraId="63CC0440" w14:textId="77777777" w:rsidR="007C6854" w:rsidRDefault="00E0219E">
            <w:pPr>
              <w:numPr>
                <w:ilvl w:val="0"/>
                <w:numId w:val="35"/>
              </w:numPr>
              <w:spacing w:after="160" w:line="360" w:lineRule="auto"/>
              <w:ind w:left="220" w:firstLine="0"/>
              <w:rPr>
                <w:rFonts w:eastAsia="Arial" w:cs="Arial"/>
                <w:szCs w:val="24"/>
              </w:rPr>
            </w:pPr>
            <w:r>
              <w:rPr>
                <w:rFonts w:eastAsia="Arial" w:cs="Arial"/>
                <w:szCs w:val="24"/>
              </w:rPr>
              <w:t>Religion (Belief or Religious affiliation)</w:t>
            </w:r>
          </w:p>
          <w:p w14:paraId="24CC0084" w14:textId="77777777" w:rsidR="007C6854" w:rsidRDefault="00E0219E">
            <w:pPr>
              <w:numPr>
                <w:ilvl w:val="0"/>
                <w:numId w:val="35"/>
              </w:numPr>
              <w:spacing w:after="160" w:line="360" w:lineRule="auto"/>
              <w:ind w:left="220" w:firstLine="0"/>
              <w:rPr>
                <w:rFonts w:eastAsia="Arial" w:cs="Arial"/>
                <w:szCs w:val="24"/>
              </w:rPr>
            </w:pPr>
            <w:r>
              <w:rPr>
                <w:rFonts w:eastAsia="Arial" w:cs="Arial"/>
                <w:szCs w:val="24"/>
              </w:rPr>
              <w:t xml:space="preserve">Ethnicity (e.g. Tagalog, Ilocano, Kapampangan, Waray, Cebuano, </w:t>
            </w:r>
            <w:proofErr w:type="spellStart"/>
            <w:r>
              <w:rPr>
                <w:rFonts w:eastAsia="Arial" w:cs="Arial"/>
                <w:szCs w:val="24"/>
              </w:rPr>
              <w:t>etc</w:t>
            </w:r>
            <w:proofErr w:type="spellEnd"/>
            <w:r>
              <w:rPr>
                <w:rFonts w:eastAsia="Arial" w:cs="Arial"/>
                <w:szCs w:val="24"/>
              </w:rPr>
              <w:t>)</w:t>
            </w:r>
          </w:p>
          <w:p w14:paraId="413C85B2" w14:textId="77777777" w:rsidR="007C6854" w:rsidRDefault="00E0219E">
            <w:pPr>
              <w:numPr>
                <w:ilvl w:val="0"/>
                <w:numId w:val="35"/>
              </w:numPr>
              <w:spacing w:after="160" w:line="360" w:lineRule="auto"/>
              <w:ind w:left="220" w:firstLine="0"/>
              <w:rPr>
                <w:rFonts w:eastAsia="Arial" w:cs="Arial"/>
                <w:szCs w:val="24"/>
              </w:rPr>
            </w:pPr>
            <w:r>
              <w:rPr>
                <w:rFonts w:eastAsia="Arial" w:cs="Arial"/>
                <w:szCs w:val="24"/>
              </w:rPr>
              <w:t>Health Insurance (e.g. Private and PhilHealth)</w:t>
            </w:r>
          </w:p>
        </w:tc>
      </w:tr>
      <w:tr w:rsidR="007C6854" w14:paraId="3E7FAFE5" w14:textId="77777777">
        <w:tc>
          <w:tcPr>
            <w:tcW w:w="3177" w:type="dxa"/>
            <w:tcBorders>
              <w:top w:val="single" w:sz="4" w:space="0" w:color="000000"/>
              <w:left w:val="single" w:sz="4" w:space="0" w:color="000000"/>
              <w:bottom w:val="single" w:sz="4" w:space="0" w:color="000000"/>
              <w:right w:val="single" w:sz="4" w:space="0" w:color="000000"/>
            </w:tcBorders>
            <w:shd w:val="clear" w:color="auto" w:fill="auto"/>
          </w:tcPr>
          <w:p w14:paraId="76325742" w14:textId="77777777" w:rsidR="007C6854" w:rsidRDefault="00E0219E">
            <w:pPr>
              <w:spacing w:after="160" w:line="360" w:lineRule="auto"/>
              <w:ind w:left="220"/>
              <w:rPr>
                <w:rFonts w:eastAsia="Arial" w:cs="Arial"/>
                <w:szCs w:val="24"/>
              </w:rPr>
            </w:pPr>
            <w:r>
              <w:rPr>
                <w:rFonts w:eastAsia="Arial" w:cs="Arial"/>
                <w:szCs w:val="24"/>
              </w:rPr>
              <w:lastRenderedPageBreak/>
              <w:t xml:space="preserve">Osborne, </w:t>
            </w:r>
            <w:proofErr w:type="spellStart"/>
            <w:r>
              <w:rPr>
                <w:rFonts w:eastAsia="Arial" w:cs="Arial"/>
                <w:szCs w:val="24"/>
              </w:rPr>
              <w:t>Batterham</w:t>
            </w:r>
            <w:proofErr w:type="spellEnd"/>
            <w:r>
              <w:rPr>
                <w:rFonts w:eastAsia="Arial" w:cs="Arial"/>
                <w:szCs w:val="24"/>
              </w:rPr>
              <w:t>, Elsworth, Hawkins, &amp; Buchbinder (2013)</w:t>
            </w:r>
          </w:p>
        </w:tc>
        <w:tc>
          <w:tcPr>
            <w:tcW w:w="3177" w:type="dxa"/>
            <w:tcBorders>
              <w:top w:val="single" w:sz="4" w:space="0" w:color="000000"/>
              <w:left w:val="nil"/>
              <w:bottom w:val="single" w:sz="4" w:space="0" w:color="000000"/>
              <w:right w:val="single" w:sz="4" w:space="0" w:color="000000"/>
            </w:tcBorders>
            <w:shd w:val="clear" w:color="auto" w:fill="auto"/>
          </w:tcPr>
          <w:p w14:paraId="044A8088" w14:textId="77777777" w:rsidR="007C6854" w:rsidRDefault="00E0219E">
            <w:pPr>
              <w:spacing w:after="160" w:line="360" w:lineRule="auto"/>
              <w:ind w:left="220"/>
              <w:rPr>
                <w:rFonts w:eastAsia="Arial" w:cs="Arial"/>
                <w:szCs w:val="24"/>
              </w:rPr>
            </w:pPr>
            <w:r>
              <w:rPr>
                <w:rFonts w:eastAsia="Arial" w:cs="Arial"/>
                <w:szCs w:val="24"/>
              </w:rPr>
              <w:t xml:space="preserve">Health Literacy </w:t>
            </w:r>
          </w:p>
        </w:tc>
        <w:tc>
          <w:tcPr>
            <w:tcW w:w="3177" w:type="dxa"/>
            <w:tcBorders>
              <w:top w:val="single" w:sz="4" w:space="0" w:color="000000"/>
              <w:left w:val="nil"/>
              <w:bottom w:val="single" w:sz="4" w:space="0" w:color="000000"/>
              <w:right w:val="single" w:sz="4" w:space="0" w:color="000000"/>
            </w:tcBorders>
            <w:shd w:val="clear" w:color="auto" w:fill="auto"/>
          </w:tcPr>
          <w:p w14:paraId="39319721" w14:textId="77777777" w:rsidR="007C6854" w:rsidRDefault="00E0219E">
            <w:pPr>
              <w:numPr>
                <w:ilvl w:val="0"/>
                <w:numId w:val="35"/>
              </w:numPr>
              <w:spacing w:after="160" w:line="360" w:lineRule="auto"/>
              <w:ind w:left="220" w:firstLine="0"/>
              <w:rPr>
                <w:rFonts w:eastAsia="Arial" w:cs="Arial"/>
                <w:szCs w:val="24"/>
              </w:rPr>
            </w:pPr>
            <w:r>
              <w:rPr>
                <w:rFonts w:eastAsia="Arial" w:cs="Arial"/>
                <w:szCs w:val="24"/>
              </w:rPr>
              <w:t>Nine Scale Questions that will assess 1) basic/ functional health literacy, 2) Communicative/interactive health literacy, and 3) Critical Literacy</w:t>
            </w:r>
          </w:p>
        </w:tc>
      </w:tr>
    </w:tbl>
    <w:p w14:paraId="438BB50A" w14:textId="77777777" w:rsidR="007C6854" w:rsidRDefault="007C6854">
      <w:pPr>
        <w:spacing w:line="360" w:lineRule="auto"/>
        <w:ind w:left="220" w:firstLine="240"/>
        <w:rPr>
          <w:rFonts w:eastAsia="Arial" w:cs="Arial"/>
          <w:b/>
          <w:szCs w:val="24"/>
        </w:rPr>
      </w:pPr>
    </w:p>
    <w:p w14:paraId="61AD1A18" w14:textId="77777777" w:rsidR="007C6854" w:rsidRDefault="00E0219E">
      <w:pPr>
        <w:pStyle w:val="Heading2"/>
        <w:jc w:val="center"/>
        <w:rPr>
          <w:rFonts w:eastAsia="Arial" w:cs="Arial"/>
          <w:sz w:val="24"/>
          <w:szCs w:val="24"/>
        </w:rPr>
      </w:pPr>
      <w:bookmarkStart w:id="82" w:name="_heading=h.2w5ecyt" w:colFirst="0" w:colLast="0"/>
      <w:bookmarkEnd w:id="82"/>
      <w:r>
        <w:rPr>
          <w:rFonts w:eastAsia="Arial" w:cs="Arial"/>
          <w:sz w:val="24"/>
          <w:szCs w:val="24"/>
        </w:rPr>
        <w:t xml:space="preserve">Appendix J: Database and </w:t>
      </w:r>
      <w:proofErr w:type="spellStart"/>
      <w:r>
        <w:rPr>
          <w:rFonts w:eastAsia="Arial" w:cs="Arial"/>
          <w:sz w:val="24"/>
          <w:szCs w:val="24"/>
        </w:rPr>
        <w:t>Rscript</w:t>
      </w:r>
      <w:proofErr w:type="spellEnd"/>
      <w:r>
        <w:rPr>
          <w:rFonts w:eastAsia="Arial" w:cs="Arial"/>
          <w:sz w:val="24"/>
          <w:szCs w:val="24"/>
        </w:rPr>
        <w:t xml:space="preserve"> file on Data Analysis</w:t>
      </w:r>
    </w:p>
    <w:p w14:paraId="48CF0646" w14:textId="77777777" w:rsidR="007C6854" w:rsidRDefault="007C6854"/>
    <w:p w14:paraId="4930996D" w14:textId="77777777" w:rsidR="007C6854" w:rsidRDefault="00E0219E">
      <w:pPr>
        <w:spacing w:after="160" w:line="360" w:lineRule="auto"/>
        <w:rPr>
          <w:rFonts w:eastAsia="Arial" w:cs="Arial"/>
          <w:szCs w:val="24"/>
        </w:rPr>
      </w:pPr>
      <w:r>
        <w:rPr>
          <w:rFonts w:eastAsia="Arial" w:cs="Arial"/>
          <w:szCs w:val="24"/>
        </w:rPr>
        <w:t xml:space="preserve">Database: </w:t>
      </w:r>
      <w:hyperlink r:id="rId233">
        <w:r>
          <w:rPr>
            <w:rFonts w:eastAsia="Arial" w:cs="Arial"/>
            <w:color w:val="1155CC"/>
            <w:szCs w:val="24"/>
            <w:u w:val="single"/>
          </w:rPr>
          <w:t>https://1drv.ms/x/s!AkVzLxrZ8RUyh-cPi9wskmlF7xu_hw?e=EnRANh</w:t>
        </w:r>
      </w:hyperlink>
      <w:r>
        <w:rPr>
          <w:rFonts w:eastAsia="Arial" w:cs="Arial"/>
          <w:szCs w:val="24"/>
        </w:rPr>
        <w:t xml:space="preserve"> </w:t>
      </w:r>
    </w:p>
    <w:p w14:paraId="687AB6F3" w14:textId="77777777" w:rsidR="007C6854" w:rsidRDefault="00E0219E">
      <w:pPr>
        <w:spacing w:after="160" w:line="360" w:lineRule="auto"/>
        <w:rPr>
          <w:rFonts w:eastAsia="Arial" w:cs="Arial"/>
          <w:szCs w:val="24"/>
        </w:rPr>
      </w:pPr>
      <w:proofErr w:type="spellStart"/>
      <w:r>
        <w:rPr>
          <w:rFonts w:eastAsia="Arial" w:cs="Arial"/>
          <w:szCs w:val="24"/>
        </w:rPr>
        <w:t>Rscript</w:t>
      </w:r>
      <w:proofErr w:type="spellEnd"/>
      <w:r>
        <w:rPr>
          <w:rFonts w:eastAsia="Arial" w:cs="Arial"/>
          <w:szCs w:val="24"/>
        </w:rPr>
        <w:t xml:space="preserve"> File: </w:t>
      </w:r>
      <w:hyperlink r:id="rId234">
        <w:r>
          <w:rPr>
            <w:rFonts w:eastAsia="Arial" w:cs="Arial"/>
            <w:color w:val="1155CC"/>
            <w:szCs w:val="24"/>
            <w:u w:val="single"/>
          </w:rPr>
          <w:t>IH300_Rscript_Final.R</w:t>
        </w:r>
      </w:hyperlink>
    </w:p>
    <w:p w14:paraId="46C965A3" w14:textId="77777777" w:rsidR="007C6854" w:rsidRDefault="007C6854">
      <w:pPr>
        <w:spacing w:line="360" w:lineRule="auto"/>
        <w:rPr>
          <w:rFonts w:eastAsia="Arial" w:cs="Arial"/>
          <w:b/>
          <w:szCs w:val="24"/>
        </w:rPr>
      </w:pPr>
    </w:p>
    <w:sectPr w:rsidR="007C6854">
      <w:headerReference w:type="default" r:id="rId235"/>
      <w:type w:val="continuous"/>
      <w:pgSz w:w="11906" w:h="16838"/>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40F998" w14:textId="77777777" w:rsidR="00E31D28" w:rsidRDefault="00E31D28">
      <w:pPr>
        <w:spacing w:after="0" w:line="240" w:lineRule="auto"/>
      </w:pPr>
      <w:r>
        <w:separator/>
      </w:r>
    </w:p>
  </w:endnote>
  <w:endnote w:type="continuationSeparator" w:id="0">
    <w:p w14:paraId="4FEB323E" w14:textId="77777777" w:rsidR="00E31D28" w:rsidRDefault="00E31D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w:altName w:val="Calibri"/>
    <w:charset w:val="00"/>
    <w:family w:val="swiss"/>
    <w:pitch w:val="variable"/>
    <w:sig w:usb0="E00082FF" w:usb1="400078FF" w:usb2="00000021" w:usb3="00000000" w:csb0="0000019F" w:csb1="00000000"/>
  </w:font>
  <w:font w:name="Arial">
    <w:panose1 w:val="020B0604020202020204"/>
    <w:charset w:val="00"/>
    <w:family w:val="swiss"/>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Arial Unicode MS">
    <w:altName w:val="Arial"/>
    <w:panose1 w:val="020B0604020202020204"/>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4EA5DB" w14:textId="77777777" w:rsidR="00786180" w:rsidRPr="00BE4720" w:rsidRDefault="00786180">
    <w:pPr>
      <w:jc w:val="right"/>
      <w:rPr>
        <w:rFonts w:cs="Arial"/>
        <w:sz w:val="20"/>
        <w:szCs w:val="20"/>
      </w:rPr>
    </w:pPr>
    <w:r w:rsidRPr="00BE4720">
      <w:rPr>
        <w:rFonts w:eastAsia="Arial" w:cs="Arial"/>
        <w:sz w:val="22"/>
      </w:rPr>
      <w:t>Descriptive-Correlational Study of Health Literacy among Urban Poor Settlers with Hypertension…</w:t>
    </w:r>
    <w:r w:rsidRPr="00BE4720">
      <w:rPr>
        <w:rFonts w:cs="Arial"/>
        <w:sz w:val="22"/>
      </w:rPr>
      <w:t>ii</w: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532BD7" w14:textId="77777777" w:rsidR="00786180" w:rsidRPr="00BE4720" w:rsidRDefault="00786180">
    <w:pPr>
      <w:jc w:val="right"/>
      <w:rPr>
        <w:rFonts w:eastAsia="Arial" w:cs="Arial"/>
        <w:sz w:val="22"/>
      </w:rPr>
    </w:pPr>
    <w:r w:rsidRPr="00BE4720">
      <w:rPr>
        <w:rFonts w:eastAsia="Arial" w:cs="Arial"/>
        <w:sz w:val="22"/>
      </w:rPr>
      <w:t>Descriptive-Correlational Study of Health Literacy among Urban Poor Settlers with Hypertension… x</w: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32DCA4" w14:textId="77777777" w:rsidR="00786180" w:rsidRPr="00BE4720" w:rsidRDefault="00786180">
    <w:pPr>
      <w:jc w:val="right"/>
      <w:rPr>
        <w:rFonts w:eastAsia="Arial" w:cs="Arial"/>
        <w:sz w:val="22"/>
      </w:rPr>
    </w:pPr>
    <w:r w:rsidRPr="00BE4720">
      <w:rPr>
        <w:rFonts w:eastAsia="Arial" w:cs="Arial"/>
        <w:sz w:val="22"/>
      </w:rPr>
      <w:t>Descriptive-Correlational Study of Health Literacy among Urban Poor Settlers with Hypertension… xi</w: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DD4958" w14:textId="77777777" w:rsidR="00786180" w:rsidRPr="00BE4720" w:rsidRDefault="00786180">
    <w:pPr>
      <w:jc w:val="right"/>
      <w:rPr>
        <w:rFonts w:eastAsia="Arial" w:cs="Arial"/>
        <w:sz w:val="22"/>
      </w:rPr>
    </w:pPr>
    <w:r w:rsidRPr="00BE4720">
      <w:rPr>
        <w:rFonts w:eastAsia="Arial" w:cs="Arial"/>
        <w:sz w:val="22"/>
      </w:rPr>
      <w:t>Descriptive-Correlational Study of Health Literacy among Urban Poor Settlers with Hypertension… xii</w: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A20440" w14:textId="77777777" w:rsidR="00786180" w:rsidRPr="00BE4720" w:rsidRDefault="00786180">
    <w:pPr>
      <w:jc w:val="right"/>
      <w:rPr>
        <w:rFonts w:eastAsia="Arial" w:cs="Arial"/>
        <w:sz w:val="22"/>
      </w:rPr>
    </w:pPr>
    <w:r w:rsidRPr="00BE4720">
      <w:rPr>
        <w:rFonts w:eastAsia="Arial" w:cs="Arial"/>
        <w:sz w:val="22"/>
      </w:rPr>
      <w:t>Descriptive-Correlational Study of Health Literacy among Urban Poor Settlers with Hypertension… xiii</w: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96FB74" w14:textId="77777777" w:rsidR="00786180" w:rsidRPr="00BE4720" w:rsidRDefault="00786180">
    <w:pPr>
      <w:jc w:val="right"/>
      <w:rPr>
        <w:rFonts w:eastAsia="Arial" w:cs="Arial"/>
        <w:sz w:val="22"/>
      </w:rPr>
    </w:pPr>
    <w:r w:rsidRPr="00BE4720">
      <w:rPr>
        <w:rFonts w:eastAsia="Arial" w:cs="Arial"/>
        <w:sz w:val="22"/>
      </w:rPr>
      <w:t>Descriptive-Correlational Study of Health Literacy among Urban Poor Settlers with Hypertension… xiv</w: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EB99EA" w14:textId="77777777" w:rsidR="00786180" w:rsidRPr="00BE4720" w:rsidRDefault="00786180">
    <w:pPr>
      <w:jc w:val="right"/>
      <w:rPr>
        <w:rFonts w:eastAsia="Arial" w:cs="Arial"/>
        <w:sz w:val="22"/>
      </w:rPr>
    </w:pPr>
    <w:r w:rsidRPr="00BE4720">
      <w:rPr>
        <w:rFonts w:eastAsia="Arial" w:cs="Arial"/>
        <w:sz w:val="22"/>
      </w:rPr>
      <w:t>Descriptive-Correlational Study of Health Literacy among Urban Poor Settlers with Hypertension… xv</w: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859F2E" w14:textId="77777777" w:rsidR="00786180" w:rsidRPr="00BE4720" w:rsidRDefault="00786180">
    <w:pPr>
      <w:jc w:val="right"/>
      <w:rPr>
        <w:rFonts w:eastAsia="Arial" w:cs="Arial"/>
        <w:sz w:val="22"/>
      </w:rPr>
    </w:pPr>
    <w:r w:rsidRPr="00BE4720">
      <w:rPr>
        <w:rFonts w:eastAsia="Arial" w:cs="Arial"/>
        <w:sz w:val="22"/>
      </w:rPr>
      <w:t>Descriptive-Correlational Study of Health Literacy among Urban Poor Settlers with Hypertension… xvi</w:t>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3226CB" w14:textId="77777777" w:rsidR="00786180" w:rsidRPr="00BE4720" w:rsidRDefault="00786180">
    <w:pPr>
      <w:pBdr>
        <w:top w:val="nil"/>
        <w:left w:val="nil"/>
        <w:bottom w:val="nil"/>
        <w:right w:val="nil"/>
        <w:between w:val="nil"/>
      </w:pBdr>
      <w:tabs>
        <w:tab w:val="center" w:pos="4680"/>
        <w:tab w:val="right" w:pos="9360"/>
      </w:tabs>
      <w:spacing w:after="0" w:line="240" w:lineRule="auto"/>
      <w:jc w:val="right"/>
      <w:rPr>
        <w:rFonts w:eastAsia="Arial"/>
        <w:color w:val="000000"/>
        <w:sz w:val="22"/>
        <w:szCs w:val="20"/>
      </w:rPr>
    </w:pPr>
  </w:p>
  <w:p w14:paraId="0D071CCE" w14:textId="77777777" w:rsidR="00786180" w:rsidRPr="00BE4720" w:rsidRDefault="00786180">
    <w:pPr>
      <w:pBdr>
        <w:top w:val="nil"/>
        <w:left w:val="nil"/>
        <w:bottom w:val="nil"/>
        <w:right w:val="nil"/>
        <w:between w:val="nil"/>
      </w:pBdr>
      <w:tabs>
        <w:tab w:val="center" w:pos="4680"/>
        <w:tab w:val="right" w:pos="9360"/>
      </w:tabs>
      <w:spacing w:after="0" w:line="240" w:lineRule="auto"/>
      <w:jc w:val="right"/>
      <w:rPr>
        <w:rFonts w:eastAsia="Arial"/>
        <w:color w:val="000000"/>
        <w:sz w:val="22"/>
        <w:szCs w:val="20"/>
      </w:rPr>
    </w:pPr>
  </w:p>
  <w:p w14:paraId="64E8C341" w14:textId="77777777" w:rsidR="00786180" w:rsidRPr="00BE4720" w:rsidRDefault="00786180">
    <w:pPr>
      <w:pBdr>
        <w:top w:val="nil"/>
        <w:left w:val="nil"/>
        <w:bottom w:val="nil"/>
        <w:right w:val="nil"/>
        <w:between w:val="nil"/>
      </w:pBdr>
      <w:tabs>
        <w:tab w:val="center" w:pos="4680"/>
        <w:tab w:val="right" w:pos="9360"/>
      </w:tabs>
      <w:spacing w:after="0" w:line="240" w:lineRule="auto"/>
      <w:jc w:val="right"/>
      <w:rPr>
        <w:rFonts w:eastAsia="Arial"/>
        <w:color w:val="000000"/>
        <w:sz w:val="22"/>
        <w:szCs w:val="20"/>
      </w:rPr>
    </w:pPr>
  </w:p>
  <w:p w14:paraId="50978C33" w14:textId="77777777" w:rsidR="00786180" w:rsidRPr="00BE4720" w:rsidRDefault="00786180">
    <w:pPr>
      <w:pBdr>
        <w:top w:val="nil"/>
        <w:left w:val="nil"/>
        <w:bottom w:val="nil"/>
        <w:right w:val="nil"/>
        <w:between w:val="nil"/>
      </w:pBdr>
      <w:tabs>
        <w:tab w:val="center" w:pos="4680"/>
        <w:tab w:val="right" w:pos="9360"/>
      </w:tabs>
      <w:spacing w:after="0" w:line="240" w:lineRule="auto"/>
      <w:jc w:val="right"/>
      <w:rPr>
        <w:rFonts w:eastAsia="Arial"/>
        <w:color w:val="000000"/>
        <w:sz w:val="22"/>
        <w:szCs w:val="20"/>
      </w:rPr>
    </w:pPr>
    <w:r w:rsidRPr="00BE4720">
      <w:rPr>
        <w:rFonts w:eastAsia="Arial"/>
        <w:color w:val="000000"/>
        <w:sz w:val="22"/>
        <w:szCs w:val="20"/>
      </w:rPr>
      <w:t xml:space="preserve">Descriptive-Correlational Study of Health Literacy among urban poor settlers with hypertension… </w:t>
    </w:r>
    <w:r w:rsidRPr="00BE4720">
      <w:rPr>
        <w:rFonts w:eastAsia="Arial"/>
        <w:color w:val="000000"/>
        <w:sz w:val="22"/>
        <w:szCs w:val="20"/>
      </w:rPr>
      <w:fldChar w:fldCharType="begin"/>
    </w:r>
    <w:r w:rsidRPr="00BE4720">
      <w:rPr>
        <w:rFonts w:eastAsia="Arial"/>
        <w:color w:val="000000"/>
        <w:sz w:val="22"/>
        <w:szCs w:val="20"/>
      </w:rPr>
      <w:instrText>PAGE</w:instrText>
    </w:r>
    <w:r w:rsidRPr="00BE4720">
      <w:rPr>
        <w:rFonts w:eastAsia="Arial"/>
        <w:color w:val="000000"/>
        <w:sz w:val="22"/>
        <w:szCs w:val="20"/>
      </w:rPr>
      <w:fldChar w:fldCharType="separate"/>
    </w:r>
    <w:r w:rsidRPr="00BE4720">
      <w:rPr>
        <w:rFonts w:eastAsia="Arial"/>
        <w:noProof/>
        <w:color w:val="000000"/>
        <w:sz w:val="22"/>
        <w:szCs w:val="20"/>
      </w:rPr>
      <w:t>1</w:t>
    </w:r>
    <w:r w:rsidRPr="00BE4720">
      <w:rPr>
        <w:rFonts w:eastAsia="Arial"/>
        <w:color w:val="000000"/>
        <w:sz w:val="22"/>
        <w:szCs w:val="20"/>
      </w:rPr>
      <w:fldChar w:fldCharType="end"/>
    </w:r>
  </w:p>
  <w:p w14:paraId="60EA5678" w14:textId="77777777" w:rsidR="00786180" w:rsidRPr="00BE4720" w:rsidRDefault="00786180">
    <w:pPr>
      <w:pBdr>
        <w:top w:val="nil"/>
        <w:left w:val="nil"/>
        <w:bottom w:val="nil"/>
        <w:right w:val="nil"/>
        <w:between w:val="nil"/>
      </w:pBdr>
      <w:tabs>
        <w:tab w:val="center" w:pos="4680"/>
        <w:tab w:val="right" w:pos="9360"/>
      </w:tabs>
      <w:spacing w:after="0" w:line="240" w:lineRule="auto"/>
      <w:rPr>
        <w:color w:val="000000"/>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21E3B3" w14:textId="77777777" w:rsidR="00786180" w:rsidRPr="00BE4720" w:rsidRDefault="00786180">
    <w:pPr>
      <w:jc w:val="right"/>
      <w:rPr>
        <w:rFonts w:eastAsia="Arial" w:cs="Arial"/>
        <w:sz w:val="22"/>
      </w:rPr>
    </w:pPr>
    <w:r w:rsidRPr="00BE4720">
      <w:rPr>
        <w:rFonts w:eastAsia="Arial" w:cs="Arial"/>
        <w:sz w:val="22"/>
      </w:rPr>
      <w:t xml:space="preserve">Descriptive-Correlational Study of Health Literacy among Urban Poor Settlers with Hypertension… </w:t>
    </w:r>
    <w:r w:rsidRPr="00BE4720">
      <w:rPr>
        <w:rFonts w:ascii="MS Gothic" w:eastAsia="MS Gothic" w:hAnsi="MS Gothic" w:cs="MS Gothic" w:hint="eastAsia"/>
        <w:sz w:val="22"/>
      </w:rPr>
      <w:t>ⅰ</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F644D5" w14:textId="77777777" w:rsidR="00786180" w:rsidRPr="00BE4720" w:rsidRDefault="00786180">
    <w:pPr>
      <w:jc w:val="right"/>
      <w:rPr>
        <w:rFonts w:cs="Arial"/>
        <w:sz w:val="20"/>
        <w:szCs w:val="20"/>
      </w:rPr>
    </w:pPr>
    <w:r w:rsidRPr="00BE4720">
      <w:rPr>
        <w:rFonts w:eastAsia="Arial" w:cs="Arial"/>
        <w:sz w:val="22"/>
      </w:rPr>
      <w:t>Descriptive-Correlational Study of Health Literacy among Urban Poor Settlers with Hypertension…</w:t>
    </w:r>
    <w:r w:rsidRPr="00BE4720">
      <w:rPr>
        <w:rFonts w:cs="Arial"/>
        <w:sz w:val="22"/>
      </w:rPr>
      <w:t>iii</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E1B05" w14:textId="77777777" w:rsidR="00786180" w:rsidRPr="00BE4720" w:rsidRDefault="00786180">
    <w:pPr>
      <w:jc w:val="right"/>
      <w:rPr>
        <w:rFonts w:cs="Arial"/>
        <w:sz w:val="20"/>
        <w:szCs w:val="20"/>
      </w:rPr>
    </w:pPr>
    <w:r w:rsidRPr="00BE4720">
      <w:rPr>
        <w:rFonts w:eastAsia="Arial" w:cs="Arial"/>
        <w:sz w:val="22"/>
      </w:rPr>
      <w:t>Descriptive-Correlational Study of Health Literacy among Urban Poor Settlers with Hypertension…</w:t>
    </w:r>
    <w:r w:rsidRPr="00BE4720">
      <w:rPr>
        <w:rFonts w:cs="Arial"/>
        <w:sz w:val="22"/>
      </w:rPr>
      <w:t>iv</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98B9F7" w14:textId="77777777" w:rsidR="00786180" w:rsidRPr="00BE4720" w:rsidRDefault="00786180">
    <w:pPr>
      <w:jc w:val="right"/>
      <w:rPr>
        <w:rFonts w:cs="Arial"/>
        <w:sz w:val="20"/>
        <w:szCs w:val="20"/>
      </w:rPr>
    </w:pPr>
    <w:r w:rsidRPr="00BE4720">
      <w:rPr>
        <w:rFonts w:eastAsia="Arial" w:cs="Arial"/>
        <w:sz w:val="22"/>
      </w:rPr>
      <w:t>Descriptive-Correlational Study of Health Literacy among Urban Poor Settlers with Hypertension…</w:t>
    </w:r>
    <w:r w:rsidRPr="00BE4720">
      <w:rPr>
        <w:rFonts w:cs="Arial"/>
        <w:sz w:val="22"/>
      </w:rPr>
      <w:t>v</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D1F99E" w14:textId="77777777" w:rsidR="00786180" w:rsidRPr="00BE4720" w:rsidRDefault="00786180">
    <w:pPr>
      <w:jc w:val="right"/>
      <w:rPr>
        <w:rFonts w:cs="Arial"/>
        <w:sz w:val="20"/>
        <w:szCs w:val="20"/>
      </w:rPr>
    </w:pPr>
    <w:r w:rsidRPr="00BE4720">
      <w:rPr>
        <w:rFonts w:eastAsia="Arial" w:cs="Arial"/>
        <w:sz w:val="22"/>
      </w:rPr>
      <w:t>Descriptive-Correlational Study of Health Literacy among Urban Poor Settlers with Hypertension…</w:t>
    </w:r>
    <w:r w:rsidRPr="00BE4720">
      <w:rPr>
        <w:rFonts w:cs="Arial"/>
        <w:sz w:val="22"/>
      </w:rPr>
      <w:t>vi</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933994" w14:textId="77777777" w:rsidR="00786180" w:rsidRPr="00BE4720" w:rsidRDefault="00786180">
    <w:pPr>
      <w:jc w:val="right"/>
      <w:rPr>
        <w:rFonts w:eastAsia="Arial" w:cs="Arial"/>
        <w:sz w:val="22"/>
      </w:rPr>
    </w:pPr>
    <w:r w:rsidRPr="00BE4720">
      <w:rPr>
        <w:rFonts w:eastAsia="Arial" w:cs="Arial"/>
        <w:sz w:val="22"/>
      </w:rPr>
      <w:t>Descriptive-Correlational Study of Health Literacy among Urban Poor Settlers with Hypertension… vii</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9D52C0" w14:textId="77777777" w:rsidR="00786180" w:rsidRPr="00BE4720" w:rsidRDefault="00786180">
    <w:pPr>
      <w:jc w:val="right"/>
      <w:rPr>
        <w:rFonts w:eastAsia="Arial" w:cs="Arial"/>
        <w:sz w:val="22"/>
      </w:rPr>
    </w:pPr>
    <w:r w:rsidRPr="00BE4720">
      <w:rPr>
        <w:rFonts w:eastAsia="Arial" w:cs="Arial"/>
        <w:sz w:val="22"/>
      </w:rPr>
      <w:t>Descriptive-Correlational Study of Health Literacy among Urban Poor Settlers with Hypertension… viii</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9C2B5B" w14:textId="77777777" w:rsidR="00786180" w:rsidRPr="00BE4720" w:rsidRDefault="00786180">
    <w:pPr>
      <w:jc w:val="right"/>
      <w:rPr>
        <w:rFonts w:eastAsia="Arial" w:cs="Arial"/>
        <w:sz w:val="22"/>
      </w:rPr>
    </w:pPr>
    <w:r w:rsidRPr="00BE4720">
      <w:rPr>
        <w:rFonts w:eastAsia="Arial" w:cs="Arial"/>
        <w:sz w:val="22"/>
      </w:rPr>
      <w:t>Descriptive-Correlational Study of Health Literacy among Urban Poor Settlers with Hypertension… ix</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6500DE" w14:textId="77777777" w:rsidR="00E31D28" w:rsidRDefault="00E31D28">
      <w:pPr>
        <w:spacing w:after="0" w:line="240" w:lineRule="auto"/>
      </w:pPr>
      <w:r>
        <w:separator/>
      </w:r>
    </w:p>
  </w:footnote>
  <w:footnote w:type="continuationSeparator" w:id="0">
    <w:p w14:paraId="199BDEDA" w14:textId="77777777" w:rsidR="00E31D28" w:rsidRDefault="00E31D2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203A36" w14:textId="77777777" w:rsidR="00786180" w:rsidRDefault="00786180"/>
  <w:p w14:paraId="5A6611C4" w14:textId="77777777" w:rsidR="00786180" w:rsidRDefault="00786180">
    <w:pPr>
      <w:jc w:val="right"/>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77C5DE" w14:textId="77777777" w:rsidR="00786180" w:rsidRDefault="00786180"/>
  <w:p w14:paraId="46EE7E09" w14:textId="77777777" w:rsidR="00786180" w:rsidRDefault="00786180">
    <w:pPr>
      <w:jc w:val="right"/>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1C0279" w14:textId="77777777" w:rsidR="00786180" w:rsidRDefault="00786180"/>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B22D4B" w14:textId="77777777" w:rsidR="00786180" w:rsidRDefault="00786180">
    <w:pPr>
      <w:tabs>
        <w:tab w:val="center" w:pos="4680"/>
        <w:tab w:val="right" w:pos="9360"/>
      </w:tabs>
      <w:spacing w:after="160" w:line="360" w:lineRule="auto"/>
      <w:ind w:firstLine="720"/>
      <w:jc w:val="both"/>
      <w:rPr>
        <w:rFonts w:eastAsia="Arial" w:cs="Arial"/>
        <w:szCs w:val="24"/>
      </w:rPr>
    </w:pPr>
  </w:p>
  <w:p w14:paraId="6E804FB7" w14:textId="77777777" w:rsidR="00786180" w:rsidRDefault="00786180">
    <w:pPr>
      <w:pBdr>
        <w:top w:val="nil"/>
        <w:left w:val="nil"/>
        <w:bottom w:val="nil"/>
        <w:right w:val="nil"/>
        <w:between w:val="nil"/>
      </w:pBdr>
      <w:tabs>
        <w:tab w:val="center" w:pos="4680"/>
        <w:tab w:val="right" w:pos="9360"/>
      </w:tabs>
      <w:spacing w:after="0" w:line="240" w:lineRule="auto"/>
      <w:rPr>
        <w:rFonts w:eastAsia="Arial" w:cs="Arial"/>
        <w:b/>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081647" w14:textId="77777777" w:rsidR="00786180" w:rsidRDefault="00786180"/>
  <w:p w14:paraId="5A4B556B" w14:textId="77777777" w:rsidR="00786180" w:rsidRDefault="00786180">
    <w:pP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A72281" w14:textId="77777777" w:rsidR="00786180" w:rsidRDefault="00786180"/>
  <w:p w14:paraId="4BE3AFE4" w14:textId="77777777" w:rsidR="00786180" w:rsidRDefault="00786180">
    <w:pPr>
      <w:jc w:val="righ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3DBA27" w14:textId="77777777" w:rsidR="00786180" w:rsidRDefault="00786180"/>
  <w:p w14:paraId="5C1B66C6" w14:textId="77777777" w:rsidR="00786180" w:rsidRDefault="00786180">
    <w:pPr>
      <w:jc w:val="right"/>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D5520C" w14:textId="77777777" w:rsidR="00786180" w:rsidRDefault="00786180"/>
  <w:p w14:paraId="67B96B1A" w14:textId="77777777" w:rsidR="00786180" w:rsidRDefault="00786180">
    <w:pPr>
      <w:jc w:val="right"/>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5444C9" w14:textId="77777777" w:rsidR="00786180" w:rsidRDefault="00786180"/>
  <w:p w14:paraId="57DF9EFF" w14:textId="77777777" w:rsidR="00786180" w:rsidRDefault="00786180">
    <w:pPr>
      <w:jc w:val="right"/>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4B32D8" w14:textId="77777777" w:rsidR="00786180" w:rsidRDefault="00786180"/>
  <w:p w14:paraId="4FEA678D" w14:textId="77777777" w:rsidR="00786180" w:rsidRDefault="00786180">
    <w:pPr>
      <w:jc w:val="right"/>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0BF0ED" w14:textId="77777777" w:rsidR="00786180" w:rsidRDefault="00786180"/>
  <w:p w14:paraId="1426B0B5" w14:textId="77777777" w:rsidR="00786180" w:rsidRDefault="00786180">
    <w:pPr>
      <w:jc w:val="right"/>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5D2852" w14:textId="77777777" w:rsidR="00786180" w:rsidRDefault="00786180"/>
  <w:p w14:paraId="46E09287" w14:textId="77777777" w:rsidR="00786180" w:rsidRDefault="00786180">
    <w:pP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C39A3"/>
    <w:multiLevelType w:val="multilevel"/>
    <w:tmpl w:val="A8869A3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C112B69"/>
    <w:multiLevelType w:val="multilevel"/>
    <w:tmpl w:val="1462352A"/>
    <w:lvl w:ilvl="0">
      <w:start w:val="1"/>
      <w:numFmt w:val="bullet"/>
      <w:lvlText w:val="●"/>
      <w:lvlJc w:val="left"/>
      <w:pPr>
        <w:ind w:left="420" w:hanging="420"/>
      </w:pPr>
      <w:rPr>
        <w:rFonts w:ascii="Noto Sans" w:eastAsia="Noto Sans" w:hAnsi="Noto Sans" w:cs="Noto Sans"/>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 w15:restartNumberingAfterBreak="0">
    <w:nsid w:val="0D077DEB"/>
    <w:multiLevelType w:val="multilevel"/>
    <w:tmpl w:val="E0B28A7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116031B3"/>
    <w:multiLevelType w:val="multilevel"/>
    <w:tmpl w:val="DE748C2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8BE6D42"/>
    <w:multiLevelType w:val="multilevel"/>
    <w:tmpl w:val="9AFA122C"/>
    <w:lvl w:ilvl="0">
      <w:start w:val="1"/>
      <w:numFmt w:val="decimal"/>
      <w:lvlText w:val="%1."/>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5" w15:restartNumberingAfterBreak="0">
    <w:nsid w:val="18DC6FD1"/>
    <w:multiLevelType w:val="multilevel"/>
    <w:tmpl w:val="CE7018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919133D"/>
    <w:multiLevelType w:val="multilevel"/>
    <w:tmpl w:val="67D49F64"/>
    <w:lvl w:ilvl="0">
      <w:start w:val="1"/>
      <w:numFmt w:val="lowerLetter"/>
      <w:lvlText w:val="%1."/>
      <w:lvlJc w:val="left"/>
      <w:pPr>
        <w:ind w:left="2160" w:hanging="360"/>
      </w:pPr>
      <w:rPr>
        <w:u w:val="none"/>
      </w:rPr>
    </w:lvl>
    <w:lvl w:ilvl="1">
      <w:start w:val="1"/>
      <w:numFmt w:val="lowerRoman"/>
      <w:lvlText w:val="%2."/>
      <w:lvlJc w:val="right"/>
      <w:pPr>
        <w:ind w:left="2880" w:hanging="360"/>
      </w:pPr>
      <w:rPr>
        <w:u w:val="none"/>
      </w:rPr>
    </w:lvl>
    <w:lvl w:ilvl="2">
      <w:start w:val="1"/>
      <w:numFmt w:val="decimal"/>
      <w:lvlText w:val="%3."/>
      <w:lvlJc w:val="left"/>
      <w:pPr>
        <w:ind w:left="3600" w:hanging="360"/>
      </w:pPr>
      <w:rPr>
        <w:u w:val="none"/>
      </w:rPr>
    </w:lvl>
    <w:lvl w:ilvl="3">
      <w:start w:val="1"/>
      <w:numFmt w:val="lowerLetter"/>
      <w:lvlText w:val="%4."/>
      <w:lvlJc w:val="left"/>
      <w:pPr>
        <w:ind w:left="4320" w:hanging="360"/>
      </w:pPr>
      <w:rPr>
        <w:u w:val="none"/>
      </w:rPr>
    </w:lvl>
    <w:lvl w:ilvl="4">
      <w:start w:val="1"/>
      <w:numFmt w:val="lowerRoman"/>
      <w:lvlText w:val="%5."/>
      <w:lvlJc w:val="right"/>
      <w:pPr>
        <w:ind w:left="5040" w:hanging="360"/>
      </w:pPr>
      <w:rPr>
        <w:u w:val="none"/>
      </w:rPr>
    </w:lvl>
    <w:lvl w:ilvl="5">
      <w:start w:val="1"/>
      <w:numFmt w:val="decimal"/>
      <w:lvlText w:val="%6."/>
      <w:lvlJc w:val="left"/>
      <w:pPr>
        <w:ind w:left="5760" w:hanging="360"/>
      </w:pPr>
      <w:rPr>
        <w:u w:val="none"/>
      </w:rPr>
    </w:lvl>
    <w:lvl w:ilvl="6">
      <w:start w:val="1"/>
      <w:numFmt w:val="lowerLetter"/>
      <w:lvlText w:val="%7."/>
      <w:lvlJc w:val="left"/>
      <w:pPr>
        <w:ind w:left="6480" w:hanging="360"/>
      </w:pPr>
      <w:rPr>
        <w:u w:val="none"/>
      </w:rPr>
    </w:lvl>
    <w:lvl w:ilvl="7">
      <w:start w:val="1"/>
      <w:numFmt w:val="lowerRoman"/>
      <w:lvlText w:val="%8."/>
      <w:lvlJc w:val="right"/>
      <w:pPr>
        <w:ind w:left="7200" w:hanging="360"/>
      </w:pPr>
      <w:rPr>
        <w:u w:val="none"/>
      </w:rPr>
    </w:lvl>
    <w:lvl w:ilvl="8">
      <w:start w:val="1"/>
      <w:numFmt w:val="decimal"/>
      <w:lvlText w:val="%9."/>
      <w:lvlJc w:val="left"/>
      <w:pPr>
        <w:ind w:left="7920" w:hanging="360"/>
      </w:pPr>
      <w:rPr>
        <w:u w:val="none"/>
      </w:rPr>
    </w:lvl>
  </w:abstractNum>
  <w:abstractNum w:abstractNumId="7" w15:restartNumberingAfterBreak="0">
    <w:nsid w:val="1AB65CAB"/>
    <w:multiLevelType w:val="multilevel"/>
    <w:tmpl w:val="FF949C80"/>
    <w:lvl w:ilvl="0">
      <w:start w:val="1"/>
      <w:numFmt w:val="decimal"/>
      <w:lvlText w:val="%1."/>
      <w:lvlJc w:val="left"/>
      <w:pPr>
        <w:ind w:left="425" w:hanging="425"/>
      </w:pPr>
      <w:rPr>
        <w:rFonts w:ascii="Arial" w:eastAsia="Times New Roman" w:hAnsi="Arial" w:cs="Arial" w:hint="default"/>
      </w:rPr>
    </w:lvl>
    <w:lvl w:ilvl="1">
      <w:start w:val="1"/>
      <w:numFmt w:val="lowerLetter"/>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 w15:restartNumberingAfterBreak="0">
    <w:nsid w:val="1ADF0B06"/>
    <w:multiLevelType w:val="multilevel"/>
    <w:tmpl w:val="3D3CAAB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203B2610"/>
    <w:multiLevelType w:val="multilevel"/>
    <w:tmpl w:val="EAAC508C"/>
    <w:lvl w:ilvl="0">
      <w:start w:val="1"/>
      <w:numFmt w:val="decimal"/>
      <w:lvlText w:val="%1."/>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10" w15:restartNumberingAfterBreak="0">
    <w:nsid w:val="222B08E9"/>
    <w:multiLevelType w:val="multilevel"/>
    <w:tmpl w:val="10444FB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29376008"/>
    <w:multiLevelType w:val="multilevel"/>
    <w:tmpl w:val="A52AD44E"/>
    <w:lvl w:ilvl="0">
      <w:start w:val="1"/>
      <w:numFmt w:val="decimal"/>
      <w:lvlText w:val="%1."/>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12" w15:restartNumberingAfterBreak="0">
    <w:nsid w:val="31670023"/>
    <w:multiLevelType w:val="multilevel"/>
    <w:tmpl w:val="C85AA24E"/>
    <w:lvl w:ilvl="0">
      <w:start w:val="1"/>
      <w:numFmt w:val="decimal"/>
      <w:lvlText w:val="%1."/>
      <w:lvlJc w:val="left"/>
      <w:pPr>
        <w:ind w:left="0" w:firstLine="0"/>
      </w:pPr>
    </w:lvl>
    <w:lvl w:ilvl="1">
      <w:start w:val="1"/>
      <w:numFmt w:val="lowerLetter"/>
      <w:lvlText w:val="%2."/>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13" w15:restartNumberingAfterBreak="0">
    <w:nsid w:val="37FF69AE"/>
    <w:multiLevelType w:val="multilevel"/>
    <w:tmpl w:val="F0266DC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3802728C"/>
    <w:multiLevelType w:val="multilevel"/>
    <w:tmpl w:val="4DA07422"/>
    <w:lvl w:ilvl="0">
      <w:start w:val="1"/>
      <w:numFmt w:val="decimal"/>
      <w:lvlText w:val="%1."/>
      <w:lvlJc w:val="left"/>
      <w:pPr>
        <w:ind w:left="0" w:firstLine="0"/>
      </w:p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0" w:firstLine="0"/>
      </w:pPr>
    </w:lvl>
    <w:lvl w:ilvl="4">
      <w:start w:val="1"/>
      <w:numFmt w:val="lowerLetter"/>
      <w:lvlText w:val="%5."/>
      <w:lvlJc w:val="left"/>
      <w:pPr>
        <w:ind w:left="0" w:firstLine="0"/>
      </w:pPr>
    </w:lvl>
    <w:lvl w:ilvl="5">
      <w:start w:val="1"/>
      <w:numFmt w:val="lowerRoman"/>
      <w:lvlText w:val="%6."/>
      <w:lvlJc w:val="right"/>
      <w:pPr>
        <w:ind w:left="0" w:firstLine="0"/>
      </w:pPr>
    </w:lvl>
    <w:lvl w:ilvl="6">
      <w:start w:val="1"/>
      <w:numFmt w:val="decimal"/>
      <w:lvlText w:val="%7."/>
      <w:lvlJc w:val="left"/>
      <w:pPr>
        <w:ind w:left="0" w:firstLine="0"/>
      </w:pPr>
    </w:lvl>
    <w:lvl w:ilvl="7">
      <w:start w:val="1"/>
      <w:numFmt w:val="lowerLetter"/>
      <w:lvlText w:val="%8."/>
      <w:lvlJc w:val="left"/>
      <w:pPr>
        <w:ind w:left="0" w:firstLine="0"/>
      </w:pPr>
    </w:lvl>
    <w:lvl w:ilvl="8">
      <w:start w:val="1"/>
      <w:numFmt w:val="lowerRoman"/>
      <w:lvlText w:val="%9."/>
      <w:lvlJc w:val="right"/>
      <w:pPr>
        <w:ind w:left="0" w:firstLine="0"/>
      </w:pPr>
    </w:lvl>
  </w:abstractNum>
  <w:abstractNum w:abstractNumId="15" w15:restartNumberingAfterBreak="0">
    <w:nsid w:val="39AE792C"/>
    <w:multiLevelType w:val="multilevel"/>
    <w:tmpl w:val="CCBA8DCC"/>
    <w:lvl w:ilvl="0">
      <w:start w:val="1"/>
      <w:numFmt w:val="lowerLetter"/>
      <w:lvlText w:val="%1)"/>
      <w:lvlJc w:val="left"/>
      <w:pPr>
        <w:ind w:left="65" w:hanging="425"/>
      </w:pPr>
    </w:lvl>
    <w:lvl w:ilvl="1">
      <w:start w:val="1"/>
      <w:numFmt w:val="lowerLetter"/>
      <w:lvlText w:val="%2)"/>
      <w:lvlJc w:val="left"/>
      <w:pPr>
        <w:ind w:left="60" w:hanging="420"/>
      </w:pPr>
    </w:lvl>
    <w:lvl w:ilvl="2">
      <w:start w:val="1"/>
      <w:numFmt w:val="lowerRoman"/>
      <w:lvlText w:val="%3."/>
      <w:lvlJc w:val="left"/>
      <w:pPr>
        <w:ind w:left="900" w:hanging="420"/>
      </w:pPr>
    </w:lvl>
    <w:lvl w:ilvl="3">
      <w:start w:val="1"/>
      <w:numFmt w:val="decimal"/>
      <w:lvlText w:val="%4."/>
      <w:lvlJc w:val="left"/>
      <w:pPr>
        <w:ind w:left="1320" w:hanging="420"/>
      </w:pPr>
    </w:lvl>
    <w:lvl w:ilvl="4">
      <w:start w:val="1"/>
      <w:numFmt w:val="lowerLetter"/>
      <w:lvlText w:val="%5)"/>
      <w:lvlJc w:val="left"/>
      <w:pPr>
        <w:ind w:left="1740" w:hanging="420"/>
      </w:pPr>
    </w:lvl>
    <w:lvl w:ilvl="5">
      <w:start w:val="1"/>
      <w:numFmt w:val="lowerRoman"/>
      <w:lvlText w:val="%6."/>
      <w:lvlJc w:val="left"/>
      <w:pPr>
        <w:ind w:left="2160" w:hanging="420"/>
      </w:pPr>
    </w:lvl>
    <w:lvl w:ilvl="6">
      <w:start w:val="1"/>
      <w:numFmt w:val="decimal"/>
      <w:lvlText w:val="%7."/>
      <w:lvlJc w:val="left"/>
      <w:pPr>
        <w:ind w:left="2580" w:hanging="420"/>
      </w:pPr>
    </w:lvl>
    <w:lvl w:ilvl="7">
      <w:start w:val="1"/>
      <w:numFmt w:val="lowerLetter"/>
      <w:lvlText w:val="%8)"/>
      <w:lvlJc w:val="left"/>
      <w:pPr>
        <w:ind w:left="3000" w:hanging="420"/>
      </w:pPr>
    </w:lvl>
    <w:lvl w:ilvl="8">
      <w:start w:val="1"/>
      <w:numFmt w:val="lowerRoman"/>
      <w:lvlText w:val="%9."/>
      <w:lvlJc w:val="left"/>
      <w:pPr>
        <w:ind w:left="3420" w:hanging="420"/>
      </w:pPr>
    </w:lvl>
  </w:abstractNum>
  <w:abstractNum w:abstractNumId="16" w15:restartNumberingAfterBreak="0">
    <w:nsid w:val="3FED2967"/>
    <w:multiLevelType w:val="multilevel"/>
    <w:tmpl w:val="FBD844E2"/>
    <w:lvl w:ilvl="0">
      <w:start w:val="4"/>
      <w:numFmt w:val="lowerLetter"/>
      <w:lvlText w:val="%1."/>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17" w15:restartNumberingAfterBreak="0">
    <w:nsid w:val="4008231A"/>
    <w:multiLevelType w:val="multilevel"/>
    <w:tmpl w:val="CEC8796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15:restartNumberingAfterBreak="0">
    <w:nsid w:val="44A35FA7"/>
    <w:multiLevelType w:val="multilevel"/>
    <w:tmpl w:val="CBEEED18"/>
    <w:lvl w:ilvl="0">
      <w:start w:val="1"/>
      <w:numFmt w:val="decimal"/>
      <w:lvlText w:val="%1."/>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19" w15:restartNumberingAfterBreak="0">
    <w:nsid w:val="46B26571"/>
    <w:multiLevelType w:val="multilevel"/>
    <w:tmpl w:val="F84C3616"/>
    <w:lvl w:ilvl="0">
      <w:start w:val="1"/>
      <w:numFmt w:val="decimal"/>
      <w:lvlText w:val="%1."/>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20" w15:restartNumberingAfterBreak="0">
    <w:nsid w:val="4AAD00FB"/>
    <w:multiLevelType w:val="multilevel"/>
    <w:tmpl w:val="7F5A3F0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15:restartNumberingAfterBreak="0">
    <w:nsid w:val="538D001B"/>
    <w:multiLevelType w:val="multilevel"/>
    <w:tmpl w:val="815AD34A"/>
    <w:lvl w:ilvl="0">
      <w:start w:val="1"/>
      <w:numFmt w:val="lowerLetter"/>
      <w:lvlText w:val="%1."/>
      <w:lvlJc w:val="left"/>
      <w:pPr>
        <w:ind w:left="2160" w:hanging="360"/>
      </w:pPr>
      <w:rPr>
        <w:u w:val="none"/>
      </w:rPr>
    </w:lvl>
    <w:lvl w:ilvl="1">
      <w:start w:val="1"/>
      <w:numFmt w:val="lowerRoman"/>
      <w:lvlText w:val="%2."/>
      <w:lvlJc w:val="right"/>
      <w:pPr>
        <w:ind w:left="2880" w:hanging="360"/>
      </w:pPr>
      <w:rPr>
        <w:u w:val="none"/>
      </w:rPr>
    </w:lvl>
    <w:lvl w:ilvl="2">
      <w:start w:val="1"/>
      <w:numFmt w:val="decimal"/>
      <w:lvlText w:val="%3."/>
      <w:lvlJc w:val="left"/>
      <w:pPr>
        <w:ind w:left="3600" w:hanging="360"/>
      </w:pPr>
      <w:rPr>
        <w:u w:val="none"/>
      </w:rPr>
    </w:lvl>
    <w:lvl w:ilvl="3">
      <w:start w:val="1"/>
      <w:numFmt w:val="lowerLetter"/>
      <w:lvlText w:val="%4."/>
      <w:lvlJc w:val="left"/>
      <w:pPr>
        <w:ind w:left="4320" w:hanging="360"/>
      </w:pPr>
      <w:rPr>
        <w:u w:val="none"/>
      </w:rPr>
    </w:lvl>
    <w:lvl w:ilvl="4">
      <w:start w:val="1"/>
      <w:numFmt w:val="lowerRoman"/>
      <w:lvlText w:val="%5."/>
      <w:lvlJc w:val="right"/>
      <w:pPr>
        <w:ind w:left="5040" w:hanging="360"/>
      </w:pPr>
      <w:rPr>
        <w:u w:val="none"/>
      </w:rPr>
    </w:lvl>
    <w:lvl w:ilvl="5">
      <w:start w:val="1"/>
      <w:numFmt w:val="decimal"/>
      <w:lvlText w:val="%6."/>
      <w:lvlJc w:val="left"/>
      <w:pPr>
        <w:ind w:left="5760" w:hanging="360"/>
      </w:pPr>
      <w:rPr>
        <w:u w:val="none"/>
      </w:rPr>
    </w:lvl>
    <w:lvl w:ilvl="6">
      <w:start w:val="1"/>
      <w:numFmt w:val="lowerLetter"/>
      <w:lvlText w:val="%7."/>
      <w:lvlJc w:val="left"/>
      <w:pPr>
        <w:ind w:left="6480" w:hanging="360"/>
      </w:pPr>
      <w:rPr>
        <w:u w:val="none"/>
      </w:rPr>
    </w:lvl>
    <w:lvl w:ilvl="7">
      <w:start w:val="1"/>
      <w:numFmt w:val="lowerRoman"/>
      <w:lvlText w:val="%8."/>
      <w:lvlJc w:val="right"/>
      <w:pPr>
        <w:ind w:left="7200" w:hanging="360"/>
      </w:pPr>
      <w:rPr>
        <w:u w:val="none"/>
      </w:rPr>
    </w:lvl>
    <w:lvl w:ilvl="8">
      <w:start w:val="1"/>
      <w:numFmt w:val="decimal"/>
      <w:lvlText w:val="%9."/>
      <w:lvlJc w:val="left"/>
      <w:pPr>
        <w:ind w:left="7920" w:hanging="360"/>
      </w:pPr>
      <w:rPr>
        <w:u w:val="none"/>
      </w:rPr>
    </w:lvl>
  </w:abstractNum>
  <w:abstractNum w:abstractNumId="22" w15:restartNumberingAfterBreak="0">
    <w:nsid w:val="55A30F4C"/>
    <w:multiLevelType w:val="multilevel"/>
    <w:tmpl w:val="25827572"/>
    <w:lvl w:ilvl="0">
      <w:start w:val="1"/>
      <w:numFmt w:val="decimal"/>
      <w:lvlText w:val="%1."/>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23" w15:restartNumberingAfterBreak="0">
    <w:nsid w:val="57E079D7"/>
    <w:multiLevelType w:val="multilevel"/>
    <w:tmpl w:val="0952E70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58CC4761"/>
    <w:multiLevelType w:val="multilevel"/>
    <w:tmpl w:val="2F367072"/>
    <w:lvl w:ilvl="0">
      <w:start w:val="1"/>
      <w:numFmt w:val="lowerLetter"/>
      <w:lvlText w:val="%1."/>
      <w:lvlJc w:val="left"/>
      <w:pPr>
        <w:ind w:left="2160" w:hanging="360"/>
      </w:pPr>
      <w:rPr>
        <w:u w:val="none"/>
      </w:rPr>
    </w:lvl>
    <w:lvl w:ilvl="1">
      <w:start w:val="1"/>
      <w:numFmt w:val="lowerRoman"/>
      <w:lvlText w:val="%2."/>
      <w:lvlJc w:val="right"/>
      <w:pPr>
        <w:ind w:left="2880" w:hanging="360"/>
      </w:pPr>
      <w:rPr>
        <w:u w:val="none"/>
      </w:rPr>
    </w:lvl>
    <w:lvl w:ilvl="2">
      <w:start w:val="1"/>
      <w:numFmt w:val="decimal"/>
      <w:lvlText w:val="%3."/>
      <w:lvlJc w:val="left"/>
      <w:pPr>
        <w:ind w:left="3600" w:hanging="360"/>
      </w:pPr>
      <w:rPr>
        <w:u w:val="none"/>
      </w:rPr>
    </w:lvl>
    <w:lvl w:ilvl="3">
      <w:start w:val="1"/>
      <w:numFmt w:val="lowerLetter"/>
      <w:lvlText w:val="%4."/>
      <w:lvlJc w:val="left"/>
      <w:pPr>
        <w:ind w:left="4320" w:hanging="360"/>
      </w:pPr>
      <w:rPr>
        <w:u w:val="none"/>
      </w:rPr>
    </w:lvl>
    <w:lvl w:ilvl="4">
      <w:start w:val="1"/>
      <w:numFmt w:val="lowerRoman"/>
      <w:lvlText w:val="%5."/>
      <w:lvlJc w:val="right"/>
      <w:pPr>
        <w:ind w:left="5040" w:hanging="360"/>
      </w:pPr>
      <w:rPr>
        <w:u w:val="none"/>
      </w:rPr>
    </w:lvl>
    <w:lvl w:ilvl="5">
      <w:start w:val="1"/>
      <w:numFmt w:val="decimal"/>
      <w:lvlText w:val="%6."/>
      <w:lvlJc w:val="left"/>
      <w:pPr>
        <w:ind w:left="5760" w:hanging="360"/>
      </w:pPr>
      <w:rPr>
        <w:u w:val="none"/>
      </w:rPr>
    </w:lvl>
    <w:lvl w:ilvl="6">
      <w:start w:val="1"/>
      <w:numFmt w:val="lowerLetter"/>
      <w:lvlText w:val="%7."/>
      <w:lvlJc w:val="left"/>
      <w:pPr>
        <w:ind w:left="6480" w:hanging="360"/>
      </w:pPr>
      <w:rPr>
        <w:u w:val="none"/>
      </w:rPr>
    </w:lvl>
    <w:lvl w:ilvl="7">
      <w:start w:val="1"/>
      <w:numFmt w:val="lowerRoman"/>
      <w:lvlText w:val="%8."/>
      <w:lvlJc w:val="right"/>
      <w:pPr>
        <w:ind w:left="7200" w:hanging="360"/>
      </w:pPr>
      <w:rPr>
        <w:u w:val="none"/>
      </w:rPr>
    </w:lvl>
    <w:lvl w:ilvl="8">
      <w:start w:val="1"/>
      <w:numFmt w:val="decimal"/>
      <w:lvlText w:val="%9."/>
      <w:lvlJc w:val="left"/>
      <w:pPr>
        <w:ind w:left="7920" w:hanging="360"/>
      </w:pPr>
      <w:rPr>
        <w:u w:val="none"/>
      </w:rPr>
    </w:lvl>
  </w:abstractNum>
  <w:abstractNum w:abstractNumId="25" w15:restartNumberingAfterBreak="0">
    <w:nsid w:val="59E7311A"/>
    <w:multiLevelType w:val="multilevel"/>
    <w:tmpl w:val="F7703AC6"/>
    <w:lvl w:ilvl="0">
      <w:start w:val="1"/>
      <w:numFmt w:val="decimal"/>
      <w:lvlText w:val="%1."/>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26" w15:restartNumberingAfterBreak="0">
    <w:nsid w:val="5F017F8B"/>
    <w:multiLevelType w:val="multilevel"/>
    <w:tmpl w:val="9C225DB6"/>
    <w:lvl w:ilvl="0">
      <w:start w:val="1"/>
      <w:numFmt w:val="decimal"/>
      <w:lvlText w:val="%1."/>
      <w:lvlJc w:val="left"/>
      <w:pPr>
        <w:ind w:left="-850" w:hanging="425"/>
      </w:pPr>
      <w:rPr>
        <w:b w:val="0"/>
      </w:rPr>
    </w:lvl>
    <w:lvl w:ilvl="1">
      <w:start w:val="1"/>
      <w:numFmt w:val="lowerLetter"/>
      <w:lvlText w:val="%2."/>
      <w:lvlJc w:val="left"/>
      <w:pPr>
        <w:ind w:left="-1275" w:firstLine="0"/>
      </w:pPr>
    </w:lvl>
    <w:lvl w:ilvl="2">
      <w:start w:val="1"/>
      <w:numFmt w:val="lowerRoman"/>
      <w:lvlText w:val="%3."/>
      <w:lvlJc w:val="right"/>
      <w:pPr>
        <w:ind w:left="-1275" w:firstLine="0"/>
      </w:pPr>
    </w:lvl>
    <w:lvl w:ilvl="3">
      <w:start w:val="1"/>
      <w:numFmt w:val="decimal"/>
      <w:lvlText w:val="%4."/>
      <w:lvlJc w:val="left"/>
      <w:pPr>
        <w:ind w:left="-1275" w:firstLine="0"/>
      </w:pPr>
    </w:lvl>
    <w:lvl w:ilvl="4">
      <w:start w:val="1"/>
      <w:numFmt w:val="lowerLetter"/>
      <w:lvlText w:val="%5."/>
      <w:lvlJc w:val="left"/>
      <w:pPr>
        <w:ind w:left="-1275" w:firstLine="0"/>
      </w:pPr>
    </w:lvl>
    <w:lvl w:ilvl="5">
      <w:start w:val="1"/>
      <w:numFmt w:val="lowerRoman"/>
      <w:lvlText w:val="%6."/>
      <w:lvlJc w:val="right"/>
      <w:pPr>
        <w:ind w:left="-1275" w:firstLine="0"/>
      </w:pPr>
    </w:lvl>
    <w:lvl w:ilvl="6">
      <w:start w:val="1"/>
      <w:numFmt w:val="decimal"/>
      <w:lvlText w:val="%7."/>
      <w:lvlJc w:val="left"/>
      <w:pPr>
        <w:ind w:left="-1275" w:firstLine="0"/>
      </w:pPr>
    </w:lvl>
    <w:lvl w:ilvl="7">
      <w:start w:val="1"/>
      <w:numFmt w:val="lowerLetter"/>
      <w:lvlText w:val="%8."/>
      <w:lvlJc w:val="left"/>
      <w:pPr>
        <w:ind w:left="-1275" w:firstLine="0"/>
      </w:pPr>
    </w:lvl>
    <w:lvl w:ilvl="8">
      <w:start w:val="1"/>
      <w:numFmt w:val="lowerRoman"/>
      <w:lvlText w:val="%9."/>
      <w:lvlJc w:val="right"/>
      <w:pPr>
        <w:ind w:left="-1275" w:firstLine="0"/>
      </w:pPr>
    </w:lvl>
  </w:abstractNum>
  <w:abstractNum w:abstractNumId="27" w15:restartNumberingAfterBreak="0">
    <w:nsid w:val="5F2D7959"/>
    <w:multiLevelType w:val="multilevel"/>
    <w:tmpl w:val="5C5CB10C"/>
    <w:lvl w:ilvl="0">
      <w:start w:val="1"/>
      <w:numFmt w:val="lowerRoman"/>
      <w:lvlText w:val="%1."/>
      <w:lvlJc w:val="left"/>
      <w:pPr>
        <w:ind w:left="425" w:hanging="425"/>
      </w:pPr>
      <w:rPr>
        <w:rFonts w:ascii="Times New Roman" w:eastAsia="Times New Roman" w:hAnsi="Times New Roman" w:cs="Times New Roman"/>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8" w15:restartNumberingAfterBreak="0">
    <w:nsid w:val="61136031"/>
    <w:multiLevelType w:val="multilevel"/>
    <w:tmpl w:val="2A649462"/>
    <w:lvl w:ilvl="0">
      <w:start w:val="1"/>
      <w:numFmt w:val="decimal"/>
      <w:lvlText w:val="%1."/>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29" w15:restartNumberingAfterBreak="0">
    <w:nsid w:val="61750865"/>
    <w:multiLevelType w:val="multilevel"/>
    <w:tmpl w:val="7BE81A54"/>
    <w:lvl w:ilvl="0">
      <w:start w:val="1"/>
      <w:numFmt w:val="lowerLetter"/>
      <w:lvlText w:val="%1."/>
      <w:lvlJc w:val="left"/>
      <w:pPr>
        <w:ind w:left="2160" w:hanging="360"/>
      </w:pPr>
      <w:rPr>
        <w:u w:val="none"/>
      </w:rPr>
    </w:lvl>
    <w:lvl w:ilvl="1">
      <w:start w:val="1"/>
      <w:numFmt w:val="lowerRoman"/>
      <w:lvlText w:val="%2."/>
      <w:lvlJc w:val="right"/>
      <w:pPr>
        <w:ind w:left="2880" w:hanging="360"/>
      </w:pPr>
      <w:rPr>
        <w:u w:val="none"/>
      </w:rPr>
    </w:lvl>
    <w:lvl w:ilvl="2">
      <w:start w:val="1"/>
      <w:numFmt w:val="decimal"/>
      <w:lvlText w:val="%3."/>
      <w:lvlJc w:val="left"/>
      <w:pPr>
        <w:ind w:left="3600" w:hanging="360"/>
      </w:pPr>
      <w:rPr>
        <w:u w:val="none"/>
      </w:rPr>
    </w:lvl>
    <w:lvl w:ilvl="3">
      <w:start w:val="1"/>
      <w:numFmt w:val="lowerLetter"/>
      <w:lvlText w:val="%4."/>
      <w:lvlJc w:val="left"/>
      <w:pPr>
        <w:ind w:left="4320" w:hanging="360"/>
      </w:pPr>
      <w:rPr>
        <w:u w:val="none"/>
      </w:rPr>
    </w:lvl>
    <w:lvl w:ilvl="4">
      <w:start w:val="1"/>
      <w:numFmt w:val="lowerRoman"/>
      <w:lvlText w:val="%5."/>
      <w:lvlJc w:val="right"/>
      <w:pPr>
        <w:ind w:left="5040" w:hanging="360"/>
      </w:pPr>
      <w:rPr>
        <w:u w:val="none"/>
      </w:rPr>
    </w:lvl>
    <w:lvl w:ilvl="5">
      <w:start w:val="1"/>
      <w:numFmt w:val="decimal"/>
      <w:lvlText w:val="%6."/>
      <w:lvlJc w:val="left"/>
      <w:pPr>
        <w:ind w:left="5760" w:hanging="360"/>
      </w:pPr>
      <w:rPr>
        <w:u w:val="none"/>
      </w:rPr>
    </w:lvl>
    <w:lvl w:ilvl="6">
      <w:start w:val="1"/>
      <w:numFmt w:val="lowerLetter"/>
      <w:lvlText w:val="%7."/>
      <w:lvlJc w:val="left"/>
      <w:pPr>
        <w:ind w:left="6480" w:hanging="360"/>
      </w:pPr>
      <w:rPr>
        <w:u w:val="none"/>
      </w:rPr>
    </w:lvl>
    <w:lvl w:ilvl="7">
      <w:start w:val="1"/>
      <w:numFmt w:val="lowerRoman"/>
      <w:lvlText w:val="%8."/>
      <w:lvlJc w:val="right"/>
      <w:pPr>
        <w:ind w:left="7200" w:hanging="360"/>
      </w:pPr>
      <w:rPr>
        <w:u w:val="none"/>
      </w:rPr>
    </w:lvl>
    <w:lvl w:ilvl="8">
      <w:start w:val="1"/>
      <w:numFmt w:val="decimal"/>
      <w:lvlText w:val="%9."/>
      <w:lvlJc w:val="left"/>
      <w:pPr>
        <w:ind w:left="7920" w:hanging="360"/>
      </w:pPr>
      <w:rPr>
        <w:u w:val="none"/>
      </w:rPr>
    </w:lvl>
  </w:abstractNum>
  <w:abstractNum w:abstractNumId="30" w15:restartNumberingAfterBreak="0">
    <w:nsid w:val="64E16722"/>
    <w:multiLevelType w:val="multilevel"/>
    <w:tmpl w:val="B88C846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1" w15:restartNumberingAfterBreak="0">
    <w:nsid w:val="6D9D0218"/>
    <w:multiLevelType w:val="multilevel"/>
    <w:tmpl w:val="E0EEB1A8"/>
    <w:lvl w:ilvl="0">
      <w:start w:val="1"/>
      <w:numFmt w:val="lowerRoman"/>
      <w:lvlText w:val="%1."/>
      <w:lvlJc w:val="left"/>
      <w:pPr>
        <w:ind w:left="425" w:hanging="425"/>
      </w:pPr>
      <w:rPr>
        <w:rFonts w:ascii="Times New Roman" w:eastAsia="Times New Roman" w:hAnsi="Times New Roman" w:cs="Times New Roman"/>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2" w15:restartNumberingAfterBreak="0">
    <w:nsid w:val="6E377341"/>
    <w:multiLevelType w:val="multilevel"/>
    <w:tmpl w:val="A1688296"/>
    <w:lvl w:ilvl="0">
      <w:start w:val="1"/>
      <w:numFmt w:val="decimal"/>
      <w:lvlText w:val="%1."/>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33" w15:restartNumberingAfterBreak="0">
    <w:nsid w:val="6EFC0C78"/>
    <w:multiLevelType w:val="multilevel"/>
    <w:tmpl w:val="0FFE057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715A6660"/>
    <w:multiLevelType w:val="multilevel"/>
    <w:tmpl w:val="7CCCFC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734C75CB"/>
    <w:multiLevelType w:val="multilevel"/>
    <w:tmpl w:val="9BA20EFE"/>
    <w:lvl w:ilvl="0">
      <w:start w:val="1"/>
      <w:numFmt w:val="decimal"/>
      <w:lvlText w:val="%1."/>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36" w15:restartNumberingAfterBreak="0">
    <w:nsid w:val="75C1315B"/>
    <w:multiLevelType w:val="multilevel"/>
    <w:tmpl w:val="37120792"/>
    <w:lvl w:ilvl="0">
      <w:start w:val="1"/>
      <w:numFmt w:val="decimal"/>
      <w:lvlText w:val="%1."/>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37" w15:restartNumberingAfterBreak="0">
    <w:nsid w:val="7A420EC6"/>
    <w:multiLevelType w:val="multilevel"/>
    <w:tmpl w:val="D2E08DB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839416366">
    <w:abstractNumId w:val="29"/>
  </w:num>
  <w:num w:numId="2" w16cid:durableId="621570112">
    <w:abstractNumId w:val="17"/>
  </w:num>
  <w:num w:numId="3" w16cid:durableId="1979803650">
    <w:abstractNumId w:val="11"/>
  </w:num>
  <w:num w:numId="4" w16cid:durableId="694503716">
    <w:abstractNumId w:val="7"/>
  </w:num>
  <w:num w:numId="5" w16cid:durableId="1830055732">
    <w:abstractNumId w:val="37"/>
  </w:num>
  <w:num w:numId="6" w16cid:durableId="1551112168">
    <w:abstractNumId w:val="27"/>
  </w:num>
  <w:num w:numId="7" w16cid:durableId="250168295">
    <w:abstractNumId w:val="23"/>
  </w:num>
  <w:num w:numId="8" w16cid:durableId="44186130">
    <w:abstractNumId w:val="32"/>
  </w:num>
  <w:num w:numId="9" w16cid:durableId="618416762">
    <w:abstractNumId w:val="10"/>
  </w:num>
  <w:num w:numId="10" w16cid:durableId="1378358971">
    <w:abstractNumId w:val="25"/>
  </w:num>
  <w:num w:numId="11" w16cid:durableId="1280798875">
    <w:abstractNumId w:val="0"/>
  </w:num>
  <w:num w:numId="12" w16cid:durableId="26374016">
    <w:abstractNumId w:val="24"/>
  </w:num>
  <w:num w:numId="13" w16cid:durableId="1690715389">
    <w:abstractNumId w:val="3"/>
  </w:num>
  <w:num w:numId="14" w16cid:durableId="713771323">
    <w:abstractNumId w:val="18"/>
  </w:num>
  <w:num w:numId="15" w16cid:durableId="521287312">
    <w:abstractNumId w:val="15"/>
  </w:num>
  <w:num w:numId="16" w16cid:durableId="1428770039">
    <w:abstractNumId w:val="8"/>
  </w:num>
  <w:num w:numId="17" w16cid:durableId="887886062">
    <w:abstractNumId w:val="28"/>
  </w:num>
  <w:num w:numId="18" w16cid:durableId="418257866">
    <w:abstractNumId w:val="2"/>
  </w:num>
  <w:num w:numId="19" w16cid:durableId="1824882662">
    <w:abstractNumId w:val="34"/>
  </w:num>
  <w:num w:numId="20" w16cid:durableId="1355885091">
    <w:abstractNumId w:val="26"/>
  </w:num>
  <w:num w:numId="21" w16cid:durableId="1946107536">
    <w:abstractNumId w:val="16"/>
  </w:num>
  <w:num w:numId="22" w16cid:durableId="1702049919">
    <w:abstractNumId w:val="35"/>
  </w:num>
  <w:num w:numId="23" w16cid:durableId="983462656">
    <w:abstractNumId w:val="19"/>
  </w:num>
  <w:num w:numId="24" w16cid:durableId="614874815">
    <w:abstractNumId w:val="6"/>
  </w:num>
  <w:num w:numId="25" w16cid:durableId="1892889037">
    <w:abstractNumId w:val="4"/>
  </w:num>
  <w:num w:numId="26" w16cid:durableId="82259843">
    <w:abstractNumId w:val="20"/>
  </w:num>
  <w:num w:numId="27" w16cid:durableId="780613555">
    <w:abstractNumId w:val="9"/>
  </w:num>
  <w:num w:numId="28" w16cid:durableId="816997984">
    <w:abstractNumId w:val="12"/>
  </w:num>
  <w:num w:numId="29" w16cid:durableId="489716771">
    <w:abstractNumId w:val="5"/>
  </w:num>
  <w:num w:numId="30" w16cid:durableId="1789200534">
    <w:abstractNumId w:val="21"/>
  </w:num>
  <w:num w:numId="31" w16cid:durableId="460080174">
    <w:abstractNumId w:val="13"/>
  </w:num>
  <w:num w:numId="32" w16cid:durableId="1930457764">
    <w:abstractNumId w:val="30"/>
  </w:num>
  <w:num w:numId="33" w16cid:durableId="1224486001">
    <w:abstractNumId w:val="14"/>
  </w:num>
  <w:num w:numId="34" w16cid:durableId="2043893253">
    <w:abstractNumId w:val="22"/>
  </w:num>
  <w:num w:numId="35" w16cid:durableId="1091855605">
    <w:abstractNumId w:val="1"/>
  </w:num>
  <w:num w:numId="36" w16cid:durableId="1767992327">
    <w:abstractNumId w:val="33"/>
  </w:num>
  <w:num w:numId="37" w16cid:durableId="509102512">
    <w:abstractNumId w:val="36"/>
  </w:num>
  <w:num w:numId="38" w16cid:durableId="411194842">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4"/>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6854"/>
    <w:rsid w:val="00007D2E"/>
    <w:rsid w:val="000150F8"/>
    <w:rsid w:val="00046FE8"/>
    <w:rsid w:val="00066614"/>
    <w:rsid w:val="000C4586"/>
    <w:rsid w:val="00113E43"/>
    <w:rsid w:val="001712A1"/>
    <w:rsid w:val="001D2966"/>
    <w:rsid w:val="001F0252"/>
    <w:rsid w:val="001F291B"/>
    <w:rsid w:val="001F45F6"/>
    <w:rsid w:val="002F290B"/>
    <w:rsid w:val="00491ED3"/>
    <w:rsid w:val="00495AE1"/>
    <w:rsid w:val="00501378"/>
    <w:rsid w:val="00535869"/>
    <w:rsid w:val="005437B0"/>
    <w:rsid w:val="00546E5E"/>
    <w:rsid w:val="005A7F0C"/>
    <w:rsid w:val="005B0D3A"/>
    <w:rsid w:val="005C6D2F"/>
    <w:rsid w:val="006A7D6C"/>
    <w:rsid w:val="006D1740"/>
    <w:rsid w:val="006D2678"/>
    <w:rsid w:val="0074797D"/>
    <w:rsid w:val="007759A3"/>
    <w:rsid w:val="00786180"/>
    <w:rsid w:val="007C6854"/>
    <w:rsid w:val="007E15C2"/>
    <w:rsid w:val="007F1B1E"/>
    <w:rsid w:val="00844861"/>
    <w:rsid w:val="00862045"/>
    <w:rsid w:val="00894763"/>
    <w:rsid w:val="008B7903"/>
    <w:rsid w:val="008F6F1A"/>
    <w:rsid w:val="00930910"/>
    <w:rsid w:val="00956858"/>
    <w:rsid w:val="009D41B3"/>
    <w:rsid w:val="00A165AD"/>
    <w:rsid w:val="00A8068A"/>
    <w:rsid w:val="00AA27B2"/>
    <w:rsid w:val="00B200BA"/>
    <w:rsid w:val="00B4521D"/>
    <w:rsid w:val="00BD7563"/>
    <w:rsid w:val="00BE4720"/>
    <w:rsid w:val="00C00846"/>
    <w:rsid w:val="00C774CE"/>
    <w:rsid w:val="00CA0720"/>
    <w:rsid w:val="00CC7CE1"/>
    <w:rsid w:val="00CF2D7A"/>
    <w:rsid w:val="00DA41CA"/>
    <w:rsid w:val="00E0219E"/>
    <w:rsid w:val="00E13500"/>
    <w:rsid w:val="00E31D28"/>
    <w:rsid w:val="00E36171"/>
    <w:rsid w:val="00E77ABE"/>
    <w:rsid w:val="00E865ED"/>
    <w:rsid w:val="00E95D0C"/>
    <w:rsid w:val="00F362B2"/>
    <w:rsid w:val="00FD5DC4"/>
    <w:rsid w:val="00FF6BF7"/>
  </w:rsids>
  <m:mathPr>
    <m:mathFont m:val="Cambria Math"/>
    <m:brkBin m:val="before"/>
    <m:brkBinSub m:val="--"/>
    <m:smallFrac m:val="0"/>
    <m:dispDef/>
    <m:lMargin m:val="0"/>
    <m:rMargin m:val="0"/>
    <m:defJc m:val="centerGroup"/>
    <m:wrapIndent m:val="1440"/>
    <m:intLim m:val="subSup"/>
    <m:naryLim m:val="undOvr"/>
  </m:mathPr>
  <w:themeFontLang w:val="en-P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4E14D6"/>
  <w15:docId w15:val="{CBDAC060-A228-463E-8C5C-FAE582890D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PH"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7903"/>
    <w:rPr>
      <w:rFonts w:ascii="Arial" w:hAnsi="Arial"/>
      <w:sz w:val="24"/>
    </w:rPr>
  </w:style>
  <w:style w:type="paragraph" w:styleId="Heading1">
    <w:name w:val="heading 1"/>
    <w:basedOn w:val="Normal"/>
    <w:next w:val="Normal"/>
    <w:link w:val="Heading1Char"/>
    <w:uiPriority w:val="9"/>
    <w:qFormat/>
    <w:rsid w:val="0030402C"/>
    <w:pPr>
      <w:keepNext/>
      <w:keepLines/>
      <w:spacing w:before="480" w:after="120"/>
      <w:outlineLvl w:val="0"/>
    </w:pPr>
    <w:rPr>
      <w:b/>
      <w:sz w:val="48"/>
      <w:szCs w:val="48"/>
    </w:rPr>
  </w:style>
  <w:style w:type="paragraph" w:styleId="Heading2">
    <w:name w:val="heading 2"/>
    <w:basedOn w:val="Normal"/>
    <w:next w:val="Normal"/>
    <w:link w:val="Heading2Char"/>
    <w:uiPriority w:val="9"/>
    <w:unhideWhenUsed/>
    <w:qFormat/>
    <w:rsid w:val="0030402C"/>
    <w:pPr>
      <w:keepNext/>
      <w:keepLines/>
      <w:spacing w:before="360" w:after="80"/>
      <w:outlineLvl w:val="1"/>
    </w:pPr>
    <w:rPr>
      <w:b/>
      <w:sz w:val="36"/>
      <w:szCs w:val="36"/>
    </w:rPr>
  </w:style>
  <w:style w:type="paragraph" w:styleId="Heading3">
    <w:name w:val="heading 3"/>
    <w:basedOn w:val="Normal"/>
    <w:next w:val="Normal"/>
    <w:link w:val="Heading3Char"/>
    <w:uiPriority w:val="9"/>
    <w:unhideWhenUsed/>
    <w:qFormat/>
    <w:rsid w:val="0030402C"/>
    <w:pPr>
      <w:keepNext/>
      <w:keepLines/>
      <w:spacing w:before="280" w:after="80"/>
      <w:outlineLvl w:val="2"/>
    </w:pPr>
    <w:rPr>
      <w:b/>
      <w:sz w:val="28"/>
      <w:szCs w:val="28"/>
    </w:rPr>
  </w:style>
  <w:style w:type="paragraph" w:styleId="Heading4">
    <w:name w:val="heading 4"/>
    <w:basedOn w:val="Normal"/>
    <w:next w:val="Normal"/>
    <w:link w:val="Heading4Char"/>
    <w:uiPriority w:val="9"/>
    <w:semiHidden/>
    <w:unhideWhenUsed/>
    <w:qFormat/>
    <w:rsid w:val="0030402C"/>
    <w:pPr>
      <w:keepNext/>
      <w:keepLines/>
      <w:spacing w:before="240" w:after="40"/>
      <w:outlineLvl w:val="3"/>
    </w:pPr>
    <w:rPr>
      <w:b/>
      <w:szCs w:val="24"/>
    </w:rPr>
  </w:style>
  <w:style w:type="paragraph" w:styleId="Heading5">
    <w:name w:val="heading 5"/>
    <w:basedOn w:val="Normal"/>
    <w:next w:val="Normal"/>
    <w:link w:val="Heading5Char"/>
    <w:uiPriority w:val="9"/>
    <w:semiHidden/>
    <w:unhideWhenUsed/>
    <w:qFormat/>
    <w:rsid w:val="0030402C"/>
    <w:pPr>
      <w:keepNext/>
      <w:keepLines/>
      <w:spacing w:before="220" w:after="40"/>
      <w:outlineLvl w:val="4"/>
    </w:pPr>
    <w:rPr>
      <w:b/>
    </w:rPr>
  </w:style>
  <w:style w:type="paragraph" w:styleId="Heading6">
    <w:name w:val="heading 6"/>
    <w:basedOn w:val="Normal"/>
    <w:next w:val="Normal"/>
    <w:link w:val="Heading6Char"/>
    <w:uiPriority w:val="9"/>
    <w:semiHidden/>
    <w:unhideWhenUsed/>
    <w:qFormat/>
    <w:rsid w:val="0030402C"/>
    <w:pPr>
      <w:keepNext/>
      <w:keepLines/>
      <w:spacing w:before="200" w:after="40"/>
      <w:outlineLvl w:val="5"/>
    </w:pPr>
    <w:rPr>
      <w:b/>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30402C"/>
    <w:pPr>
      <w:keepNext/>
      <w:keepLines/>
      <w:spacing w:before="480" w:after="120"/>
    </w:pPr>
    <w:rPr>
      <w:b/>
      <w:sz w:val="72"/>
      <w:szCs w:val="72"/>
    </w:rPr>
  </w:style>
  <w:style w:type="character" w:customStyle="1" w:styleId="Heading1Char">
    <w:name w:val="Heading 1 Char"/>
    <w:basedOn w:val="DefaultParagraphFont"/>
    <w:link w:val="Heading1"/>
    <w:uiPriority w:val="9"/>
    <w:rsid w:val="0030402C"/>
    <w:rPr>
      <w:rFonts w:ascii="Calibri" w:eastAsia="Calibri" w:hAnsi="Calibri" w:cs="Calibri"/>
      <w:b/>
      <w:sz w:val="48"/>
      <w:szCs w:val="48"/>
      <w:lang w:val="en-US" w:eastAsia="en-PH"/>
    </w:rPr>
  </w:style>
  <w:style w:type="character" w:customStyle="1" w:styleId="Heading2Char">
    <w:name w:val="Heading 2 Char"/>
    <w:basedOn w:val="DefaultParagraphFont"/>
    <w:link w:val="Heading2"/>
    <w:uiPriority w:val="9"/>
    <w:rsid w:val="0030402C"/>
    <w:rPr>
      <w:rFonts w:ascii="Calibri" w:eastAsia="Calibri" w:hAnsi="Calibri" w:cs="Calibri"/>
      <w:b/>
      <w:sz w:val="36"/>
      <w:szCs w:val="36"/>
      <w:lang w:val="en-US" w:eastAsia="en-PH"/>
    </w:rPr>
  </w:style>
  <w:style w:type="character" w:customStyle="1" w:styleId="Heading3Char">
    <w:name w:val="Heading 3 Char"/>
    <w:basedOn w:val="DefaultParagraphFont"/>
    <w:link w:val="Heading3"/>
    <w:uiPriority w:val="9"/>
    <w:rsid w:val="0030402C"/>
    <w:rPr>
      <w:rFonts w:ascii="Calibri" w:eastAsia="Calibri" w:hAnsi="Calibri" w:cs="Calibri"/>
      <w:b/>
      <w:sz w:val="28"/>
      <w:szCs w:val="28"/>
      <w:lang w:val="en-US" w:eastAsia="en-PH"/>
    </w:rPr>
  </w:style>
  <w:style w:type="character" w:customStyle="1" w:styleId="Heading4Char">
    <w:name w:val="Heading 4 Char"/>
    <w:basedOn w:val="DefaultParagraphFont"/>
    <w:link w:val="Heading4"/>
    <w:uiPriority w:val="9"/>
    <w:semiHidden/>
    <w:rsid w:val="0030402C"/>
    <w:rPr>
      <w:rFonts w:ascii="Calibri" w:eastAsia="Calibri" w:hAnsi="Calibri" w:cs="Calibri"/>
      <w:b/>
      <w:sz w:val="24"/>
      <w:szCs w:val="24"/>
      <w:lang w:val="en-US" w:eastAsia="en-PH"/>
    </w:rPr>
  </w:style>
  <w:style w:type="character" w:customStyle="1" w:styleId="Heading5Char">
    <w:name w:val="Heading 5 Char"/>
    <w:basedOn w:val="DefaultParagraphFont"/>
    <w:link w:val="Heading5"/>
    <w:uiPriority w:val="9"/>
    <w:semiHidden/>
    <w:rsid w:val="0030402C"/>
    <w:rPr>
      <w:rFonts w:ascii="Calibri" w:eastAsia="Calibri" w:hAnsi="Calibri" w:cs="Calibri"/>
      <w:b/>
      <w:lang w:val="en-US" w:eastAsia="en-PH"/>
    </w:rPr>
  </w:style>
  <w:style w:type="character" w:customStyle="1" w:styleId="Heading6Char">
    <w:name w:val="Heading 6 Char"/>
    <w:basedOn w:val="DefaultParagraphFont"/>
    <w:link w:val="Heading6"/>
    <w:uiPriority w:val="9"/>
    <w:semiHidden/>
    <w:rsid w:val="0030402C"/>
    <w:rPr>
      <w:rFonts w:ascii="Calibri" w:eastAsia="Calibri" w:hAnsi="Calibri" w:cs="Calibri"/>
      <w:b/>
      <w:sz w:val="20"/>
      <w:szCs w:val="20"/>
      <w:lang w:val="en-US" w:eastAsia="en-PH"/>
    </w:rPr>
  </w:style>
  <w:style w:type="character" w:customStyle="1" w:styleId="TitleChar">
    <w:name w:val="Title Char"/>
    <w:basedOn w:val="DefaultParagraphFont"/>
    <w:link w:val="Title"/>
    <w:uiPriority w:val="10"/>
    <w:rsid w:val="0030402C"/>
    <w:rPr>
      <w:rFonts w:ascii="Calibri" w:eastAsia="Calibri" w:hAnsi="Calibri" w:cs="Calibri"/>
      <w:b/>
      <w:sz w:val="72"/>
      <w:szCs w:val="72"/>
      <w:lang w:val="en-US" w:eastAsia="en-PH"/>
    </w:rPr>
  </w:style>
  <w:style w:type="paragraph" w:styleId="BalloonText">
    <w:name w:val="Balloon Text"/>
    <w:basedOn w:val="Normal"/>
    <w:link w:val="BalloonTextChar"/>
    <w:rsid w:val="0030402C"/>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rsid w:val="0030402C"/>
    <w:rPr>
      <w:rFonts w:ascii="Times New Roman" w:eastAsia="Calibri" w:hAnsi="Times New Roman" w:cs="Times New Roman"/>
      <w:sz w:val="18"/>
      <w:szCs w:val="18"/>
      <w:lang w:val="en-US" w:eastAsia="en-PH"/>
    </w:rPr>
  </w:style>
  <w:style w:type="paragraph" w:styleId="CommentText">
    <w:name w:val="annotation text"/>
    <w:basedOn w:val="Normal"/>
    <w:link w:val="CommentTextChar"/>
    <w:rsid w:val="0030402C"/>
    <w:pPr>
      <w:spacing w:line="240" w:lineRule="auto"/>
    </w:pPr>
    <w:rPr>
      <w:sz w:val="20"/>
      <w:szCs w:val="20"/>
    </w:rPr>
  </w:style>
  <w:style w:type="character" w:customStyle="1" w:styleId="CommentTextChar">
    <w:name w:val="Comment Text Char"/>
    <w:basedOn w:val="DefaultParagraphFont"/>
    <w:link w:val="CommentText"/>
    <w:rsid w:val="0030402C"/>
    <w:rPr>
      <w:rFonts w:ascii="Calibri" w:eastAsia="Calibri" w:hAnsi="Calibri" w:cs="Calibri"/>
      <w:sz w:val="20"/>
      <w:szCs w:val="20"/>
      <w:lang w:val="en-US" w:eastAsia="en-PH"/>
    </w:rPr>
  </w:style>
  <w:style w:type="paragraph" w:styleId="CommentSubject">
    <w:name w:val="annotation subject"/>
    <w:basedOn w:val="CommentText"/>
    <w:next w:val="CommentText"/>
    <w:link w:val="CommentSubjectChar"/>
    <w:rsid w:val="0030402C"/>
    <w:rPr>
      <w:b/>
      <w:bCs/>
    </w:rPr>
  </w:style>
  <w:style w:type="character" w:customStyle="1" w:styleId="CommentSubjectChar">
    <w:name w:val="Comment Subject Char"/>
    <w:basedOn w:val="CommentTextChar"/>
    <w:link w:val="CommentSubject"/>
    <w:rsid w:val="0030402C"/>
    <w:rPr>
      <w:rFonts w:ascii="Calibri" w:eastAsia="Calibri" w:hAnsi="Calibri" w:cs="Calibri"/>
      <w:b/>
      <w:bCs/>
      <w:sz w:val="20"/>
      <w:szCs w:val="20"/>
      <w:lang w:val="en-US" w:eastAsia="en-PH"/>
    </w:rPr>
  </w:style>
  <w:style w:type="paragraph" w:styleId="HTMLPreformatted">
    <w:name w:val="HTML Preformatted"/>
    <w:basedOn w:val="Normal"/>
    <w:link w:val="HTMLPreformattedChar"/>
    <w:uiPriority w:val="99"/>
    <w:unhideWhenUsed/>
    <w:rsid w:val="003040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30402C"/>
    <w:rPr>
      <w:rFonts w:ascii="Courier New" w:eastAsia="Times New Roman" w:hAnsi="Courier New" w:cs="Courier New"/>
      <w:sz w:val="20"/>
      <w:szCs w:val="20"/>
      <w:lang w:val="en-US" w:eastAsia="en-PH"/>
    </w:rPr>
  </w:style>
  <w:style w:type="paragraph" w:styleId="NormalWeb">
    <w:name w:val="Normal (Web)"/>
    <w:basedOn w:val="Normal"/>
    <w:uiPriority w:val="99"/>
    <w:unhideWhenUsed/>
    <w:rsid w:val="0030402C"/>
    <w:pPr>
      <w:spacing w:before="100" w:beforeAutospacing="1" w:after="100" w:afterAutospacing="1"/>
    </w:pPr>
  </w:style>
  <w:style w:type="character" w:styleId="CommentReference">
    <w:name w:val="annotation reference"/>
    <w:rsid w:val="0030402C"/>
    <w:rPr>
      <w:sz w:val="16"/>
      <w:szCs w:val="16"/>
    </w:rPr>
  </w:style>
  <w:style w:type="character" w:styleId="FollowedHyperlink">
    <w:name w:val="FollowedHyperlink"/>
    <w:rsid w:val="0030402C"/>
    <w:rPr>
      <w:color w:val="954F72"/>
      <w:u w:val="single"/>
    </w:rPr>
  </w:style>
  <w:style w:type="character" w:styleId="Hyperlink">
    <w:name w:val="Hyperlink"/>
    <w:uiPriority w:val="99"/>
    <w:qFormat/>
    <w:rsid w:val="0030402C"/>
    <w:rPr>
      <w:color w:val="0000FF"/>
      <w:u w:val="single"/>
    </w:rPr>
  </w:style>
  <w:style w:type="table" w:styleId="TableGrid">
    <w:name w:val="Table Grid"/>
    <w:basedOn w:val="TableNormal"/>
    <w:uiPriority w:val="39"/>
    <w:rsid w:val="0030402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qFormat/>
    <w:rsid w:val="0030402C"/>
    <w:pPr>
      <w:autoSpaceDE w:val="0"/>
      <w:autoSpaceDN w:val="0"/>
      <w:adjustRightInd w:val="0"/>
    </w:pPr>
    <w:rPr>
      <w:rFonts w:ascii="Arial" w:hAnsi="Arial" w:cs="Arial"/>
      <w:color w:val="000000"/>
      <w:sz w:val="24"/>
      <w:szCs w:val="24"/>
    </w:rPr>
  </w:style>
  <w:style w:type="paragraph" w:styleId="ListParagraph">
    <w:name w:val="List Paragraph"/>
    <w:uiPriority w:val="34"/>
    <w:qFormat/>
    <w:rsid w:val="0030402C"/>
    <w:pPr>
      <w:ind w:left="720"/>
    </w:pPr>
    <w:rPr>
      <w:color w:val="000000"/>
      <w:u w:color="000000"/>
    </w:rPr>
  </w:style>
  <w:style w:type="character" w:customStyle="1" w:styleId="15">
    <w:name w:val="15"/>
    <w:rsid w:val="0030402C"/>
    <w:rPr>
      <w:rFonts w:ascii="Cambria" w:hAnsi="Cambria" w:hint="default"/>
      <w:color w:val="0000FF"/>
      <w:u w:val="single"/>
    </w:rPr>
  </w:style>
  <w:style w:type="character" w:customStyle="1" w:styleId="16">
    <w:name w:val="16"/>
    <w:rsid w:val="0030402C"/>
    <w:rPr>
      <w:rFonts w:ascii="Cambria" w:hAnsi="Cambria" w:hint="default"/>
      <w:color w:val="800080"/>
      <w:u w:val="single"/>
    </w:rPr>
  </w:style>
  <w:style w:type="character" w:customStyle="1" w:styleId="UnresolvedMention1">
    <w:name w:val="Unresolved Mention1"/>
    <w:uiPriority w:val="99"/>
    <w:semiHidden/>
    <w:unhideWhenUsed/>
    <w:rsid w:val="0030402C"/>
    <w:rPr>
      <w:color w:val="808080"/>
      <w:shd w:val="clear" w:color="auto" w:fill="E6E6E6"/>
    </w:rPr>
  </w:style>
  <w:style w:type="character" w:styleId="PlaceholderText">
    <w:name w:val="Placeholder Text"/>
    <w:uiPriority w:val="99"/>
    <w:semiHidden/>
    <w:rsid w:val="0030402C"/>
    <w:rPr>
      <w:color w:val="808080"/>
    </w:rPr>
  </w:style>
  <w:style w:type="character" w:customStyle="1" w:styleId="cit">
    <w:name w:val="cit"/>
    <w:basedOn w:val="DefaultParagraphFont"/>
    <w:rsid w:val="0030402C"/>
  </w:style>
  <w:style w:type="character" w:customStyle="1" w:styleId="doi">
    <w:name w:val="doi"/>
    <w:basedOn w:val="DefaultParagraphFont"/>
    <w:rsid w:val="0030402C"/>
  </w:style>
  <w:style w:type="paragraph" w:styleId="NoSpacing">
    <w:name w:val="No Spacing"/>
    <w:uiPriority w:val="1"/>
    <w:qFormat/>
    <w:rsid w:val="0030402C"/>
    <w:pPr>
      <w:spacing w:after="0" w:line="240" w:lineRule="auto"/>
    </w:pPr>
  </w:style>
  <w:style w:type="character" w:customStyle="1" w:styleId="UnresolvedMention2">
    <w:name w:val="Unresolved Mention2"/>
    <w:uiPriority w:val="99"/>
    <w:semiHidden/>
    <w:unhideWhenUsed/>
    <w:rsid w:val="0030402C"/>
    <w:rPr>
      <w:color w:val="808080"/>
      <w:shd w:val="clear" w:color="auto" w:fill="E6E6E6"/>
    </w:rPr>
  </w:style>
  <w:style w:type="paragraph" w:styleId="Revision">
    <w:name w:val="Revision"/>
    <w:hidden/>
    <w:uiPriority w:val="99"/>
    <w:semiHidden/>
    <w:rsid w:val="0030402C"/>
    <w:pPr>
      <w:spacing w:after="0" w:line="240" w:lineRule="auto"/>
    </w:pPr>
  </w:style>
  <w:style w:type="paragraph" w:styleId="DocumentMap">
    <w:name w:val="Document Map"/>
    <w:basedOn w:val="Normal"/>
    <w:link w:val="DocumentMapChar"/>
    <w:rsid w:val="0030402C"/>
    <w:pPr>
      <w:spacing w:after="0" w:line="240" w:lineRule="auto"/>
    </w:pPr>
    <w:rPr>
      <w:rFonts w:ascii="Times New Roman" w:hAnsi="Times New Roman" w:cs="Times New Roman"/>
      <w:szCs w:val="24"/>
    </w:rPr>
  </w:style>
  <w:style w:type="character" w:customStyle="1" w:styleId="DocumentMapChar">
    <w:name w:val="Document Map Char"/>
    <w:basedOn w:val="DefaultParagraphFont"/>
    <w:link w:val="DocumentMap"/>
    <w:rsid w:val="0030402C"/>
    <w:rPr>
      <w:rFonts w:ascii="Times New Roman" w:eastAsia="Calibri" w:hAnsi="Times New Roman" w:cs="Times New Roman"/>
      <w:sz w:val="24"/>
      <w:szCs w:val="24"/>
      <w:lang w:val="en-US" w:eastAsia="en-PH"/>
    </w:rPr>
  </w:style>
  <w:style w:type="paragraph" w:styleId="Subtitle">
    <w:name w:val="Subtitle"/>
    <w:basedOn w:val="Normal"/>
    <w:next w:val="Normal"/>
    <w:link w:val="SubtitleChar"/>
    <w:uiPriority w:val="11"/>
    <w:qFormat/>
    <w:pPr>
      <w:keepNext/>
      <w:keepLines/>
      <w:spacing w:before="360" w:after="80"/>
    </w:pPr>
    <w:rPr>
      <w:rFonts w:ascii="Georgia" w:eastAsia="Georgia" w:hAnsi="Georgia" w:cs="Georgia"/>
      <w:i/>
      <w:color w:val="666666"/>
      <w:sz w:val="48"/>
      <w:szCs w:val="48"/>
    </w:rPr>
  </w:style>
  <w:style w:type="character" w:customStyle="1" w:styleId="SubtitleChar">
    <w:name w:val="Subtitle Char"/>
    <w:basedOn w:val="DefaultParagraphFont"/>
    <w:link w:val="Subtitle"/>
    <w:uiPriority w:val="11"/>
    <w:rsid w:val="0030402C"/>
    <w:rPr>
      <w:rFonts w:ascii="Georgia" w:eastAsia="Georgia" w:hAnsi="Georgia" w:cs="Georgia"/>
      <w:i/>
      <w:color w:val="666666"/>
      <w:sz w:val="48"/>
      <w:szCs w:val="48"/>
      <w:lang w:val="en-US" w:eastAsia="en-PH"/>
    </w:rPr>
  </w:style>
  <w:style w:type="character" w:styleId="UnresolvedMention">
    <w:name w:val="Unresolved Mention"/>
    <w:basedOn w:val="DefaultParagraphFont"/>
    <w:uiPriority w:val="99"/>
    <w:semiHidden/>
    <w:unhideWhenUsed/>
    <w:rsid w:val="00924B3A"/>
    <w:rPr>
      <w:color w:val="605E5C"/>
      <w:shd w:val="clear" w:color="auto" w:fill="E1DFDD"/>
    </w:rPr>
  </w:style>
  <w:style w:type="paragraph" w:styleId="Header">
    <w:name w:val="header"/>
    <w:basedOn w:val="Normal"/>
    <w:link w:val="HeaderChar"/>
    <w:uiPriority w:val="99"/>
    <w:unhideWhenUsed/>
    <w:rsid w:val="00F015F8"/>
    <w:pPr>
      <w:tabs>
        <w:tab w:val="center" w:pos="4680"/>
        <w:tab w:val="right" w:pos="9360"/>
      </w:tabs>
      <w:spacing w:after="0" w:line="240" w:lineRule="auto"/>
    </w:pPr>
  </w:style>
  <w:style w:type="character" w:customStyle="1" w:styleId="HeaderChar">
    <w:name w:val="Header Char"/>
    <w:basedOn w:val="DefaultParagraphFont"/>
    <w:link w:val="Header"/>
    <w:uiPriority w:val="99"/>
    <w:rsid w:val="00F015F8"/>
    <w:rPr>
      <w:rFonts w:ascii="Calibri" w:eastAsia="Calibri" w:hAnsi="Calibri" w:cs="Calibri"/>
      <w:lang w:val="en-US" w:eastAsia="en-PH"/>
    </w:rPr>
  </w:style>
  <w:style w:type="paragraph" w:styleId="Footer">
    <w:name w:val="footer"/>
    <w:basedOn w:val="Normal"/>
    <w:link w:val="FooterChar"/>
    <w:uiPriority w:val="99"/>
    <w:unhideWhenUsed/>
    <w:rsid w:val="00F015F8"/>
    <w:pPr>
      <w:tabs>
        <w:tab w:val="center" w:pos="4680"/>
        <w:tab w:val="right" w:pos="9360"/>
      </w:tabs>
      <w:spacing w:after="0" w:line="240" w:lineRule="auto"/>
    </w:pPr>
  </w:style>
  <w:style w:type="character" w:customStyle="1" w:styleId="FooterChar">
    <w:name w:val="Footer Char"/>
    <w:basedOn w:val="DefaultParagraphFont"/>
    <w:link w:val="Footer"/>
    <w:uiPriority w:val="99"/>
    <w:rsid w:val="00F015F8"/>
    <w:rPr>
      <w:rFonts w:ascii="Calibri" w:eastAsia="Calibri" w:hAnsi="Calibri" w:cs="Calibri"/>
      <w:lang w:val="en-US" w:eastAsia="en-PH"/>
    </w:rPr>
  </w:style>
  <w:style w:type="character" w:styleId="LineNumber">
    <w:name w:val="line number"/>
    <w:basedOn w:val="DefaultParagraphFont"/>
    <w:uiPriority w:val="99"/>
    <w:semiHidden/>
    <w:unhideWhenUsed/>
    <w:rsid w:val="00E14F68"/>
  </w:style>
  <w:style w:type="table" w:customStyle="1" w:styleId="a">
    <w:basedOn w:val="TableNormal"/>
    <w:pPr>
      <w:spacing w:after="0" w:line="240" w:lineRule="auto"/>
    </w:pPr>
    <w:rPr>
      <w:rFonts w:ascii="Times New Roman" w:eastAsia="Times New Roman" w:hAnsi="Times New Roman" w:cs="Times New Roman"/>
      <w:sz w:val="20"/>
      <w:szCs w:val="20"/>
    </w:rPr>
    <w:tblPr>
      <w:tblStyleRowBandSize w:val="1"/>
      <w:tblStyleColBandSize w:val="1"/>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pPr>
      <w:spacing w:after="0" w:line="240" w:lineRule="auto"/>
    </w:pPr>
    <w:rPr>
      <w:rFonts w:ascii="Times New Roman" w:eastAsia="Times New Roman" w:hAnsi="Times New Roman" w:cs="Times New Roman"/>
      <w:sz w:val="20"/>
      <w:szCs w:val="20"/>
    </w:rPr>
    <w:tblPr>
      <w:tblStyleRowBandSize w:val="1"/>
      <w:tblStyleColBandSize w:val="1"/>
    </w:tblPr>
  </w:style>
  <w:style w:type="table" w:customStyle="1" w:styleId="a7">
    <w:basedOn w:val="TableNormal"/>
    <w:pPr>
      <w:spacing w:after="0" w:line="240" w:lineRule="auto"/>
    </w:pPr>
    <w:rPr>
      <w:rFonts w:ascii="Times New Roman" w:eastAsia="Times New Roman" w:hAnsi="Times New Roman" w:cs="Times New Roman"/>
      <w:sz w:val="20"/>
      <w:szCs w:val="20"/>
    </w:rPr>
    <w:tblPr>
      <w:tblStyleRowBandSize w:val="1"/>
      <w:tblStyleColBandSize w:val="1"/>
    </w:tblPr>
  </w:style>
  <w:style w:type="table" w:customStyle="1" w:styleId="a8">
    <w:basedOn w:val="TableNormal"/>
    <w:pPr>
      <w:spacing w:after="0" w:line="240" w:lineRule="auto"/>
    </w:pPr>
    <w:rPr>
      <w:rFonts w:ascii="Times New Roman" w:eastAsia="Times New Roman" w:hAnsi="Times New Roman" w:cs="Times New Roman"/>
      <w:sz w:val="20"/>
      <w:szCs w:val="20"/>
    </w:rPr>
    <w:tblPr>
      <w:tblStyleRowBandSize w:val="1"/>
      <w:tblStyleColBandSize w:val="1"/>
    </w:tblPr>
  </w:style>
  <w:style w:type="table" w:customStyle="1" w:styleId="a9">
    <w:basedOn w:val="TableNormal"/>
    <w:pPr>
      <w:spacing w:after="0" w:line="240" w:lineRule="auto"/>
    </w:pPr>
    <w:rPr>
      <w:rFonts w:ascii="Times New Roman" w:eastAsia="Times New Roman" w:hAnsi="Times New Roman" w:cs="Times New Roman"/>
      <w:sz w:val="20"/>
      <w:szCs w:val="20"/>
    </w:rPr>
    <w:tblPr>
      <w:tblStyleRowBandSize w:val="1"/>
      <w:tblStyleColBandSize w:val="1"/>
    </w:tblPr>
  </w:style>
  <w:style w:type="table" w:customStyle="1" w:styleId="aa">
    <w:basedOn w:val="TableNormal"/>
    <w:pPr>
      <w:spacing w:after="0" w:line="240" w:lineRule="auto"/>
    </w:pPr>
    <w:rPr>
      <w:rFonts w:ascii="Times New Roman" w:eastAsia="Times New Roman" w:hAnsi="Times New Roman" w:cs="Times New Roman"/>
      <w:sz w:val="20"/>
      <w:szCs w:val="20"/>
    </w:rPr>
    <w:tblPr>
      <w:tblStyleRowBandSize w:val="1"/>
      <w:tblStyleColBandSize w:val="1"/>
    </w:tblPr>
  </w:style>
  <w:style w:type="table" w:customStyle="1" w:styleId="ab">
    <w:basedOn w:val="TableNormal"/>
    <w:pPr>
      <w:spacing w:after="0" w:line="240" w:lineRule="auto"/>
    </w:pPr>
    <w:rPr>
      <w:rFonts w:ascii="Times New Roman" w:eastAsia="Times New Roman" w:hAnsi="Times New Roman" w:cs="Times New Roman"/>
      <w:sz w:val="20"/>
      <w:szCs w:val="20"/>
    </w:rPr>
    <w:tblPr>
      <w:tblStyleRowBandSize w:val="1"/>
      <w:tblStyleColBandSize w:val="1"/>
    </w:tblPr>
  </w:style>
  <w:style w:type="table" w:customStyle="1" w:styleId="ac">
    <w:basedOn w:val="TableNormal"/>
    <w:pPr>
      <w:spacing w:after="0" w:line="240" w:lineRule="auto"/>
    </w:pPr>
    <w:rPr>
      <w:rFonts w:ascii="Times New Roman" w:eastAsia="Times New Roman" w:hAnsi="Times New Roman" w:cs="Times New Roman"/>
      <w:sz w:val="20"/>
      <w:szCs w:val="20"/>
    </w:rPr>
    <w:tblPr>
      <w:tblStyleRowBandSize w:val="1"/>
      <w:tblStyleColBandSize w:val="1"/>
    </w:tblPr>
  </w:style>
  <w:style w:type="table" w:customStyle="1" w:styleId="ad">
    <w:basedOn w:val="TableNormal"/>
    <w:pPr>
      <w:spacing w:after="0" w:line="240" w:lineRule="auto"/>
    </w:pPr>
    <w:rPr>
      <w:rFonts w:ascii="Times New Roman" w:eastAsia="Times New Roman" w:hAnsi="Times New Roman" w:cs="Times New Roman"/>
      <w:sz w:val="20"/>
      <w:szCs w:val="20"/>
    </w:rPr>
    <w:tblPr>
      <w:tblStyleRowBandSize w:val="1"/>
      <w:tblStyleColBandSize w:val="1"/>
    </w:tblPr>
  </w:style>
  <w:style w:type="table" w:customStyle="1" w:styleId="ae">
    <w:basedOn w:val="TableNormal"/>
    <w:tblPr>
      <w:tblStyleRowBandSize w:val="1"/>
      <w:tblStyleColBandSize w:val="1"/>
      <w:tblCellMar>
        <w:left w:w="115" w:type="dxa"/>
        <w:right w:w="115" w:type="dxa"/>
      </w:tblCellMar>
    </w:tblPr>
  </w:style>
  <w:style w:type="table" w:customStyle="1" w:styleId="af">
    <w:basedOn w:val="TableNormal"/>
    <w:tblPr>
      <w:tblStyleRowBandSize w:val="1"/>
      <w:tblStyleColBandSize w:val="1"/>
      <w:tblCellMar>
        <w:left w:w="115" w:type="dxa"/>
        <w:right w:w="115" w:type="dxa"/>
      </w:tblCellMar>
    </w:tblPr>
  </w:style>
  <w:style w:type="table" w:customStyle="1" w:styleId="af0">
    <w:basedOn w:val="TableNormal"/>
    <w:pPr>
      <w:spacing w:after="0" w:line="240" w:lineRule="auto"/>
    </w:pPr>
    <w:rPr>
      <w:rFonts w:ascii="Times New Roman" w:eastAsia="Times New Roman" w:hAnsi="Times New Roman" w:cs="Times New Roman"/>
      <w:sz w:val="20"/>
      <w:szCs w:val="20"/>
    </w:rPr>
    <w:tblPr>
      <w:tblStyleRowBandSize w:val="1"/>
      <w:tblStyleColBandSize w:val="1"/>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table" w:customStyle="1" w:styleId="af3">
    <w:basedOn w:val="TableNormal"/>
    <w:tblPr>
      <w:tblStyleRowBandSize w:val="1"/>
      <w:tblStyleColBandSize w:val="1"/>
      <w:tblCellMar>
        <w:left w:w="115" w:type="dxa"/>
        <w:right w:w="115" w:type="dxa"/>
      </w:tblCellMar>
    </w:tblPr>
  </w:style>
  <w:style w:type="table" w:customStyle="1" w:styleId="af4">
    <w:basedOn w:val="TableNormal"/>
    <w:tblPr>
      <w:tblStyleRowBandSize w:val="1"/>
      <w:tblStyleColBandSize w:val="1"/>
      <w:tblCellMar>
        <w:left w:w="115" w:type="dxa"/>
        <w:right w:w="115" w:type="dxa"/>
      </w:tblCellMar>
    </w:tblPr>
  </w:style>
  <w:style w:type="table" w:customStyle="1" w:styleId="af5">
    <w:basedOn w:val="TableNormal"/>
    <w:tblPr>
      <w:tblStyleRowBandSize w:val="1"/>
      <w:tblStyleColBandSize w:val="1"/>
      <w:tblCellMar>
        <w:left w:w="115" w:type="dxa"/>
        <w:right w:w="115" w:type="dxa"/>
      </w:tblCellMar>
    </w:tblPr>
  </w:style>
  <w:style w:type="paragraph" w:styleId="TOC1">
    <w:name w:val="toc 1"/>
    <w:basedOn w:val="Normal"/>
    <w:next w:val="Normal"/>
    <w:autoRedefine/>
    <w:uiPriority w:val="39"/>
    <w:unhideWhenUsed/>
    <w:rsid w:val="008471E6"/>
    <w:pPr>
      <w:tabs>
        <w:tab w:val="right" w:pos="9350"/>
      </w:tabs>
      <w:spacing w:after="100"/>
    </w:pPr>
  </w:style>
  <w:style w:type="paragraph" w:styleId="TOCHeading">
    <w:name w:val="TOC Heading"/>
    <w:basedOn w:val="Heading1"/>
    <w:next w:val="Normal"/>
    <w:uiPriority w:val="39"/>
    <w:unhideWhenUsed/>
    <w:qFormat/>
    <w:rsid w:val="00F27EEA"/>
    <w:pPr>
      <w:spacing w:before="240" w:after="0" w:line="259" w:lineRule="auto"/>
      <w:outlineLvl w:val="9"/>
    </w:pPr>
    <w:rPr>
      <w:rFonts w:asciiTheme="majorHAnsi" w:eastAsiaTheme="majorEastAsia" w:hAnsiTheme="majorHAnsi" w:cstheme="majorBidi"/>
      <w:b w:val="0"/>
      <w:color w:val="2F5496" w:themeColor="accent1" w:themeShade="BF"/>
      <w:sz w:val="32"/>
      <w:szCs w:val="32"/>
    </w:rPr>
  </w:style>
  <w:style w:type="paragraph" w:styleId="TOC2">
    <w:name w:val="toc 2"/>
    <w:basedOn w:val="Normal"/>
    <w:next w:val="Normal"/>
    <w:autoRedefine/>
    <w:uiPriority w:val="39"/>
    <w:unhideWhenUsed/>
    <w:rsid w:val="00F27EEA"/>
    <w:pPr>
      <w:spacing w:after="100" w:line="259" w:lineRule="auto"/>
      <w:ind w:left="220"/>
    </w:pPr>
    <w:rPr>
      <w:rFonts w:asciiTheme="minorHAnsi" w:eastAsiaTheme="minorEastAsia" w:hAnsiTheme="minorHAnsi" w:cs="Times New Roman"/>
    </w:rPr>
  </w:style>
  <w:style w:type="paragraph" w:styleId="TOC3">
    <w:name w:val="toc 3"/>
    <w:basedOn w:val="Normal"/>
    <w:next w:val="Normal"/>
    <w:autoRedefine/>
    <w:uiPriority w:val="39"/>
    <w:unhideWhenUsed/>
    <w:rsid w:val="00F27EEA"/>
    <w:pPr>
      <w:spacing w:after="100" w:line="259" w:lineRule="auto"/>
      <w:ind w:left="440"/>
    </w:pPr>
    <w:rPr>
      <w:rFonts w:asciiTheme="minorHAnsi" w:eastAsiaTheme="minorEastAsia" w:hAnsiTheme="minorHAnsi" w:cs="Times New Roman"/>
    </w:rPr>
  </w:style>
  <w:style w:type="table" w:customStyle="1" w:styleId="af6">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7">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8">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9">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a">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b">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c">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d">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e">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0">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1">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2">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3">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4">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5">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6">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7">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8">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9">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a">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b">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c">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d">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e">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f">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f0">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f1">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f2">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f3">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f4">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f5">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f6">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f7">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f8">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f9">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fa">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fb">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fc">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fd">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fe">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ff">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ff0">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ff1">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ff2">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ff3">
    <w:basedOn w:val="TableNormal"/>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bmchealthservres.biomedcentral.com/articles/10.1186/s12913-019-4571-6" TargetMode="External"/><Relationship Id="rId21" Type="http://schemas.openxmlformats.org/officeDocument/2006/relationships/header" Target="header4.xml"/><Relationship Id="rId42" Type="http://schemas.openxmlformats.org/officeDocument/2006/relationships/hyperlink" Target="tel:(+6349)%20536-6001%20to%2006%20local%20821,%20333" TargetMode="External"/><Relationship Id="rId63" Type="http://schemas.openxmlformats.org/officeDocument/2006/relationships/hyperlink" Target="https://www.cdc.gov/policy/polaris/healthtopics/highbloodpressure/index.html" TargetMode="External"/><Relationship Id="rId84" Type="http://schemas.openxmlformats.org/officeDocument/2006/relationships/hyperlink" Target="https://www.jstage.jst.go.jp/article/jhep/42/4/42_450/_article" TargetMode="External"/><Relationship Id="rId138" Type="http://schemas.openxmlformats.org/officeDocument/2006/relationships/hyperlink" Target="https://www.ncbi.nlm.nih.gov/pmc/articles/PMC7803069/" TargetMode="External"/><Relationship Id="rId159" Type="http://schemas.openxmlformats.org/officeDocument/2006/relationships/hyperlink" Target="https://psa.gov.ph/sites/default/files/phdsd/PH_SDGWatch_Goal04.pdf" TargetMode="External"/><Relationship Id="rId170" Type="http://schemas.openxmlformats.org/officeDocument/2006/relationships/hyperlink" Target="https://www.ncbi.nlm.nih.gov/pmc/articles/PMC5058882/" TargetMode="External"/><Relationship Id="rId191" Type="http://schemas.openxmlformats.org/officeDocument/2006/relationships/hyperlink" Target="https://www.ncbi.nlm.nih.gov/pmc/articles/PMC9126056/" TargetMode="External"/><Relationship Id="rId205" Type="http://schemas.openxmlformats.org/officeDocument/2006/relationships/hyperlink" Target="https://jamanetwork.com/journals/jamainternalmedicine/fullarticle/191123" TargetMode="External"/><Relationship Id="rId226" Type="http://schemas.openxmlformats.org/officeDocument/2006/relationships/image" Target="media/image9.jpg"/><Relationship Id="rId107" Type="http://schemas.openxmlformats.org/officeDocument/2006/relationships/hyperlink" Target="https://dx.doi.org/10.4103%2F0253-7176.116232" TargetMode="External"/><Relationship Id="rId11" Type="http://schemas.openxmlformats.org/officeDocument/2006/relationships/header" Target="header1.xml"/><Relationship Id="rId32" Type="http://schemas.openxmlformats.org/officeDocument/2006/relationships/header" Target="header8.xml"/><Relationship Id="rId53" Type="http://schemas.openxmlformats.org/officeDocument/2006/relationships/hyperlink" Target="https://epirhandbook.com/en/index.html" TargetMode="External"/><Relationship Id="rId74" Type="http://schemas.openxmlformats.org/officeDocument/2006/relationships/hyperlink" Target="https://dx.doi.org/10.14744/AnatolJCardiol.2017.7452" TargetMode="External"/><Relationship Id="rId128" Type="http://schemas.openxmlformats.org/officeDocument/2006/relationships/hyperlink" Target="https://www.ncbi.nlm.nih.gov/pmc/articles/PMC8707038/" TargetMode="External"/><Relationship Id="rId149" Type="http://schemas.openxmlformats.org/officeDocument/2006/relationships/hyperlink" Target="http://rssoncr.psa.gov.ph/article/2015-census-population-final-results-pateros" TargetMode="External"/><Relationship Id="rId5" Type="http://schemas.openxmlformats.org/officeDocument/2006/relationships/settings" Target="settings.xml"/><Relationship Id="rId95" Type="http://schemas.openxmlformats.org/officeDocument/2006/relationships/hyperlink" Target="https://doi.org/10.1111/jch.14431" TargetMode="External"/><Relationship Id="rId160" Type="http://schemas.openxmlformats.org/officeDocument/2006/relationships/hyperlink" Target="https://psa.gov.ph/sites/default/files/2021%20Full%20Year%20Official%20Poverty%20Statistics%20Tables_f.xlsx" TargetMode="External"/><Relationship Id="rId181" Type="http://schemas.openxmlformats.org/officeDocument/2006/relationships/hyperlink" Target="https://pubmed.ncbi.nlm.nih.gov/25843827/" TargetMode="External"/><Relationship Id="rId216" Type="http://schemas.openxmlformats.org/officeDocument/2006/relationships/hyperlink" Target="https://score.tools.who.int/fileadmin/uploads/score/Documents/Survey_populations_and_health_risks/STEPs/STEPS%20Question%20by%20Question%20Guide.pdf" TargetMode="External"/><Relationship Id="rId237" Type="http://schemas.openxmlformats.org/officeDocument/2006/relationships/theme" Target="theme/theme1.xml"/><Relationship Id="rId22" Type="http://schemas.openxmlformats.org/officeDocument/2006/relationships/footer" Target="footer7.xml"/><Relationship Id="rId43" Type="http://schemas.openxmlformats.org/officeDocument/2006/relationships/hyperlink" Target="https://www.statista.com/statistics/455910/urbanization-in-philippines/" TargetMode="External"/><Relationship Id="rId64" Type="http://schemas.openxmlformats.org/officeDocument/2006/relationships/hyperlink" Target="https://www.cdc.gov/healthliteracy/learn/index.html" TargetMode="External"/><Relationship Id="rId118" Type="http://schemas.openxmlformats.org/officeDocument/2006/relationships/hyperlink" Target="https://www.ncbi.nlm.nih.gov/pmc/articles/PMC2517973/" TargetMode="External"/><Relationship Id="rId139" Type="http://schemas.openxmlformats.org/officeDocument/2006/relationships/hyperlink" Target="https://doi.org/10.3928%2F24748307-20170307-02" TargetMode="External"/><Relationship Id="rId85" Type="http://schemas.openxmlformats.org/officeDocument/2006/relationships/hyperlink" Target="https://www.sciencedirect.com/science/article/pii/S2352013217302971" TargetMode="External"/><Relationship Id="rId150" Type="http://schemas.openxmlformats.org/officeDocument/2006/relationships/hyperlink" Target="https://dhsprogram.com/pubs/pdf/FR347/FR347.pdf" TargetMode="External"/><Relationship Id="rId171" Type="http://schemas.openxmlformats.org/officeDocument/2006/relationships/hyperlink" Target="https://doi.org/10.1093/heapro/16.2.207" TargetMode="External"/><Relationship Id="rId192" Type="http://schemas.openxmlformats.org/officeDocument/2006/relationships/hyperlink" Target="https://stats.stackexchange.com/q/410154" TargetMode="External"/><Relationship Id="rId206" Type="http://schemas.openxmlformats.org/officeDocument/2006/relationships/hyperlink" Target="https://www.who.int/nmh/ncd-tools/indicators/GMF_Indicator_Definitions_Version_NOV2014.pdf" TargetMode="External"/><Relationship Id="rId227" Type="http://schemas.openxmlformats.org/officeDocument/2006/relationships/image" Target="media/image10.jpg"/><Relationship Id="rId12" Type="http://schemas.openxmlformats.org/officeDocument/2006/relationships/footer" Target="footer1.xml"/><Relationship Id="rId33" Type="http://schemas.openxmlformats.org/officeDocument/2006/relationships/footer" Target="footer14.xml"/><Relationship Id="rId108" Type="http://schemas.openxmlformats.org/officeDocument/2006/relationships/hyperlink" Target="https://www.ncbi.nlm.nih.gov/pmc/articles/PMC3775042/" TargetMode="External"/><Relationship Id="rId129" Type="http://schemas.openxmlformats.org/officeDocument/2006/relationships/hyperlink" Target="https://bmcpublichealth.biomedcentral.com/articles/10.1186/s12889-020-09165-8" TargetMode="External"/><Relationship Id="rId54" Type="http://schemas.openxmlformats.org/officeDocument/2006/relationships/hyperlink" Target="https://doi.org/10.1155/2018/6959165" TargetMode="External"/><Relationship Id="rId75" Type="http://schemas.openxmlformats.org/officeDocument/2006/relationships/hyperlink" Target="https://www.sciencedirect.com/science/article/abs/pii/S0277953611002401" TargetMode="External"/><Relationship Id="rId96" Type="http://schemas.openxmlformats.org/officeDocument/2006/relationships/hyperlink" Target="https://onlinelibrary.wiley.com/doi/10.1111/jch.14431" TargetMode="External"/><Relationship Id="rId140" Type="http://schemas.openxmlformats.org/officeDocument/2006/relationships/hyperlink" Target="https://www.pewresearch.org/social-trends/2018/05/22/demographic-and-economic-trends-in-urban-suburban-and-rural-communities/" TargetMode="External"/><Relationship Id="rId161" Type="http://schemas.openxmlformats.org/officeDocument/2006/relationships/hyperlink" Target="https://psa.gov.ph/sites/default/files/2021%20Full%20Year%20Official%20Poverty%20Statistics%20Tables_f.xlsx" TargetMode="External"/><Relationship Id="rId182" Type="http://schemas.openxmlformats.org/officeDocument/2006/relationships/hyperlink" Target="https://doi.org/10.1590/S0104-11692007000300022" TargetMode="External"/><Relationship Id="rId217" Type="http://schemas.openxmlformats.org/officeDocument/2006/relationships/hyperlink" Target="https://www.who.int/news-room/fact-sheets/detail/noncommunicable-diseases" TargetMode="External"/><Relationship Id="rId6" Type="http://schemas.openxmlformats.org/officeDocument/2006/relationships/webSettings" Target="webSettings.xml"/><Relationship Id="rId23" Type="http://schemas.openxmlformats.org/officeDocument/2006/relationships/footer" Target="footer8.xml"/><Relationship Id="rId119" Type="http://schemas.openxmlformats.org/officeDocument/2006/relationships/hyperlink" Target="https://www.ncbi.nlm.nih.gov/pmc/articles/PMC3364500/" TargetMode="External"/><Relationship Id="rId44" Type="http://schemas.openxmlformats.org/officeDocument/2006/relationships/hyperlink" Target="https://www.ncbi.nlm.nih.gov/pmc/articles/PMC7303647/" TargetMode="External"/><Relationship Id="rId65" Type="http://schemas.openxmlformats.org/officeDocument/2006/relationships/hyperlink" Target="https://wwwn.cdc.gov/Nchs/Data/Nhanes/2011-2012/Questionnaires/bpq.pdf" TargetMode="External"/><Relationship Id="rId86" Type="http://schemas.openxmlformats.org/officeDocument/2006/relationships/hyperlink" Target="https://doi.org/10.1007/s12197-020-09525-5" TargetMode="External"/><Relationship Id="rId130" Type="http://schemas.openxmlformats.org/officeDocument/2006/relationships/hyperlink" Target="https://www.ncbi.nlm.nih.gov/pmc/articles/PMC7224587/" TargetMode="External"/><Relationship Id="rId151" Type="http://schemas.openxmlformats.org/officeDocument/2006/relationships/hyperlink" Target="https://psa.gov.ph/sites/default/files/2019-FLEMMS-Final-Report_Signed_FULL%20VERSION_15%20January%202021rev.pdf" TargetMode="External"/><Relationship Id="rId172" Type="http://schemas.openxmlformats.org/officeDocument/2006/relationships/hyperlink" Target="https://doi.org/10.2196/43342" TargetMode="External"/><Relationship Id="rId193" Type="http://schemas.openxmlformats.org/officeDocument/2006/relationships/hyperlink" Target="https://stats.stackexchange.com/users/249106/xisco-bernal-tortosa" TargetMode="External"/><Relationship Id="rId207" Type="http://schemas.openxmlformats.org/officeDocument/2006/relationships/hyperlink" Target="https://www.who.int/health-topics/hypertension/" TargetMode="External"/><Relationship Id="rId228" Type="http://schemas.openxmlformats.org/officeDocument/2006/relationships/image" Target="media/image11.jpg"/><Relationship Id="rId13" Type="http://schemas.openxmlformats.org/officeDocument/2006/relationships/footer" Target="footer2.xml"/><Relationship Id="rId109" Type="http://schemas.openxmlformats.org/officeDocument/2006/relationships/hyperlink" Target="https://doi.org/10.15406/bbij.2016.04.00100" TargetMode="External"/><Relationship Id="rId34" Type="http://schemas.openxmlformats.org/officeDocument/2006/relationships/header" Target="header9.xml"/><Relationship Id="rId55" Type="http://schemas.openxmlformats.org/officeDocument/2006/relationships/hyperlink" Target="https://www.hindawi.com/journals/ijhy/2018/6959165/" TargetMode="External"/><Relationship Id="rId76" Type="http://schemas.openxmlformats.org/officeDocument/2006/relationships/hyperlink" Target="https://www.ncbi.nlm.nih.gov/pmc/articles/PMC5500949/" TargetMode="External"/><Relationship Id="rId97" Type="http://schemas.openxmlformats.org/officeDocument/2006/relationships/hyperlink" Target="https://www.ahajournals.org/doi/10.1161/HYPERTENSIONAHA.122.19861" TargetMode="External"/><Relationship Id="rId120" Type="http://schemas.openxmlformats.org/officeDocument/2006/relationships/hyperlink" Target="https://doi.org/10.1186/s12913-019-4465-7" TargetMode="External"/><Relationship Id="rId141" Type="http://schemas.openxmlformats.org/officeDocument/2006/relationships/hyperlink" Target="https://scholarworks.iu.edu/dspace/bitstream/handle/2022/24498/FSSE17_Internal_Consistency_Reliability.pdf?sequence=1&amp;isAllowed=y" TargetMode="External"/><Relationship Id="rId7" Type="http://schemas.openxmlformats.org/officeDocument/2006/relationships/footnotes" Target="footnotes.xml"/><Relationship Id="rId162" Type="http://schemas.openxmlformats.org/officeDocument/2006/relationships/hyperlink" Target="https://psa.gov.ph/population-and-housing/node/167692" TargetMode="External"/><Relationship Id="rId183" Type="http://schemas.openxmlformats.org/officeDocument/2006/relationships/hyperlink" Target="https://www.webmd.com/covid/coronavirus-high-blood-pressure" TargetMode="External"/><Relationship Id="rId218" Type="http://schemas.openxmlformats.org/officeDocument/2006/relationships/hyperlink" Target="https://www.who.int/news-room/fact-sheets/detail/hypertension" TargetMode="External"/><Relationship Id="rId24" Type="http://schemas.openxmlformats.org/officeDocument/2006/relationships/header" Target="header5.xml"/><Relationship Id="rId45" Type="http://schemas.openxmlformats.org/officeDocument/2006/relationships/hyperlink" Target="https://www.atlantis-press.com/article/125970594.pdf" TargetMode="External"/><Relationship Id="rId66" Type="http://schemas.openxmlformats.org/officeDocument/2006/relationships/hyperlink" Target="https://www.ncbi.nlm.nih.gov/pmc/articles/PMC7926608/" TargetMode="External"/><Relationship Id="rId87" Type="http://schemas.openxmlformats.org/officeDocument/2006/relationships/hyperlink" Target="https://www.alnap.org/system/files/content/resource/files/main/finite.pdf" TargetMode="External"/><Relationship Id="rId110" Type="http://schemas.openxmlformats.org/officeDocument/2006/relationships/hyperlink" Target="https://medcraveonline.com/BBIJ/the-level-of-collapse-we-are-allowed-comparison-of-different-response-scales-in-safety-attitudes-questionnaire.html" TargetMode="External"/><Relationship Id="rId131" Type="http://schemas.openxmlformats.org/officeDocument/2006/relationships/hyperlink" Target="https://doi.org/10.1186/s12889-015-1835-x" TargetMode="External"/><Relationship Id="rId152" Type="http://schemas.openxmlformats.org/officeDocument/2006/relationships/hyperlink" Target="https://scholar.google.com/scholar_lookup?journal=2019+FLEMMS:+functional+literacy,+education+and+mass+media+survey&amp;publication_year=2019&amp;" TargetMode="External"/><Relationship Id="rId173" Type="http://schemas.openxmlformats.org/officeDocument/2006/relationships/hyperlink" Target="https://www.ncbi.nlm.nih.gov/pubmed/37018027" TargetMode="External"/><Relationship Id="rId194" Type="http://schemas.openxmlformats.org/officeDocument/2006/relationships/hyperlink" Target="https://doi.org/10.1371/journal.pone.0260919" TargetMode="External"/><Relationship Id="rId208" Type="http://schemas.openxmlformats.org/officeDocument/2006/relationships/hyperlink" Target="https://www.who.int/healthpromotion/about/HPR%20Glossary%201998.pdf?ua=1" TargetMode="External"/><Relationship Id="rId229" Type="http://schemas.openxmlformats.org/officeDocument/2006/relationships/hyperlink" Target="https://1drv.ms/w/s!AkVzLxrZ8RUyhPxKbwF0DjrOpS7Msg?e=opIIaQ" TargetMode="External"/><Relationship Id="rId14" Type="http://schemas.openxmlformats.org/officeDocument/2006/relationships/image" Target="media/image3.jpg"/><Relationship Id="rId35" Type="http://schemas.openxmlformats.org/officeDocument/2006/relationships/footer" Target="footer15.xml"/><Relationship Id="rId56" Type="http://schemas.openxmlformats.org/officeDocument/2006/relationships/hyperlink" Target="https://ajph.aphapublications.org/doi/abs/10.2105/AJPH.92.8.1278" TargetMode="External"/><Relationship Id="rId77" Type="http://schemas.openxmlformats.org/officeDocument/2006/relationships/hyperlink" Target="https://extranet.who.int/ncdccs/Data/PHL_D1_PHIL%20PEN.pdf" TargetMode="External"/><Relationship Id="rId100" Type="http://schemas.openxmlformats.org/officeDocument/2006/relationships/hyperlink" Target="https://hpi.georgetown.edu/healthlit/" TargetMode="External"/><Relationship Id="rId8" Type="http://schemas.openxmlformats.org/officeDocument/2006/relationships/endnotes" Target="endnotes.xml"/><Relationship Id="rId98" Type="http://schemas.openxmlformats.org/officeDocument/2006/relationships/hyperlink" Target="https://doi.org/10.1161/HYPERTENSIONAHA.111.189100" TargetMode="External"/><Relationship Id="rId121" Type="http://schemas.openxmlformats.org/officeDocument/2006/relationships/hyperlink" Target="https://link.springer.com/article/10.1007/s40615-018-00550-z" TargetMode="External"/><Relationship Id="rId142" Type="http://schemas.openxmlformats.org/officeDocument/2006/relationships/hyperlink" Target="https://www.doh.gov.ph/sites/default/files/publications/17th-National-Health-Research-Forum-for-Action.pdf" TargetMode="External"/><Relationship Id="rId163" Type="http://schemas.openxmlformats.org/officeDocument/2006/relationships/hyperlink" Target="http://pcup.gov.ph/index.php/facts-and-figures/the-pcup-client-the-urban-poor" TargetMode="External"/><Relationship Id="rId184" Type="http://schemas.openxmlformats.org/officeDocument/2006/relationships/hyperlink" Target="https://www.spss-tutorials.com/spss-shapiro-wilk-test-for-normality/" TargetMode="External"/><Relationship Id="rId219" Type="http://schemas.openxmlformats.org/officeDocument/2006/relationships/hyperlink" Target="https://www.who.int/news-room/fact-sheets/detail/hypertension" TargetMode="External"/><Relationship Id="rId230" Type="http://schemas.openxmlformats.org/officeDocument/2006/relationships/hyperlink" Target="https://ee.kobotoolbox.org/x/IYbriDUP" TargetMode="External"/><Relationship Id="rId25" Type="http://schemas.openxmlformats.org/officeDocument/2006/relationships/footer" Target="footer9.xml"/><Relationship Id="rId46" Type="http://schemas.openxmlformats.org/officeDocument/2006/relationships/hyperlink" Target="https://actamedicaphilippina.upm.edu.ph/index.php/acta/article/download/397/358/" TargetMode="External"/><Relationship Id="rId67" Type="http://schemas.openxmlformats.org/officeDocument/2006/relationships/hyperlink" Target="https://psa.gov.ph/poverty-press-releases/nid/167972" TargetMode="External"/><Relationship Id="rId88" Type="http://schemas.openxmlformats.org/officeDocument/2006/relationships/hyperlink" Target="https://doi.org/10.1038/s41440-021-00784-1" TargetMode="External"/><Relationship Id="rId111" Type="http://schemas.openxmlformats.org/officeDocument/2006/relationships/hyperlink" Target="https://research-methodology.net/sampling-in-primary-data-collection/purposive-sampling/" TargetMode="External"/><Relationship Id="rId132" Type="http://schemas.openxmlformats.org/officeDocument/2006/relationships/hyperlink" Target="https://bmcpublichealth.biomedcentral.com/articles/10.1186/s12889-015-1835-x" TargetMode="External"/><Relationship Id="rId153" Type="http://schemas.openxmlformats.org/officeDocument/2006/relationships/hyperlink" Target="https://www.ncbi.nlm.nih.gov/pmc/articles/PMC9126056/" TargetMode="External"/><Relationship Id="rId174" Type="http://schemas.openxmlformats.org/officeDocument/2006/relationships/hyperlink" Target="https://www.jmir.org/2023/1/e43342" TargetMode="External"/><Relationship Id="rId195" Type="http://schemas.openxmlformats.org/officeDocument/2006/relationships/hyperlink" Target="https://www.ahajournals.org/doi/10.1161/HYPERTENSIONAHA.120.15026" TargetMode="External"/><Relationship Id="rId209" Type="http://schemas.openxmlformats.org/officeDocument/2006/relationships/hyperlink" Target="https://healthworkerpreparedness.files.wordpress.com/2015/05/trainersguide.pdf" TargetMode="External"/><Relationship Id="rId190" Type="http://schemas.openxmlformats.org/officeDocument/2006/relationships/hyperlink" Target="https://doi.org/10.3928%2F24748307-20220419-01" TargetMode="External"/><Relationship Id="rId204" Type="http://schemas.openxmlformats.org/officeDocument/2006/relationships/hyperlink" Target="https://journals.plos.org/plosone/article?id=10.1371/journal.pone.0195340" TargetMode="External"/><Relationship Id="rId220" Type="http://schemas.openxmlformats.org/officeDocument/2006/relationships/hyperlink" Target="https://www.who.int/publications/i/item/9789240009226" TargetMode="External"/><Relationship Id="rId225" Type="http://schemas.openxmlformats.org/officeDocument/2006/relationships/image" Target="media/image8.jpg"/><Relationship Id="rId15" Type="http://schemas.openxmlformats.org/officeDocument/2006/relationships/header" Target="header2.xml"/><Relationship Id="rId36" Type="http://schemas.openxmlformats.org/officeDocument/2006/relationships/header" Target="header10.xml"/><Relationship Id="rId57" Type="http://schemas.openxmlformats.org/officeDocument/2006/relationships/hyperlink" Target="https://ajph.aphapublications.org/doi/abs/10.2105/AJPH.92.8.1278" TargetMode="External"/><Relationship Id="rId106" Type="http://schemas.openxmlformats.org/officeDocument/2006/relationships/hyperlink" Target="https://www.ncbi.nlm.nih.gov/pmc/articles/PMC3775042/" TargetMode="External"/><Relationship Id="rId127" Type="http://schemas.openxmlformats.org/officeDocument/2006/relationships/hyperlink" Target="https://www.hindawi.com/journals/ijhy/2010/410794/" TargetMode="External"/><Relationship Id="rId10" Type="http://schemas.openxmlformats.org/officeDocument/2006/relationships/image" Target="media/image2.jpg"/><Relationship Id="rId31" Type="http://schemas.openxmlformats.org/officeDocument/2006/relationships/footer" Target="footer13.xml"/><Relationship Id="rId52" Type="http://schemas.openxmlformats.org/officeDocument/2006/relationships/hyperlink" Target="https://doi.org/10.1038/s41371-021-00486-8" TargetMode="External"/><Relationship Id="rId73" Type="http://schemas.openxmlformats.org/officeDocument/2006/relationships/hyperlink" Target="https://www.ncbi.nlm.nih.gov/pmc/articles/PMC5512197/" TargetMode="External"/><Relationship Id="rId78" Type="http://schemas.openxmlformats.org/officeDocument/2006/relationships/hyperlink" Target="https://doh.gov.ph/sites/default/files/publications/2019PHS_Final_092121.pdf" TargetMode="External"/><Relationship Id="rId94" Type="http://schemas.openxmlformats.org/officeDocument/2006/relationships/hyperlink" Target="https://www.ncbi.nlm.nih.gov/pubmed/31420029" TargetMode="External"/><Relationship Id="rId99" Type="http://schemas.openxmlformats.org/officeDocument/2006/relationships/hyperlink" Target="https://www.sciencedirect.com/science/article/abs/pii/S0738399114004133?via%3Dihub" TargetMode="External"/><Relationship Id="rId101" Type="http://schemas.openxmlformats.org/officeDocument/2006/relationships/hyperlink" Target="https://www.ncbi.nlm.nih.gov/pmc/articles/PMC6391993/" TargetMode="External"/><Relationship Id="rId122" Type="http://schemas.openxmlformats.org/officeDocument/2006/relationships/hyperlink" Target="http://ijomeh.eu/Non-communicable-diseases-in-the-asia-pacific-region-prevalence-risk-factors-and-community-based-prevention,1929,0,2.html" TargetMode="External"/><Relationship Id="rId143" Type="http://schemas.openxmlformats.org/officeDocument/2006/relationships/hyperlink" Target="https://www.doh.gov.ph/sites/default/files/publications/2016_PHILIPPINE-HEALTH-STATISTICS.pdf" TargetMode="External"/><Relationship Id="rId148" Type="http://schemas.openxmlformats.org/officeDocument/2006/relationships/hyperlink" Target="https://psa.gov.ph/content/highlights-household-population-number-households-and-average-household-size-philippines" TargetMode="External"/><Relationship Id="rId164" Type="http://schemas.openxmlformats.org/officeDocument/2006/relationships/hyperlink" Target="https://journals.plos.org/plosone/article?id=10.1371/journal.pone.0254988" TargetMode="External"/><Relationship Id="rId169" Type="http://schemas.openxmlformats.org/officeDocument/2006/relationships/hyperlink" Target="https://www.frontiersin.org/articles/10.3389/fpubh.2022.798797/full" TargetMode="External"/><Relationship Id="rId185" Type="http://schemas.openxmlformats.org/officeDocument/2006/relationships/hyperlink" Target="https://www.statista.com/statistics/578779/age-structure-in-philippines/" TargetMode="External"/><Relationship Id="rId4" Type="http://schemas.openxmlformats.org/officeDocument/2006/relationships/styles" Target="styles.xml"/><Relationship Id="rId9" Type="http://schemas.openxmlformats.org/officeDocument/2006/relationships/image" Target="media/image1.png"/><Relationship Id="rId180" Type="http://schemas.openxmlformats.org/officeDocument/2006/relationships/hyperlink" Target="https://bmcpublichealth.biomedcentral.com/articles/10.1186/s12889-023-15716-6" TargetMode="External"/><Relationship Id="rId210" Type="http://schemas.openxmlformats.org/officeDocument/2006/relationships/hyperlink" Target="https://www.who.int/healthinfo/global_burden_disease/GlobalHealthRisks_report_full.pdf?ua=1&amp;ua=1" TargetMode="External"/><Relationship Id="rId215" Type="http://schemas.openxmlformats.org/officeDocument/2006/relationships/hyperlink" Target="https://apps.who.int/iris/bitstream/handle/10665/43376/9241593830_eng.pdf?sequence=1%26isAllowed=y" TargetMode="External"/><Relationship Id="rId236" Type="http://schemas.openxmlformats.org/officeDocument/2006/relationships/fontTable" Target="fontTable.xml"/><Relationship Id="rId26" Type="http://schemas.openxmlformats.org/officeDocument/2006/relationships/header" Target="header6.xml"/><Relationship Id="rId231" Type="http://schemas.openxmlformats.org/officeDocument/2006/relationships/image" Target="media/image12.png"/><Relationship Id="rId47" Type="http://schemas.openxmlformats.org/officeDocument/2006/relationships/hyperlink" Target="http://www.adb.org/sites/default/files/publication/179758/adbi-wp556.pdf" TargetMode="External"/><Relationship Id="rId68" Type="http://schemas.openxmlformats.org/officeDocument/2006/relationships/hyperlink" Target="https://doi.org/10.1093/ajh/hpab011" TargetMode="External"/><Relationship Id="rId89" Type="http://schemas.openxmlformats.org/officeDocument/2006/relationships/hyperlink" Target="https://www.nature.com/articles/s41440-021-00784-1" TargetMode="External"/><Relationship Id="rId112" Type="http://schemas.openxmlformats.org/officeDocument/2006/relationships/hyperlink" Target="https://link.springer.com/article/10.1007/s11135-017-0584-6" TargetMode="External"/><Relationship Id="rId133" Type="http://schemas.openxmlformats.org/officeDocument/2006/relationships/hyperlink" Target="https://www.nnc.gov.ph/40-10-kumainments/2510-managing-hypertension" TargetMode="External"/><Relationship Id="rId154" Type="http://schemas.openxmlformats.org/officeDocument/2006/relationships/hyperlink" Target="http://www.psa.gov.ph/poverty-press-releases/nid/138411" TargetMode="External"/><Relationship Id="rId175" Type="http://schemas.openxmlformats.org/officeDocument/2006/relationships/hyperlink" Target="https://www.ncbi.nlm.nih.gov/pubmed/28303441" TargetMode="External"/><Relationship Id="rId196" Type="http://schemas.openxmlformats.org/officeDocument/2006/relationships/hyperlink" Target="https://www.unitedhealthgroup.com/content/dam/UHG/PDF/About/Health-Literacy-Brief.pdf" TargetMode="External"/><Relationship Id="rId200" Type="http://schemas.openxmlformats.org/officeDocument/2006/relationships/hyperlink" Target="http://www.undp.org/content/undp/en/home/sustainable-development-goals/goal-11-sustainable-cities-and-communities.html" TargetMode="External"/><Relationship Id="rId16" Type="http://schemas.openxmlformats.org/officeDocument/2006/relationships/footer" Target="footer3.xml"/><Relationship Id="rId221" Type="http://schemas.openxmlformats.org/officeDocument/2006/relationships/image" Target="media/image6.png"/><Relationship Id="rId37" Type="http://schemas.openxmlformats.org/officeDocument/2006/relationships/footer" Target="footer16.xml"/><Relationship Id="rId58" Type="http://schemas.openxmlformats.org/officeDocument/2006/relationships/hyperlink" Target="https://ajph.aphapublications.org/doi/10.2105/ajph.92.8.1278?url_ver=Z39.88-2003&amp;rfr_id=ori%3Arid%3Acrossref.org&amp;rfr_dat=cr_pub++0pubmed" TargetMode="External"/><Relationship Id="rId79" Type="http://schemas.openxmlformats.org/officeDocument/2006/relationships/hyperlink" Target="https://doi.org/10.1093/eurheartj/suab061" TargetMode="External"/><Relationship Id="rId102" Type="http://schemas.openxmlformats.org/officeDocument/2006/relationships/hyperlink" Target="http://www.health-literacy.eu" TargetMode="External"/><Relationship Id="rId123" Type="http://schemas.openxmlformats.org/officeDocument/2006/relationships/hyperlink" Target="https://bmcpublichealth.biomedcentral.com/articles/10.1186/s12889-020-09947-0" TargetMode="External"/><Relationship Id="rId144" Type="http://schemas.openxmlformats.org/officeDocument/2006/relationships/hyperlink" Target="https://pidswebs.pids.gov.ph/CDN/PUBLICATIONS/pidspn1818.pdf" TargetMode="External"/><Relationship Id="rId90" Type="http://schemas.openxmlformats.org/officeDocument/2006/relationships/hyperlink" Target="https://www.fnri.dost.gov.ph/images//sources/eNNS2018/Adults_and_Elderly.pdf" TargetMode="External"/><Relationship Id="rId165" Type="http://schemas.openxmlformats.org/officeDocument/2006/relationships/hyperlink" Target="https://www.r-project.org/" TargetMode="External"/><Relationship Id="rId186" Type="http://schemas.openxmlformats.org/officeDocument/2006/relationships/hyperlink" Target="https://jech.bmj.com/content/jech/76/5/451.full.pdf" TargetMode="External"/><Relationship Id="rId211" Type="http://schemas.openxmlformats.org/officeDocument/2006/relationships/hyperlink" Target="https://apps.who.int/iris/bitstream/handle/10665/79061/9789241500784_eng.pdf?sequence=1&amp;isAllowed=y" TargetMode="External"/><Relationship Id="rId232" Type="http://schemas.openxmlformats.org/officeDocument/2006/relationships/image" Target="media/image13.png"/><Relationship Id="rId27" Type="http://schemas.openxmlformats.org/officeDocument/2006/relationships/footer" Target="footer10.xml"/><Relationship Id="rId48" Type="http://schemas.openxmlformats.org/officeDocument/2006/relationships/hyperlink" Target="https://www.ncbi.nlm.nih.gov/pubmed/25369353" TargetMode="External"/><Relationship Id="rId69" Type="http://schemas.openxmlformats.org/officeDocument/2006/relationships/hyperlink" Target="https://doi.org/10.1007/s11906-022-01183-8" TargetMode="External"/><Relationship Id="rId113" Type="http://schemas.openxmlformats.org/officeDocument/2006/relationships/hyperlink" Target="https://www.ncbi.nlm.nih.gov/pmc/articles/PMC7710228/" TargetMode="External"/><Relationship Id="rId134" Type="http://schemas.openxmlformats.org/officeDocument/2006/relationships/hyperlink" Target="https://www.ncbi.nlm.nih.gov/pubmed/18952344" TargetMode="External"/><Relationship Id="rId80" Type="http://schemas.openxmlformats.org/officeDocument/2006/relationships/hyperlink" Target="https://academic.oup.com/eurheartjsupp/article/23/Supplement_B/B120/6279139" TargetMode="External"/><Relationship Id="rId155" Type="http://schemas.openxmlformats.org/officeDocument/2006/relationships/hyperlink" Target="https://psa.gov.ph/sites/default/files/2018%20NMS%20Final%20Report.pdf" TargetMode="External"/><Relationship Id="rId176" Type="http://schemas.openxmlformats.org/officeDocument/2006/relationships/hyperlink" Target="https://doi.org/10.1038/s41440-022-01134-5" TargetMode="External"/><Relationship Id="rId197" Type="http://schemas.openxmlformats.org/officeDocument/2006/relationships/hyperlink" Target="https://www.un.org/millenniumgoals/2015_MDG_Report/pdf/MDG%202015%20rev%20(July%201).pdf" TargetMode="External"/><Relationship Id="rId201" Type="http://schemas.openxmlformats.org/officeDocument/2006/relationships/hyperlink" Target="https://doi.org/10.1080/02640414.2021.1939964" TargetMode="External"/><Relationship Id="rId222" Type="http://schemas.openxmlformats.org/officeDocument/2006/relationships/header" Target="header11.xml"/><Relationship Id="rId17" Type="http://schemas.openxmlformats.org/officeDocument/2006/relationships/header" Target="header3.xml"/><Relationship Id="rId38" Type="http://schemas.openxmlformats.org/officeDocument/2006/relationships/image" Target="media/image4.png"/><Relationship Id="rId59" Type="http://schemas.openxmlformats.org/officeDocument/2006/relationships/hyperlink" Target="https://www.sciencedirect.com/science/article/pii/S187704281301608X" TargetMode="External"/><Relationship Id="rId103" Type="http://schemas.openxmlformats.org/officeDocument/2006/relationships/hyperlink" Target="https://cdn1.sph.harvard.edu/wp-content/uploads/sites/135/2015/09/neu_rev_hls-eu_report_2015_05_13_lit.pdf" TargetMode="External"/><Relationship Id="rId124" Type="http://schemas.openxmlformats.org/officeDocument/2006/relationships/hyperlink" Target="https://www.ncbi.nlm.nih.gov/pmc/articles/PMC4102336/" TargetMode="External"/><Relationship Id="rId70" Type="http://schemas.openxmlformats.org/officeDocument/2006/relationships/hyperlink" Target="https://link.springer.com/article/10.1007/s11906-022-01183-8" TargetMode="External"/><Relationship Id="rId91" Type="http://schemas.openxmlformats.org/officeDocument/2006/relationships/hyperlink" Target="https://www.fnri.dost.gov.ph/images//sources/eNNS2018/Adults_and_Elderly.pdf" TargetMode="External"/><Relationship Id="rId145" Type="http://schemas.openxmlformats.org/officeDocument/2006/relationships/hyperlink" Target="https://psa.gov.ph/sites/default/files/Philippines%20NDHS%20KIR.pdf" TargetMode="External"/><Relationship Id="rId166" Type="http://schemas.openxmlformats.org/officeDocument/2006/relationships/hyperlink" Target="https://www.ncbi.nlm.nih.gov/pubmed/10982012" TargetMode="External"/><Relationship Id="rId187" Type="http://schemas.openxmlformats.org/officeDocument/2006/relationships/hyperlink" Target="https://impact.economist.com/perspectives/sites/default/files/lon_-_es_-_health_literacy_paper_v8_0.pdf" TargetMode="External"/><Relationship Id="rId1" Type="http://schemas.openxmlformats.org/officeDocument/2006/relationships/customXml" Target="../customXml/item1.xml"/><Relationship Id="rId212" Type="http://schemas.openxmlformats.org/officeDocument/2006/relationships/hyperlink" Target="https://www.who.int/ncds/management/Manual_of_Procedures_on_WHO_PEN_PHL.pdf" TargetMode="External"/><Relationship Id="rId233" Type="http://schemas.openxmlformats.org/officeDocument/2006/relationships/hyperlink" Target="https://1drv.ms/x/s!AkVzLxrZ8RUyh-cPi9wskmlF7xu_hw?e=EnRANh" TargetMode="External"/><Relationship Id="rId28" Type="http://schemas.openxmlformats.org/officeDocument/2006/relationships/footer" Target="footer11.xml"/><Relationship Id="rId49" Type="http://schemas.openxmlformats.org/officeDocument/2006/relationships/hyperlink" Target="https://www.sciencedirect.com/science/article/pii/S0033350614001954?via%3Dihub" TargetMode="External"/><Relationship Id="rId114" Type="http://schemas.openxmlformats.org/officeDocument/2006/relationships/hyperlink" Target="https://www.ncbi.nlm.nih.gov/pmc/articles/PMC8160950/" TargetMode="External"/><Relationship Id="rId60" Type="http://schemas.openxmlformats.org/officeDocument/2006/relationships/hyperlink" Target="https://www.scribbr.com/statistics/confidence-interval/" TargetMode="External"/><Relationship Id="rId81" Type="http://schemas.openxmlformats.org/officeDocument/2006/relationships/hyperlink" Target="http://citeseerx.ist.psu.edu/viewdoc/download?doi=10.1.1.726.6237&amp;rep=rep1&amp;type=pdf" TargetMode="External"/><Relationship Id="rId135" Type="http://schemas.openxmlformats.org/officeDocument/2006/relationships/hyperlink" Target="https://academic.oup.com/heapro/article/15/3/259/551108" TargetMode="External"/><Relationship Id="rId156" Type="http://schemas.openxmlformats.org/officeDocument/2006/relationships/hyperlink" Target="http://rssocar.psa.gov.ph/population/2018%20National%20Migration%20Survey%3A%20Migration%20Experiences%20of%20Filipinos" TargetMode="External"/><Relationship Id="rId177" Type="http://schemas.openxmlformats.org/officeDocument/2006/relationships/hyperlink" Target="https://www.nature.com/articles/s41440-022-01134-5" TargetMode="External"/><Relationship Id="rId198" Type="http://schemas.openxmlformats.org/officeDocument/2006/relationships/hyperlink" Target="https://population.un.org/wup/DataQuery/" TargetMode="External"/><Relationship Id="rId202" Type="http://schemas.openxmlformats.org/officeDocument/2006/relationships/hyperlink" Target="https://www.ncbi.nlm.nih.gov/pmc/articles/PMC5808538/" TargetMode="External"/><Relationship Id="rId223" Type="http://schemas.openxmlformats.org/officeDocument/2006/relationships/footer" Target="footer17.xml"/><Relationship Id="rId18" Type="http://schemas.openxmlformats.org/officeDocument/2006/relationships/footer" Target="footer4.xml"/><Relationship Id="rId39" Type="http://schemas.openxmlformats.org/officeDocument/2006/relationships/image" Target="media/image5.png"/><Relationship Id="rId50" Type="http://schemas.openxmlformats.org/officeDocument/2006/relationships/hyperlink" Target="https://doi.org/10.1093/ckj/sfac235" TargetMode="External"/><Relationship Id="rId104" Type="http://schemas.openxmlformats.org/officeDocument/2006/relationships/hyperlink" Target="https://www.ncbi.nlm.nih.gov/pmc/articles/PMC7864622/" TargetMode="External"/><Relationship Id="rId125" Type="http://schemas.openxmlformats.org/officeDocument/2006/relationships/hyperlink" Target="https://dx.doi.org/10.1161%2FCIRCULATIONAHA.115.018912" TargetMode="External"/><Relationship Id="rId146" Type="http://schemas.openxmlformats.org/officeDocument/2006/relationships/hyperlink" Target="https://psa.gov.ph/sites/default/files/attachments/hsd/pressrelease/Table4_9.pdf" TargetMode="External"/><Relationship Id="rId167" Type="http://schemas.openxmlformats.org/officeDocument/2006/relationships/hyperlink" Target="https://www.ncbi.nlm.nih.gov/pmc/articles/PMC3549254/" TargetMode="External"/><Relationship Id="rId188" Type="http://schemas.openxmlformats.org/officeDocument/2006/relationships/hyperlink" Target="https://www.ncbi.nlm.nih.gov/pmc/articles/PMC8141385/" TargetMode="External"/><Relationship Id="rId71" Type="http://schemas.openxmlformats.org/officeDocument/2006/relationships/hyperlink" Target="https://cpbrd.congress.gov.ph/images/PDF%20Attachments/Facts%20in%20Figures/FF2022-20_Demographic_Profile_of_Poor_Households_in_the_Philippines.pdf" TargetMode="External"/><Relationship Id="rId92" Type="http://schemas.openxmlformats.org/officeDocument/2006/relationships/hyperlink" Target="https://www.cdc.gov/nchs/products/databriefs/db289.htm" TargetMode="External"/><Relationship Id="rId213" Type="http://schemas.openxmlformats.org/officeDocument/2006/relationships/hyperlink" Target="http://www.wpro.who.int/philippines/areas/health_systems/financing/philippines_health_system_review.pdf" TargetMode="External"/><Relationship Id="rId234" Type="http://schemas.openxmlformats.org/officeDocument/2006/relationships/hyperlink" Target="https://1drv.ms/u/s!AkVzLxrZ8RUyh-cOpEvGF2d4-m2TXA?e=HHgYFz" TargetMode="External"/><Relationship Id="rId2" Type="http://schemas.openxmlformats.org/officeDocument/2006/relationships/customXml" Target="../customXml/item2.xml"/><Relationship Id="rId29" Type="http://schemas.openxmlformats.org/officeDocument/2006/relationships/footer" Target="footer12.xml"/><Relationship Id="rId40" Type="http://schemas.openxmlformats.org/officeDocument/2006/relationships/hyperlink" Target="mailto:dmihpc@upou.edu.ph" TargetMode="External"/><Relationship Id="rId115" Type="http://schemas.openxmlformats.org/officeDocument/2006/relationships/hyperlink" Target="https://www.ncbi.nlm.nih.gov/pmc/articles/PMC5455324/" TargetMode="External"/><Relationship Id="rId136" Type="http://schemas.openxmlformats.org/officeDocument/2006/relationships/hyperlink" Target="https://www.healthypeople.gov/2020/topics-objectives/topic/social-determinants-of-health" TargetMode="External"/><Relationship Id="rId157" Type="http://schemas.openxmlformats.org/officeDocument/2006/relationships/hyperlink" Target="https://doi.org/10.3389/fpsyg.2020.02201" TargetMode="External"/><Relationship Id="rId178" Type="http://schemas.openxmlformats.org/officeDocument/2006/relationships/hyperlink" Target="https://asean-endocrinejournal.org/index.php/JAFES/article/view/595/html" TargetMode="External"/><Relationship Id="rId61" Type="http://schemas.openxmlformats.org/officeDocument/2006/relationships/hyperlink" Target="https://doi.org/10.1186/s12889-020-8421-6" TargetMode="External"/><Relationship Id="rId82" Type="http://schemas.openxmlformats.org/officeDocument/2006/relationships/hyperlink" Target="https://pubmed.ncbi.nlm.nih.gov/22214743/" TargetMode="External"/><Relationship Id="rId199" Type="http://schemas.openxmlformats.org/officeDocument/2006/relationships/hyperlink" Target="https://unhabitat.org/philippines" TargetMode="External"/><Relationship Id="rId203" Type="http://schemas.openxmlformats.org/officeDocument/2006/relationships/hyperlink" Target="https://doi.org/10.1371/journal.pone.0195340" TargetMode="External"/><Relationship Id="rId19" Type="http://schemas.openxmlformats.org/officeDocument/2006/relationships/footer" Target="footer5.xml"/><Relationship Id="rId224" Type="http://schemas.openxmlformats.org/officeDocument/2006/relationships/image" Target="media/image7.png"/><Relationship Id="rId30" Type="http://schemas.openxmlformats.org/officeDocument/2006/relationships/header" Target="header7.xml"/><Relationship Id="rId105" Type="http://schemas.openxmlformats.org/officeDocument/2006/relationships/hyperlink" Target="https://bmcprimcare.biomedcentral.com/articles/10.1186/1471-2296-14-40" TargetMode="External"/><Relationship Id="rId126" Type="http://schemas.openxmlformats.org/officeDocument/2006/relationships/hyperlink" Target="https://www.ncbi.nlm.nih.gov/pmc/articles/PMC4979614/" TargetMode="External"/><Relationship Id="rId147" Type="http://schemas.openxmlformats.org/officeDocument/2006/relationships/hyperlink" Target="https://psa.gov.ph/content/literacy-men-and-women-philippines-results-2008-functional-literacy-education-and-mass-media" TargetMode="External"/><Relationship Id="rId168" Type="http://schemas.openxmlformats.org/officeDocument/2006/relationships/hyperlink" Target="https://www.ncbi.nlm.nih.gov/pmc/articles/PMC6191248/" TargetMode="External"/><Relationship Id="rId51" Type="http://schemas.openxmlformats.org/officeDocument/2006/relationships/hyperlink" Target="https://academic.oup.com/ckj/article/16/4/619/6779690" TargetMode="External"/><Relationship Id="rId72" Type="http://schemas.openxmlformats.org/officeDocument/2006/relationships/hyperlink" Target="https://www.literacyworldwide.org/blog/literacy-daily/2015/08/06/literacy-in-the-philippines-the-stories-behind-the-numbers" TargetMode="External"/><Relationship Id="rId93" Type="http://schemas.openxmlformats.org/officeDocument/2006/relationships/hyperlink" Target="https://doi.org/10.1111/jsbm.12169" TargetMode="External"/><Relationship Id="rId189" Type="http://schemas.openxmlformats.org/officeDocument/2006/relationships/hyperlink" Target="https://bmcpublichealth.biomedcentral.com/articles/10.1186/s12889-015-2210-7" TargetMode="External"/><Relationship Id="rId3" Type="http://schemas.openxmlformats.org/officeDocument/2006/relationships/numbering" Target="numbering.xml"/><Relationship Id="rId214" Type="http://schemas.openxmlformats.org/officeDocument/2006/relationships/hyperlink" Target="https://apps.who.int/iris/bitstream/handle/10665/128038/9789241507509_eng.pdf?sequence=1" TargetMode="External"/><Relationship Id="rId235" Type="http://schemas.openxmlformats.org/officeDocument/2006/relationships/header" Target="header12.xml"/><Relationship Id="rId116" Type="http://schemas.openxmlformats.org/officeDocument/2006/relationships/hyperlink" Target="https://www.ncbi.nlm.nih.gov/pmc/articles/PMC7504386/" TargetMode="External"/><Relationship Id="rId137" Type="http://schemas.openxmlformats.org/officeDocument/2006/relationships/hyperlink" Target="https://bmcpublichealth.biomedcentral.com/articles/10.1186/1471-2458-13-658" TargetMode="External"/><Relationship Id="rId158" Type="http://schemas.openxmlformats.org/officeDocument/2006/relationships/hyperlink" Target="https://www.frontiersin.org/articles/10.3389/fpsyg.2020.02201/full" TargetMode="External"/><Relationship Id="rId20" Type="http://schemas.openxmlformats.org/officeDocument/2006/relationships/footer" Target="footer6.xml"/><Relationship Id="rId41" Type="http://schemas.openxmlformats.org/officeDocument/2006/relationships/hyperlink" Target="mailto:mdoruga@up.edu.ph" TargetMode="External"/><Relationship Id="rId62" Type="http://schemas.openxmlformats.org/officeDocument/2006/relationships/hyperlink" Target="https://bookdown.org/danieljcarter/r4steph/" TargetMode="External"/><Relationship Id="rId83" Type="http://schemas.openxmlformats.org/officeDocument/2006/relationships/hyperlink" Target="https://academic.oup.com/heapro/article/15/3/259/551108" TargetMode="External"/><Relationship Id="rId179" Type="http://schemas.openxmlformats.org/officeDocument/2006/relationships/hyperlink" Target="https://doi.org/10.1186/s12889-023-15716-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i9pXsq+Co1/hFngRT5omb/cMOC7A==">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</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58403C43-2C2C-439B-805D-6C575F41DA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842</TotalTime>
  <Pages>125</Pages>
  <Words>30145</Words>
  <Characters>171833</Characters>
  <Application>Microsoft Office Word</Application>
  <DocSecurity>0</DocSecurity>
  <Lines>1431</Lines>
  <Paragraphs>403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201575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Rammell Eric Martinez</dc:creator>
  <cp:lastModifiedBy>Noreen Dianne Alazada</cp:lastModifiedBy>
  <cp:revision>53</cp:revision>
  <dcterms:created xsi:type="dcterms:W3CDTF">2023-11-27T10:52:00Z</dcterms:created>
  <dcterms:modified xsi:type="dcterms:W3CDTF">2023-11-29T07:28:00Z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21f85893ccb0d0471ebbc1ad873007abd0622ad89f16391ca7bca41e1cdadeb4</vt:lpwstr>
  </property>
</Properties>
</file>