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70C7E" w14:textId="77777777" w:rsidR="007C6854" w:rsidRDefault="00E0219E">
      <w:pPr>
        <w:spacing w:after="160" w:line="259" w:lineRule="auto"/>
        <w:jc w:val="center"/>
        <w:rPr>
          <w:rFonts w:eastAsia="Arial" w:cs="Arial"/>
          <w:b/>
          <w:color w:val="000000"/>
          <w:szCs w:val="24"/>
        </w:rPr>
      </w:pPr>
      <w:r>
        <w:rPr>
          <w:rFonts w:eastAsia="Arial" w:cs="Arial"/>
          <w:noProof/>
        </w:rPr>
        <w:drawing>
          <wp:inline distT="0" distB="0" distL="0" distR="0" wp14:anchorId="40102BA1" wp14:editId="47669295">
            <wp:extent cx="1134576" cy="1049605"/>
            <wp:effectExtent l="0" t="0" r="0" b="0"/>
            <wp:docPr id="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134576" cy="1049605"/>
                    </a:xfrm>
                    <a:prstGeom prst="rect">
                      <a:avLst/>
                    </a:prstGeom>
                    <a:ln/>
                  </pic:spPr>
                </pic:pic>
              </a:graphicData>
            </a:graphic>
          </wp:inline>
        </w:drawing>
      </w:r>
    </w:p>
    <w:p w14:paraId="6666E8DB" w14:textId="77777777" w:rsidR="007C6854" w:rsidRDefault="00E0219E">
      <w:pPr>
        <w:spacing w:after="0" w:line="259" w:lineRule="auto"/>
        <w:jc w:val="center"/>
        <w:rPr>
          <w:rFonts w:eastAsia="Arial" w:cs="Arial"/>
          <w:b/>
          <w:color w:val="000000"/>
          <w:szCs w:val="24"/>
        </w:rPr>
      </w:pPr>
      <w:r>
        <w:rPr>
          <w:rFonts w:eastAsia="Arial" w:cs="Arial"/>
          <w:b/>
          <w:szCs w:val="24"/>
        </w:rPr>
        <w:t>UNIVERSITY OF THE PHILIPPINES</w:t>
      </w:r>
      <w:r>
        <w:rPr>
          <w:rFonts w:eastAsia="Arial" w:cs="Arial"/>
          <w:b/>
          <w:color w:val="000000"/>
          <w:szCs w:val="24"/>
        </w:rPr>
        <w:t xml:space="preserve"> </w:t>
      </w:r>
    </w:p>
    <w:p w14:paraId="15000469" w14:textId="77777777" w:rsidR="007C6854" w:rsidRDefault="00E0219E">
      <w:pPr>
        <w:spacing w:after="0" w:line="259" w:lineRule="auto"/>
        <w:jc w:val="center"/>
        <w:rPr>
          <w:rFonts w:eastAsia="Arial" w:cs="Arial"/>
          <w:b/>
          <w:color w:val="000000"/>
          <w:szCs w:val="24"/>
        </w:rPr>
      </w:pPr>
      <w:r>
        <w:rPr>
          <w:rFonts w:eastAsia="Arial" w:cs="Arial"/>
          <w:b/>
          <w:szCs w:val="24"/>
        </w:rPr>
        <w:t>OPEN UNIVERSITY</w:t>
      </w:r>
    </w:p>
    <w:p w14:paraId="3CB5FB60" w14:textId="77777777" w:rsidR="007C6854" w:rsidRDefault="007C6854">
      <w:pPr>
        <w:spacing w:after="160" w:line="259" w:lineRule="auto"/>
        <w:jc w:val="center"/>
        <w:rPr>
          <w:rFonts w:eastAsia="Arial" w:cs="Arial"/>
          <w:b/>
          <w:color w:val="000000"/>
          <w:szCs w:val="24"/>
        </w:rPr>
      </w:pPr>
    </w:p>
    <w:p w14:paraId="2C795370" w14:textId="77777777" w:rsidR="007C6854" w:rsidRDefault="00E0219E">
      <w:pPr>
        <w:spacing w:after="160" w:line="259" w:lineRule="auto"/>
        <w:jc w:val="center"/>
        <w:rPr>
          <w:rFonts w:eastAsia="Arial" w:cs="Arial"/>
          <w:b/>
          <w:color w:val="000000"/>
          <w:szCs w:val="24"/>
        </w:rPr>
      </w:pPr>
      <w:r>
        <w:rPr>
          <w:rFonts w:eastAsia="Arial" w:cs="Arial"/>
          <w:b/>
          <w:szCs w:val="24"/>
        </w:rPr>
        <w:t>MASTER OF INTERNATIONAL HEALTH</w:t>
      </w:r>
    </w:p>
    <w:p w14:paraId="4582C70E" w14:textId="77777777" w:rsidR="007C6854" w:rsidRDefault="007C6854">
      <w:pPr>
        <w:spacing w:after="160" w:line="259" w:lineRule="auto"/>
        <w:jc w:val="center"/>
        <w:rPr>
          <w:rFonts w:eastAsia="Arial" w:cs="Arial"/>
          <w:b/>
          <w:color w:val="000000"/>
          <w:szCs w:val="24"/>
        </w:rPr>
      </w:pPr>
    </w:p>
    <w:p w14:paraId="451B35FC" w14:textId="77777777" w:rsidR="007C6854" w:rsidRDefault="00E0219E">
      <w:pPr>
        <w:spacing w:after="160" w:line="259" w:lineRule="auto"/>
        <w:jc w:val="center"/>
        <w:rPr>
          <w:rFonts w:eastAsia="Arial" w:cs="Arial"/>
          <w:b/>
          <w:szCs w:val="24"/>
        </w:rPr>
      </w:pPr>
      <w:r>
        <w:rPr>
          <w:rFonts w:eastAsia="Arial" w:cs="Arial"/>
          <w:b/>
          <w:szCs w:val="24"/>
        </w:rPr>
        <w:t>RAMMELL ERIC C. MARTINEZ</w:t>
      </w:r>
    </w:p>
    <w:p w14:paraId="3FF2CC7A" w14:textId="77777777" w:rsidR="007C6854" w:rsidRDefault="007C6854">
      <w:pPr>
        <w:spacing w:after="160" w:line="259" w:lineRule="auto"/>
        <w:jc w:val="center"/>
        <w:rPr>
          <w:rFonts w:eastAsia="Arial" w:cs="Arial"/>
          <w:b/>
          <w:szCs w:val="24"/>
        </w:rPr>
      </w:pPr>
    </w:p>
    <w:p w14:paraId="609B4C8B" w14:textId="77777777" w:rsidR="007C6854" w:rsidRDefault="00E0219E">
      <w:pPr>
        <w:spacing w:after="160" w:line="259" w:lineRule="auto"/>
        <w:jc w:val="center"/>
        <w:rPr>
          <w:rFonts w:eastAsia="Arial" w:cs="Arial"/>
          <w:b/>
          <w:szCs w:val="24"/>
        </w:rPr>
      </w:pPr>
      <w:r>
        <w:rPr>
          <w:rFonts w:eastAsia="Arial" w:cs="Arial"/>
          <w:b/>
          <w:szCs w:val="24"/>
        </w:rPr>
        <w:t>A DESCRIPTIVE-CORRELATIONAL STUDY OF HEALTH LITERACY AMONG URBAN POOR SETTLERS WITH HYPERTENSION</w:t>
      </w:r>
    </w:p>
    <w:p w14:paraId="40D463BC" w14:textId="77777777" w:rsidR="007C6854" w:rsidRDefault="007C6854">
      <w:pPr>
        <w:spacing w:after="160" w:line="259" w:lineRule="auto"/>
        <w:jc w:val="center"/>
        <w:rPr>
          <w:rFonts w:eastAsia="Arial" w:cs="Arial"/>
          <w:b/>
          <w:color w:val="000000"/>
          <w:szCs w:val="24"/>
        </w:rPr>
      </w:pPr>
    </w:p>
    <w:p w14:paraId="2F030B13" w14:textId="77777777" w:rsidR="007C6854" w:rsidRDefault="00E0219E">
      <w:pPr>
        <w:pBdr>
          <w:top w:val="nil"/>
          <w:left w:val="nil"/>
          <w:bottom w:val="nil"/>
          <w:right w:val="nil"/>
          <w:between w:val="nil"/>
        </w:pBdr>
        <w:spacing w:after="0" w:line="360" w:lineRule="auto"/>
        <w:jc w:val="center"/>
        <w:rPr>
          <w:rFonts w:eastAsia="Arial" w:cs="Arial"/>
          <w:color w:val="000000"/>
          <w:szCs w:val="24"/>
        </w:rPr>
      </w:pPr>
      <w:r>
        <w:rPr>
          <w:rFonts w:eastAsia="Arial" w:cs="Arial"/>
          <w:color w:val="000000"/>
          <w:szCs w:val="24"/>
        </w:rPr>
        <w:t>Thesis Adviser:</w:t>
      </w:r>
    </w:p>
    <w:p w14:paraId="22CCA156" w14:textId="77777777" w:rsidR="007C6854" w:rsidRDefault="007C6854">
      <w:pPr>
        <w:pBdr>
          <w:top w:val="nil"/>
          <w:left w:val="nil"/>
          <w:bottom w:val="nil"/>
          <w:right w:val="nil"/>
          <w:between w:val="nil"/>
        </w:pBdr>
        <w:spacing w:after="0" w:line="360" w:lineRule="auto"/>
        <w:jc w:val="center"/>
        <w:rPr>
          <w:rFonts w:eastAsia="Arial" w:cs="Arial"/>
          <w:szCs w:val="24"/>
        </w:rPr>
      </w:pPr>
    </w:p>
    <w:p w14:paraId="1F561405" w14:textId="77777777" w:rsidR="007C6854" w:rsidRDefault="00E0219E">
      <w:pPr>
        <w:pBdr>
          <w:top w:val="nil"/>
          <w:left w:val="nil"/>
          <w:bottom w:val="nil"/>
          <w:right w:val="nil"/>
          <w:between w:val="nil"/>
        </w:pBdr>
        <w:spacing w:after="0" w:line="240" w:lineRule="auto"/>
        <w:jc w:val="center"/>
        <w:rPr>
          <w:rFonts w:eastAsia="Arial" w:cs="Arial"/>
          <w:b/>
          <w:color w:val="000000"/>
          <w:szCs w:val="24"/>
        </w:rPr>
      </w:pPr>
      <w:r>
        <w:rPr>
          <w:rFonts w:eastAsia="Arial" w:cs="Arial"/>
          <w:b/>
          <w:szCs w:val="24"/>
        </w:rPr>
        <w:t>MYRA D. ORUGA, MPH, PhD</w:t>
      </w:r>
    </w:p>
    <w:p w14:paraId="444ACB00" w14:textId="77777777" w:rsidR="007C6854" w:rsidRDefault="00E0219E">
      <w:pPr>
        <w:pBdr>
          <w:top w:val="nil"/>
          <w:left w:val="nil"/>
          <w:bottom w:val="nil"/>
          <w:right w:val="nil"/>
          <w:between w:val="nil"/>
        </w:pBdr>
        <w:spacing w:after="0" w:line="240" w:lineRule="auto"/>
        <w:jc w:val="center"/>
        <w:rPr>
          <w:rFonts w:eastAsia="Arial" w:cs="Arial"/>
          <w:b/>
          <w:color w:val="000000"/>
          <w:szCs w:val="24"/>
        </w:rPr>
      </w:pPr>
      <w:r>
        <w:rPr>
          <w:rFonts w:eastAsia="Arial" w:cs="Arial"/>
          <w:b/>
          <w:color w:val="000000"/>
          <w:szCs w:val="24"/>
        </w:rPr>
        <w:t>Faculty of Management and Development Studies</w:t>
      </w:r>
    </w:p>
    <w:p w14:paraId="045A87E9" w14:textId="77777777" w:rsidR="007C6854" w:rsidRDefault="007C6854">
      <w:pPr>
        <w:pBdr>
          <w:top w:val="nil"/>
          <w:left w:val="nil"/>
          <w:bottom w:val="nil"/>
          <w:right w:val="nil"/>
          <w:between w:val="nil"/>
        </w:pBdr>
        <w:spacing w:after="160" w:line="360" w:lineRule="auto"/>
        <w:rPr>
          <w:rFonts w:eastAsia="Arial" w:cs="Arial"/>
          <w:b/>
          <w:szCs w:val="24"/>
        </w:rPr>
      </w:pPr>
    </w:p>
    <w:p w14:paraId="201C9F02" w14:textId="77777777" w:rsidR="007C6854" w:rsidRDefault="007C6854">
      <w:pPr>
        <w:pBdr>
          <w:top w:val="nil"/>
          <w:left w:val="nil"/>
          <w:bottom w:val="nil"/>
          <w:right w:val="nil"/>
          <w:between w:val="nil"/>
        </w:pBdr>
        <w:spacing w:after="0" w:line="240" w:lineRule="auto"/>
        <w:jc w:val="center"/>
        <w:rPr>
          <w:rFonts w:eastAsia="Arial" w:cs="Arial"/>
          <w:b/>
          <w:color w:val="000000"/>
          <w:szCs w:val="24"/>
        </w:rPr>
      </w:pPr>
    </w:p>
    <w:p w14:paraId="050CCD65" w14:textId="77777777" w:rsidR="007C6854" w:rsidRDefault="00E0219E">
      <w:pPr>
        <w:pBdr>
          <w:top w:val="nil"/>
          <w:left w:val="nil"/>
          <w:bottom w:val="nil"/>
          <w:right w:val="nil"/>
          <w:between w:val="nil"/>
        </w:pBdr>
        <w:spacing w:after="0" w:line="240" w:lineRule="auto"/>
        <w:jc w:val="center"/>
        <w:rPr>
          <w:rFonts w:eastAsia="Arial" w:cs="Arial"/>
          <w:b/>
          <w:color w:val="000000"/>
          <w:szCs w:val="24"/>
        </w:rPr>
      </w:pPr>
      <w:r>
        <w:rPr>
          <w:rFonts w:eastAsia="Arial" w:cs="Arial"/>
          <w:b/>
          <w:color w:val="000000"/>
          <w:szCs w:val="24"/>
        </w:rPr>
        <w:t>10 October 2023</w:t>
      </w:r>
    </w:p>
    <w:p w14:paraId="573061F9" w14:textId="77777777" w:rsidR="007C6854" w:rsidRDefault="007C6854">
      <w:pPr>
        <w:pBdr>
          <w:top w:val="nil"/>
          <w:left w:val="nil"/>
          <w:bottom w:val="nil"/>
          <w:right w:val="nil"/>
          <w:between w:val="nil"/>
        </w:pBdr>
        <w:spacing w:after="0" w:line="240" w:lineRule="auto"/>
        <w:jc w:val="center"/>
        <w:rPr>
          <w:rFonts w:eastAsia="Arial" w:cs="Arial"/>
          <w:b/>
          <w:color w:val="000000"/>
          <w:szCs w:val="24"/>
        </w:rPr>
      </w:pPr>
    </w:p>
    <w:p w14:paraId="762B75D4" w14:textId="77777777" w:rsidR="007C6854" w:rsidRDefault="007C6854">
      <w:pPr>
        <w:pBdr>
          <w:top w:val="nil"/>
          <w:left w:val="nil"/>
          <w:bottom w:val="nil"/>
          <w:right w:val="nil"/>
          <w:between w:val="nil"/>
        </w:pBdr>
        <w:spacing w:after="0" w:line="240" w:lineRule="auto"/>
        <w:jc w:val="center"/>
        <w:rPr>
          <w:rFonts w:eastAsia="Arial" w:cs="Arial"/>
          <w:b/>
          <w:color w:val="000000"/>
          <w:szCs w:val="24"/>
        </w:rPr>
      </w:pPr>
    </w:p>
    <w:p w14:paraId="7C544730" w14:textId="77777777" w:rsidR="007C6854" w:rsidRDefault="00E0219E">
      <w:pPr>
        <w:pBdr>
          <w:top w:val="nil"/>
          <w:left w:val="nil"/>
          <w:bottom w:val="nil"/>
          <w:right w:val="nil"/>
          <w:between w:val="nil"/>
        </w:pBdr>
        <w:spacing w:after="0" w:line="240" w:lineRule="auto"/>
        <w:jc w:val="center"/>
        <w:rPr>
          <w:rFonts w:eastAsia="Arial" w:cs="Arial"/>
          <w:color w:val="000000"/>
          <w:szCs w:val="24"/>
        </w:rPr>
      </w:pPr>
      <w:r>
        <w:rPr>
          <w:rFonts w:eastAsia="Arial" w:cs="Arial"/>
          <w:szCs w:val="24"/>
        </w:rPr>
        <w:t>Permission is given for the following people to have access to this thesis, subject to the provisions of applicable laws, the provisions of the UP IPR policy, and any contractual obligations:</w:t>
      </w:r>
    </w:p>
    <w:p w14:paraId="483C0256" w14:textId="77777777" w:rsidR="007C6854" w:rsidRDefault="007C6854">
      <w:pPr>
        <w:pBdr>
          <w:top w:val="nil"/>
          <w:left w:val="nil"/>
          <w:bottom w:val="nil"/>
          <w:right w:val="nil"/>
          <w:between w:val="nil"/>
        </w:pBdr>
        <w:spacing w:after="0" w:line="240" w:lineRule="auto"/>
        <w:jc w:val="center"/>
        <w:rPr>
          <w:rFonts w:eastAsia="Arial" w:cs="Arial"/>
          <w:color w:val="000000"/>
          <w:szCs w:val="24"/>
        </w:rPr>
      </w:pPr>
    </w:p>
    <w:tbl>
      <w:tblPr>
        <w:tblStyle w:val="affd"/>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5325"/>
      </w:tblGrid>
      <w:tr w:rsidR="007C6854" w14:paraId="70D3841A" w14:textId="77777777">
        <w:tc>
          <w:tcPr>
            <w:tcW w:w="4935" w:type="dxa"/>
          </w:tcPr>
          <w:p w14:paraId="4132677F" w14:textId="77777777" w:rsidR="007C6854" w:rsidRDefault="00E0219E">
            <w:pPr>
              <w:rPr>
                <w:rFonts w:eastAsia="Arial" w:cs="Arial"/>
                <w:color w:val="000000"/>
                <w:szCs w:val="24"/>
              </w:rPr>
            </w:pPr>
            <w:r>
              <w:rPr>
                <w:rFonts w:eastAsia="Arial" w:cs="Arial"/>
                <w:szCs w:val="24"/>
              </w:rPr>
              <w:t>Invention (I)</w:t>
            </w:r>
          </w:p>
        </w:tc>
        <w:tc>
          <w:tcPr>
            <w:tcW w:w="5325" w:type="dxa"/>
          </w:tcPr>
          <w:p w14:paraId="45B94D33" w14:textId="77777777" w:rsidR="007C6854" w:rsidRDefault="00000000">
            <w:pPr>
              <w:jc w:val="center"/>
              <w:rPr>
                <w:rFonts w:eastAsia="Arial" w:cs="Arial"/>
                <w:color w:val="000000"/>
                <w:szCs w:val="24"/>
              </w:rPr>
            </w:pPr>
            <w:sdt>
              <w:sdtPr>
                <w:tag w:val="goog_rdk_0"/>
                <w:id w:val="1058274454"/>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Yes   or  </w:t>
            </w:r>
            <w:sdt>
              <w:sdtPr>
                <w:tag w:val="goog_rdk_1"/>
                <w:id w:val="2011406144"/>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No</w:t>
            </w:r>
          </w:p>
        </w:tc>
      </w:tr>
      <w:tr w:rsidR="007C6854" w14:paraId="3AB742FB" w14:textId="77777777">
        <w:tc>
          <w:tcPr>
            <w:tcW w:w="4935" w:type="dxa"/>
          </w:tcPr>
          <w:p w14:paraId="7D7FCCD5" w14:textId="77777777" w:rsidR="007C6854" w:rsidRDefault="00E0219E">
            <w:pPr>
              <w:rPr>
                <w:rFonts w:eastAsia="Arial" w:cs="Arial"/>
                <w:color w:val="000000"/>
                <w:szCs w:val="24"/>
              </w:rPr>
            </w:pPr>
            <w:r>
              <w:rPr>
                <w:rFonts w:eastAsia="Arial" w:cs="Arial"/>
                <w:szCs w:val="24"/>
              </w:rPr>
              <w:t>Publication (P)</w:t>
            </w:r>
          </w:p>
        </w:tc>
        <w:tc>
          <w:tcPr>
            <w:tcW w:w="5325" w:type="dxa"/>
          </w:tcPr>
          <w:p w14:paraId="2AE1FD18" w14:textId="77777777" w:rsidR="007C6854" w:rsidRDefault="00000000">
            <w:pPr>
              <w:jc w:val="center"/>
              <w:rPr>
                <w:rFonts w:eastAsia="Arial" w:cs="Arial"/>
                <w:color w:val="000000"/>
                <w:szCs w:val="24"/>
              </w:rPr>
            </w:pPr>
            <w:sdt>
              <w:sdtPr>
                <w:tag w:val="goog_rdk_2"/>
                <w:id w:val="-1250194796"/>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Yes   or  </w:t>
            </w:r>
            <w:sdt>
              <w:sdtPr>
                <w:tag w:val="goog_rdk_3"/>
                <w:id w:val="-1576122325"/>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No</w:t>
            </w:r>
          </w:p>
        </w:tc>
      </w:tr>
      <w:tr w:rsidR="007C6854" w14:paraId="2C5FFAE3" w14:textId="77777777">
        <w:tc>
          <w:tcPr>
            <w:tcW w:w="4935" w:type="dxa"/>
          </w:tcPr>
          <w:p w14:paraId="2391790B" w14:textId="77777777" w:rsidR="007C6854" w:rsidRDefault="00E0219E">
            <w:pPr>
              <w:rPr>
                <w:rFonts w:eastAsia="Arial" w:cs="Arial"/>
                <w:color w:val="000000"/>
                <w:szCs w:val="24"/>
              </w:rPr>
            </w:pPr>
            <w:r>
              <w:rPr>
                <w:rFonts w:eastAsia="Arial" w:cs="Arial"/>
                <w:szCs w:val="24"/>
              </w:rPr>
              <w:t>Confidential (C)</w:t>
            </w:r>
          </w:p>
        </w:tc>
        <w:tc>
          <w:tcPr>
            <w:tcW w:w="5325" w:type="dxa"/>
          </w:tcPr>
          <w:p w14:paraId="1EDD5704" w14:textId="77777777" w:rsidR="007C6854" w:rsidRDefault="00000000">
            <w:pPr>
              <w:jc w:val="center"/>
              <w:rPr>
                <w:rFonts w:eastAsia="Arial" w:cs="Arial"/>
                <w:color w:val="000000"/>
                <w:szCs w:val="24"/>
              </w:rPr>
            </w:pPr>
            <w:sdt>
              <w:sdtPr>
                <w:tag w:val="goog_rdk_4"/>
                <w:id w:val="-617138567"/>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Yes   or  </w:t>
            </w:r>
            <w:sdt>
              <w:sdtPr>
                <w:tag w:val="goog_rdk_5"/>
                <w:id w:val="338665248"/>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No</w:t>
            </w:r>
          </w:p>
        </w:tc>
      </w:tr>
      <w:tr w:rsidR="007C6854" w14:paraId="34D3F6B3" w14:textId="77777777">
        <w:tc>
          <w:tcPr>
            <w:tcW w:w="4935" w:type="dxa"/>
          </w:tcPr>
          <w:p w14:paraId="7928A669" w14:textId="77777777" w:rsidR="007C6854" w:rsidRDefault="00E0219E">
            <w:pPr>
              <w:rPr>
                <w:rFonts w:eastAsia="Arial" w:cs="Arial"/>
                <w:szCs w:val="24"/>
              </w:rPr>
            </w:pPr>
            <w:r>
              <w:rPr>
                <w:rFonts w:eastAsia="Arial" w:cs="Arial"/>
                <w:szCs w:val="24"/>
              </w:rPr>
              <w:t>Free (F)</w:t>
            </w:r>
          </w:p>
        </w:tc>
        <w:tc>
          <w:tcPr>
            <w:tcW w:w="5325" w:type="dxa"/>
          </w:tcPr>
          <w:p w14:paraId="27850315" w14:textId="77777777" w:rsidR="007C6854" w:rsidRDefault="00000000">
            <w:pPr>
              <w:jc w:val="center"/>
              <w:rPr>
                <w:rFonts w:eastAsia="Arial" w:cs="Arial"/>
                <w:color w:val="000000"/>
                <w:szCs w:val="24"/>
              </w:rPr>
            </w:pPr>
            <w:sdt>
              <w:sdtPr>
                <w:tag w:val="goog_rdk_6"/>
                <w:id w:val="-233621443"/>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Yes   or  </w:t>
            </w:r>
            <w:sdt>
              <w:sdtPr>
                <w:tag w:val="goog_rdk_7"/>
                <w:id w:val="-788669104"/>
              </w:sdtPr>
              <w:sdtContent>
                <w:r w:rsidR="00E0219E">
                  <w:rPr>
                    <w:rFonts w:ascii="Arial Unicode MS" w:eastAsia="Arial Unicode MS" w:hAnsi="Arial Unicode MS" w:cs="Arial Unicode MS"/>
                    <w:color w:val="000000"/>
                    <w:szCs w:val="24"/>
                  </w:rPr>
                  <w:t>☐</w:t>
                </w:r>
              </w:sdtContent>
            </w:sdt>
            <w:r w:rsidR="00E0219E">
              <w:rPr>
                <w:rFonts w:eastAsia="Arial" w:cs="Arial"/>
                <w:color w:val="000000"/>
                <w:szCs w:val="24"/>
              </w:rPr>
              <w:t xml:space="preserve">  No</w:t>
            </w:r>
          </w:p>
        </w:tc>
      </w:tr>
    </w:tbl>
    <w:p w14:paraId="42AC021A" w14:textId="77777777" w:rsidR="007C6854" w:rsidRDefault="00E0219E">
      <w:pPr>
        <w:pBdr>
          <w:top w:val="nil"/>
          <w:left w:val="nil"/>
          <w:bottom w:val="nil"/>
          <w:right w:val="nil"/>
          <w:between w:val="nil"/>
        </w:pBdr>
        <w:spacing w:after="160" w:line="360" w:lineRule="auto"/>
        <w:ind w:left="3600" w:firstLine="720"/>
        <w:rPr>
          <w:rFonts w:eastAsia="Arial" w:cs="Arial"/>
          <w:color w:val="000000"/>
          <w:szCs w:val="24"/>
        </w:rPr>
      </w:pPr>
      <w:r>
        <w:rPr>
          <w:noProof/>
        </w:rPr>
        <w:drawing>
          <wp:anchor distT="0" distB="0" distL="0" distR="0" simplePos="0" relativeHeight="251658240" behindDoc="1" locked="0" layoutInCell="1" hidden="0" allowOverlap="1" wp14:anchorId="451248D4" wp14:editId="6980B9AA">
            <wp:simplePos x="0" y="0"/>
            <wp:positionH relativeFrom="column">
              <wp:posOffset>3390900</wp:posOffset>
            </wp:positionH>
            <wp:positionV relativeFrom="paragraph">
              <wp:posOffset>85725</wp:posOffset>
            </wp:positionV>
            <wp:extent cx="2695575" cy="723716"/>
            <wp:effectExtent l="0" t="0" r="0" b="0"/>
            <wp:wrapNone/>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695575" cy="723716"/>
                    </a:xfrm>
                    <a:prstGeom prst="rect">
                      <a:avLst/>
                    </a:prstGeom>
                    <a:ln/>
                  </pic:spPr>
                </pic:pic>
              </a:graphicData>
            </a:graphic>
          </wp:anchor>
        </w:drawing>
      </w:r>
    </w:p>
    <w:p w14:paraId="5BD96773" w14:textId="77777777" w:rsidR="007C6854" w:rsidRDefault="00E0219E">
      <w:pPr>
        <w:pBdr>
          <w:top w:val="nil"/>
          <w:left w:val="nil"/>
          <w:bottom w:val="nil"/>
          <w:right w:val="nil"/>
          <w:between w:val="nil"/>
        </w:pBdr>
        <w:spacing w:after="160" w:line="360" w:lineRule="auto"/>
        <w:ind w:left="3600" w:firstLine="720"/>
        <w:rPr>
          <w:rFonts w:eastAsia="Arial" w:cs="Arial"/>
          <w:color w:val="000000"/>
          <w:szCs w:val="24"/>
        </w:rPr>
      </w:pPr>
      <w:r>
        <w:rPr>
          <w:rFonts w:eastAsia="Arial" w:cs="Arial"/>
          <w:color w:val="000000"/>
          <w:szCs w:val="24"/>
        </w:rPr>
        <w:t>Student’s Signature:</w:t>
      </w:r>
      <w:r>
        <w:rPr>
          <w:rFonts w:eastAsia="Arial" w:cs="Arial"/>
          <w:szCs w:val="24"/>
        </w:rPr>
        <w:t xml:space="preserve"> </w:t>
      </w:r>
    </w:p>
    <w:p w14:paraId="0B28FF74" w14:textId="77777777" w:rsidR="007C6854" w:rsidRDefault="00E0219E">
      <w:pPr>
        <w:pBdr>
          <w:top w:val="nil"/>
          <w:left w:val="nil"/>
          <w:bottom w:val="nil"/>
          <w:right w:val="nil"/>
          <w:between w:val="nil"/>
        </w:pBdr>
        <w:spacing w:after="160" w:line="360" w:lineRule="auto"/>
        <w:ind w:left="3600" w:firstLine="720"/>
        <w:rPr>
          <w:rFonts w:eastAsia="Arial" w:cs="Arial"/>
          <w:color w:val="000000"/>
          <w:szCs w:val="24"/>
        </w:rPr>
        <w:sectPr w:rsidR="007C6854">
          <w:headerReference w:type="default" r:id="rId11"/>
          <w:footerReference w:type="default" r:id="rId12"/>
          <w:footerReference w:type="first" r:id="rId13"/>
          <w:pgSz w:w="11906" w:h="16838"/>
          <w:pgMar w:top="1440" w:right="1440" w:bottom="1440" w:left="1440" w:header="0" w:footer="0" w:gutter="0"/>
          <w:pgNumType w:start="0"/>
          <w:cols w:space="720"/>
          <w:titlePg/>
        </w:sectPr>
      </w:pPr>
      <w:r>
        <w:rPr>
          <w:rFonts w:eastAsia="Arial" w:cs="Arial"/>
          <w:color w:val="000000"/>
          <w:szCs w:val="24"/>
        </w:rPr>
        <w:t xml:space="preserve">Signature of Thesis Adviser: </w:t>
      </w:r>
    </w:p>
    <w:p w14:paraId="3EDCCC2C" w14:textId="77777777" w:rsidR="007C6854" w:rsidRDefault="00E0219E">
      <w:pPr>
        <w:spacing w:after="160" w:line="259" w:lineRule="auto"/>
        <w:rPr>
          <w:rFonts w:eastAsia="Arial" w:cs="Arial"/>
          <w:b/>
          <w:color w:val="000000"/>
          <w:szCs w:val="24"/>
        </w:rPr>
      </w:pPr>
      <w:r>
        <w:rPr>
          <w:rFonts w:eastAsia="Arial" w:cs="Arial"/>
          <w:b/>
          <w:color w:val="000000"/>
          <w:szCs w:val="24"/>
        </w:rPr>
        <w:lastRenderedPageBreak/>
        <w:t>University Permission Page</w:t>
      </w:r>
    </w:p>
    <w:p w14:paraId="37919551" w14:textId="77777777" w:rsidR="007C6854" w:rsidRDefault="007C6854">
      <w:pPr>
        <w:spacing w:after="160" w:line="259" w:lineRule="auto"/>
        <w:rPr>
          <w:rFonts w:eastAsia="Arial" w:cs="Arial"/>
          <w:b/>
          <w:szCs w:val="24"/>
        </w:rPr>
      </w:pPr>
    </w:p>
    <w:p w14:paraId="671A1C64" w14:textId="77777777" w:rsidR="007C6854" w:rsidRDefault="00E0219E">
      <w:pPr>
        <w:pBdr>
          <w:top w:val="nil"/>
          <w:left w:val="nil"/>
          <w:bottom w:val="nil"/>
          <w:right w:val="nil"/>
          <w:between w:val="nil"/>
        </w:pBdr>
        <w:spacing w:after="160" w:line="360" w:lineRule="auto"/>
        <w:jc w:val="both"/>
        <w:rPr>
          <w:rFonts w:eastAsia="Arial" w:cs="Arial"/>
          <w:color w:val="000000"/>
          <w:szCs w:val="24"/>
        </w:rPr>
      </w:pPr>
      <w:r>
        <w:rPr>
          <w:rFonts w:eastAsia="Arial" w:cs="Arial"/>
          <w:color w:val="000000"/>
          <w:szCs w:val="24"/>
        </w:rPr>
        <w:t xml:space="preserve">“I hereby grant the University of the Philippines a non-exclusive, worldwide, royalty-free license to produce, publish, and publicly distribute copies of this thesis in whatever </w:t>
      </w:r>
      <w:r>
        <w:rPr>
          <w:rFonts w:eastAsia="Arial" w:cs="Arial"/>
          <w:szCs w:val="24"/>
        </w:rPr>
        <w:t>form,</w:t>
      </w:r>
      <w:r>
        <w:rPr>
          <w:rFonts w:eastAsia="Arial" w:cs="Arial"/>
          <w:color w:val="000000"/>
          <w:szCs w:val="24"/>
        </w:rPr>
        <w:t xml:space="preserve"> subject to the provisions of applicable laws, the provisions of the UP IPR </w:t>
      </w:r>
      <w:r>
        <w:rPr>
          <w:rFonts w:eastAsia="Arial" w:cs="Arial"/>
          <w:szCs w:val="24"/>
        </w:rPr>
        <w:t>policy,</w:t>
      </w:r>
      <w:r>
        <w:rPr>
          <w:rFonts w:eastAsia="Arial" w:cs="Arial"/>
          <w:color w:val="000000"/>
          <w:szCs w:val="24"/>
        </w:rPr>
        <w:t xml:space="preserve"> and any contractual obligations, as well as more specific permission marking on the Title Page.”</w:t>
      </w:r>
    </w:p>
    <w:p w14:paraId="6FC00B9B" w14:textId="77777777" w:rsidR="007C6854" w:rsidRDefault="00E0219E">
      <w:pPr>
        <w:pBdr>
          <w:top w:val="nil"/>
          <w:left w:val="nil"/>
          <w:bottom w:val="nil"/>
          <w:right w:val="nil"/>
          <w:between w:val="nil"/>
        </w:pBdr>
        <w:spacing w:after="160" w:line="360" w:lineRule="auto"/>
        <w:jc w:val="both"/>
        <w:rPr>
          <w:rFonts w:eastAsia="Arial" w:cs="Arial"/>
          <w:color w:val="000000"/>
          <w:szCs w:val="24"/>
        </w:rPr>
      </w:pPr>
      <w:r>
        <w:rPr>
          <w:rFonts w:eastAsia="Arial" w:cs="Arial"/>
          <w:color w:val="000000"/>
          <w:szCs w:val="24"/>
        </w:rPr>
        <w:t>“Specifically, I grant the following rights to the University:</w:t>
      </w:r>
    </w:p>
    <w:p w14:paraId="358A2D00" w14:textId="77777777" w:rsidR="007C6854" w:rsidRDefault="00E0219E">
      <w:pPr>
        <w:numPr>
          <w:ilvl w:val="0"/>
          <w:numId w:val="36"/>
        </w:numPr>
        <w:pBdr>
          <w:top w:val="nil"/>
          <w:left w:val="nil"/>
          <w:bottom w:val="nil"/>
          <w:right w:val="nil"/>
          <w:between w:val="nil"/>
        </w:pBdr>
        <w:spacing w:after="160" w:line="360" w:lineRule="auto"/>
      </w:pPr>
      <w:r>
        <w:rPr>
          <w:rFonts w:eastAsia="Arial" w:cs="Arial"/>
          <w:color w:val="000000"/>
          <w:szCs w:val="24"/>
        </w:rPr>
        <w:t xml:space="preserve">To upload a copy of the work in the theses database of the college/school/institute/department and any other databases available on the public </w:t>
      </w:r>
      <w:r>
        <w:rPr>
          <w:rFonts w:eastAsia="Arial" w:cs="Arial"/>
          <w:szCs w:val="24"/>
        </w:rPr>
        <w:t>internet</w:t>
      </w:r>
    </w:p>
    <w:p w14:paraId="10ED1DDD" w14:textId="77777777" w:rsidR="007C6854" w:rsidRDefault="00E0219E">
      <w:pPr>
        <w:numPr>
          <w:ilvl w:val="0"/>
          <w:numId w:val="36"/>
        </w:numPr>
        <w:pBdr>
          <w:top w:val="nil"/>
          <w:left w:val="nil"/>
          <w:bottom w:val="nil"/>
          <w:right w:val="nil"/>
          <w:between w:val="nil"/>
        </w:pBdr>
        <w:spacing w:after="160" w:line="360" w:lineRule="auto"/>
      </w:pPr>
      <w:r>
        <w:rPr>
          <w:rFonts w:eastAsia="Arial" w:cs="Arial"/>
          <w:color w:val="000000"/>
          <w:szCs w:val="24"/>
        </w:rPr>
        <w:t xml:space="preserve">To publish the work in the college/school/institute/department journal, both in print and electronic or digital </w:t>
      </w:r>
      <w:r>
        <w:rPr>
          <w:rFonts w:eastAsia="Arial" w:cs="Arial"/>
          <w:szCs w:val="24"/>
        </w:rPr>
        <w:t>format</w:t>
      </w:r>
      <w:r>
        <w:rPr>
          <w:rFonts w:eastAsia="Arial" w:cs="Arial"/>
          <w:color w:val="000000"/>
          <w:szCs w:val="24"/>
        </w:rPr>
        <w:t xml:space="preserve"> and online; and </w:t>
      </w:r>
    </w:p>
    <w:p w14:paraId="739F57FC" w14:textId="77777777" w:rsidR="007C6854" w:rsidRDefault="00E0219E">
      <w:pPr>
        <w:numPr>
          <w:ilvl w:val="0"/>
          <w:numId w:val="36"/>
        </w:numPr>
        <w:pBdr>
          <w:top w:val="nil"/>
          <w:left w:val="nil"/>
          <w:bottom w:val="nil"/>
          <w:right w:val="nil"/>
          <w:between w:val="nil"/>
        </w:pBdr>
        <w:spacing w:after="160" w:line="360" w:lineRule="auto"/>
      </w:pPr>
      <w:r>
        <w:rPr>
          <w:rFonts w:eastAsia="Arial" w:cs="Arial"/>
          <w:color w:val="000000"/>
          <w:szCs w:val="24"/>
        </w:rPr>
        <w:t xml:space="preserve">To give open access to the above-mentioned work, thus allowing “fair use” of the work in accordance with the provisions of the Intellectual Property Code of the Philippines (Republic Act No. 8293), especially for teaching, </w:t>
      </w:r>
      <w:r>
        <w:rPr>
          <w:rFonts w:eastAsia="Arial" w:cs="Arial"/>
          <w:szCs w:val="24"/>
        </w:rPr>
        <w:t>scholarly,</w:t>
      </w:r>
      <w:r>
        <w:rPr>
          <w:rFonts w:eastAsia="Arial" w:cs="Arial"/>
          <w:color w:val="000000"/>
          <w:szCs w:val="24"/>
        </w:rPr>
        <w:t xml:space="preserve"> and research purposes.”</w:t>
      </w:r>
    </w:p>
    <w:p w14:paraId="42FF614C" w14:textId="77777777" w:rsidR="007C6854" w:rsidRDefault="00E0219E">
      <w:pPr>
        <w:pBdr>
          <w:top w:val="nil"/>
          <w:left w:val="nil"/>
          <w:bottom w:val="nil"/>
          <w:right w:val="nil"/>
          <w:between w:val="nil"/>
        </w:pBdr>
        <w:spacing w:after="160" w:line="360" w:lineRule="auto"/>
        <w:rPr>
          <w:rFonts w:eastAsia="Arial" w:cs="Arial"/>
          <w:szCs w:val="24"/>
        </w:rPr>
      </w:pPr>
      <w:r>
        <w:rPr>
          <w:noProof/>
        </w:rPr>
        <w:drawing>
          <wp:anchor distT="0" distB="0" distL="0" distR="0" simplePos="0" relativeHeight="251659264" behindDoc="1" locked="0" layoutInCell="1" hidden="0" allowOverlap="1" wp14:anchorId="0A5FA7FF" wp14:editId="12BC9112">
            <wp:simplePos x="0" y="0"/>
            <wp:positionH relativeFrom="column">
              <wp:posOffset>1704975</wp:posOffset>
            </wp:positionH>
            <wp:positionV relativeFrom="paragraph">
              <wp:posOffset>180975</wp:posOffset>
            </wp:positionV>
            <wp:extent cx="4743450" cy="1273535"/>
            <wp:effectExtent l="0" t="0" r="0" b="0"/>
            <wp:wrapNone/>
            <wp:docPr id="6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4743450" cy="1273535"/>
                    </a:xfrm>
                    <a:prstGeom prst="rect">
                      <a:avLst/>
                    </a:prstGeom>
                    <a:ln/>
                  </pic:spPr>
                </pic:pic>
              </a:graphicData>
            </a:graphic>
          </wp:anchor>
        </w:drawing>
      </w:r>
    </w:p>
    <w:p w14:paraId="5A447919" w14:textId="77777777" w:rsidR="007C6854" w:rsidRDefault="007C6854">
      <w:pPr>
        <w:pBdr>
          <w:top w:val="nil"/>
          <w:left w:val="nil"/>
          <w:bottom w:val="single" w:sz="12" w:space="1" w:color="000000"/>
          <w:right w:val="nil"/>
          <w:between w:val="nil"/>
        </w:pBdr>
        <w:spacing w:after="160" w:line="360" w:lineRule="auto"/>
        <w:ind w:left="2880"/>
        <w:rPr>
          <w:rFonts w:eastAsia="Arial" w:cs="Arial"/>
          <w:szCs w:val="24"/>
        </w:rPr>
      </w:pPr>
    </w:p>
    <w:p w14:paraId="0FE6A1C8" w14:textId="77777777" w:rsidR="007C6854" w:rsidRDefault="00E0219E">
      <w:pPr>
        <w:pBdr>
          <w:top w:val="nil"/>
          <w:left w:val="nil"/>
          <w:bottom w:val="single" w:sz="12" w:space="1" w:color="000000"/>
          <w:right w:val="nil"/>
          <w:between w:val="nil"/>
        </w:pBdr>
        <w:spacing w:after="160" w:line="360" w:lineRule="auto"/>
        <w:ind w:left="2880"/>
        <w:rPr>
          <w:rFonts w:eastAsia="Arial" w:cs="Arial"/>
          <w:szCs w:val="24"/>
        </w:rPr>
      </w:pPr>
      <w:r>
        <w:rPr>
          <w:rFonts w:eastAsia="Arial" w:cs="Arial"/>
          <w:szCs w:val="24"/>
        </w:rPr>
        <w:t xml:space="preserve">            Rammell Eric C. Martinez (10 October 2023)</w:t>
      </w:r>
    </w:p>
    <w:p w14:paraId="1DD92623" w14:textId="77777777" w:rsidR="007C6854" w:rsidRDefault="00E0219E">
      <w:pPr>
        <w:pBdr>
          <w:top w:val="nil"/>
          <w:left w:val="nil"/>
          <w:bottom w:val="nil"/>
          <w:right w:val="nil"/>
          <w:between w:val="nil"/>
        </w:pBdr>
        <w:spacing w:after="160" w:line="360" w:lineRule="auto"/>
        <w:ind w:left="2880"/>
        <w:rPr>
          <w:rFonts w:eastAsia="Arial" w:cs="Arial"/>
          <w:szCs w:val="24"/>
        </w:rPr>
        <w:sectPr w:rsidR="007C6854">
          <w:pgSz w:w="11906" w:h="16838"/>
          <w:pgMar w:top="1440" w:right="1440" w:bottom="1440" w:left="1440" w:header="0" w:footer="0" w:gutter="0"/>
          <w:cols w:space="720"/>
        </w:sectPr>
      </w:pPr>
      <w:r>
        <w:rPr>
          <w:rFonts w:eastAsia="Arial" w:cs="Arial"/>
          <w:szCs w:val="24"/>
        </w:rPr>
        <w:t xml:space="preserve">          Student Name, Signature and Date</w:t>
      </w:r>
    </w:p>
    <w:p w14:paraId="2E98D433" w14:textId="77777777" w:rsidR="007C6854" w:rsidRDefault="00E0219E">
      <w:pPr>
        <w:spacing w:after="160" w:line="259" w:lineRule="auto"/>
        <w:jc w:val="center"/>
        <w:rPr>
          <w:rFonts w:eastAsia="Arial" w:cs="Arial"/>
          <w:b/>
          <w:color w:val="000000"/>
          <w:szCs w:val="24"/>
        </w:rPr>
      </w:pPr>
      <w:r>
        <w:rPr>
          <w:rFonts w:eastAsia="Arial" w:cs="Arial"/>
          <w:b/>
          <w:szCs w:val="24"/>
        </w:rPr>
        <w:lastRenderedPageBreak/>
        <w:t>Acceptance Page</w:t>
      </w:r>
    </w:p>
    <w:p w14:paraId="381166F2" w14:textId="77777777" w:rsidR="007C6854" w:rsidRDefault="007C6854">
      <w:pPr>
        <w:spacing w:after="160" w:line="259" w:lineRule="auto"/>
        <w:rPr>
          <w:rFonts w:eastAsia="Arial" w:cs="Arial"/>
        </w:rPr>
      </w:pPr>
    </w:p>
    <w:p w14:paraId="0EA71128" w14:textId="77777777" w:rsidR="007C6854" w:rsidRDefault="00E0219E">
      <w:pPr>
        <w:spacing w:after="160" w:line="360" w:lineRule="auto"/>
        <w:jc w:val="both"/>
        <w:rPr>
          <w:rFonts w:eastAsia="Arial" w:cs="Arial"/>
          <w:szCs w:val="24"/>
        </w:rPr>
      </w:pPr>
      <w:r>
        <w:rPr>
          <w:rFonts w:eastAsia="Arial" w:cs="Arial"/>
          <w:szCs w:val="24"/>
        </w:rPr>
        <w:t>This thesis, titled: “</w:t>
      </w:r>
      <w:r>
        <w:rPr>
          <w:rFonts w:eastAsia="Arial" w:cs="Arial"/>
          <w:b/>
          <w:szCs w:val="24"/>
        </w:rPr>
        <w:t xml:space="preserve">Descriptive-Correlational Study of Health Literacy among Urban Poor Settlers with Hypertension,” </w:t>
      </w:r>
      <w:r>
        <w:rPr>
          <w:rFonts w:eastAsia="Arial" w:cs="Arial"/>
          <w:szCs w:val="24"/>
        </w:rPr>
        <w:t>is hereby accepted by the Faculty of Management and Development Studies, U.P. Open University, in partial fulfillment of the requirements for the Master of International Health Program.</w:t>
      </w:r>
    </w:p>
    <w:p w14:paraId="3A49EAB2" w14:textId="77777777" w:rsidR="007C6854" w:rsidRDefault="007C6854">
      <w:pPr>
        <w:spacing w:after="160" w:line="360" w:lineRule="auto"/>
        <w:jc w:val="both"/>
        <w:rPr>
          <w:rFonts w:eastAsia="Arial" w:cs="Arial"/>
          <w:szCs w:val="24"/>
        </w:rPr>
      </w:pPr>
    </w:p>
    <w:p w14:paraId="40BD8D39" w14:textId="77777777" w:rsidR="007C6854" w:rsidRDefault="00E0219E">
      <w:pPr>
        <w:spacing w:after="0" w:line="240" w:lineRule="auto"/>
        <w:jc w:val="both"/>
        <w:rPr>
          <w:rFonts w:eastAsia="Arial" w:cs="Arial"/>
          <w:b/>
          <w:szCs w:val="24"/>
        </w:rPr>
      </w:pPr>
      <w:r>
        <w:rPr>
          <w:rFonts w:eastAsia="Arial" w:cs="Arial"/>
          <w:b/>
          <w:szCs w:val="24"/>
          <w:u w:val="single"/>
        </w:rPr>
        <w:t xml:space="preserve">Dr. Myra D. </w:t>
      </w:r>
      <w:proofErr w:type="spellStart"/>
      <w:r>
        <w:rPr>
          <w:rFonts w:eastAsia="Arial" w:cs="Arial"/>
          <w:b/>
          <w:szCs w:val="24"/>
          <w:u w:val="single"/>
        </w:rPr>
        <w:t>Oruga</w:t>
      </w:r>
      <w:proofErr w:type="spellEnd"/>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t xml:space="preserve">               </w:t>
      </w:r>
      <w:r>
        <w:rPr>
          <w:rFonts w:eastAsia="Arial" w:cs="Arial"/>
          <w:b/>
          <w:szCs w:val="24"/>
        </w:rPr>
        <w:tab/>
        <w:t>__________________</w:t>
      </w:r>
    </w:p>
    <w:p w14:paraId="42DFA663" w14:textId="77777777" w:rsidR="007C6854" w:rsidRDefault="00E0219E">
      <w:pPr>
        <w:spacing w:after="0" w:line="240" w:lineRule="auto"/>
        <w:jc w:val="both"/>
        <w:rPr>
          <w:rFonts w:eastAsia="Arial" w:cs="Arial"/>
          <w:b/>
          <w:szCs w:val="24"/>
        </w:rPr>
      </w:pPr>
      <w:r>
        <w:rPr>
          <w:rFonts w:eastAsia="Arial" w:cs="Arial"/>
          <w:b/>
          <w:szCs w:val="24"/>
        </w:rPr>
        <w:t>NAME</w:t>
      </w:r>
    </w:p>
    <w:p w14:paraId="18FF0646" w14:textId="77777777" w:rsidR="007C6854" w:rsidRDefault="00E0219E">
      <w:pPr>
        <w:spacing w:after="0" w:line="240" w:lineRule="auto"/>
        <w:jc w:val="both"/>
        <w:rPr>
          <w:rFonts w:eastAsia="Arial" w:cs="Arial"/>
          <w:szCs w:val="24"/>
        </w:rPr>
      </w:pPr>
      <w:r>
        <w:rPr>
          <w:rFonts w:eastAsia="Arial" w:cs="Arial"/>
          <w:szCs w:val="24"/>
        </w:rPr>
        <w:t>Chair, Thesis Committee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(Date)</w:t>
      </w:r>
    </w:p>
    <w:p w14:paraId="0AA06AE6" w14:textId="77777777" w:rsidR="007C6854" w:rsidRDefault="007C6854">
      <w:pPr>
        <w:spacing w:after="0" w:line="240" w:lineRule="auto"/>
        <w:jc w:val="both"/>
        <w:rPr>
          <w:rFonts w:eastAsia="Arial" w:cs="Arial"/>
          <w:szCs w:val="24"/>
        </w:rPr>
      </w:pPr>
    </w:p>
    <w:p w14:paraId="4731A743" w14:textId="77777777" w:rsidR="007C6854" w:rsidRDefault="007C6854">
      <w:pPr>
        <w:spacing w:after="0" w:line="240" w:lineRule="auto"/>
        <w:jc w:val="both"/>
        <w:rPr>
          <w:rFonts w:eastAsia="Arial" w:cs="Arial"/>
          <w:szCs w:val="24"/>
        </w:rPr>
      </w:pPr>
    </w:p>
    <w:p w14:paraId="56EA8789" w14:textId="77777777" w:rsidR="007C6854" w:rsidRDefault="00E0219E">
      <w:pPr>
        <w:spacing w:after="0" w:line="240" w:lineRule="auto"/>
        <w:jc w:val="both"/>
        <w:rPr>
          <w:rFonts w:eastAsia="Arial" w:cs="Arial"/>
          <w:b/>
          <w:szCs w:val="24"/>
        </w:rPr>
      </w:pPr>
      <w:r>
        <w:rPr>
          <w:rFonts w:eastAsia="Arial" w:cs="Arial"/>
          <w:b/>
          <w:szCs w:val="24"/>
          <w:u w:val="single"/>
        </w:rPr>
        <w:t>Dr. Raymundo Celestino F.</w:t>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t>__________________</w:t>
      </w:r>
    </w:p>
    <w:p w14:paraId="7E5E7692" w14:textId="77777777" w:rsidR="007C6854" w:rsidRDefault="00E0219E">
      <w:pPr>
        <w:spacing w:after="0" w:line="240" w:lineRule="auto"/>
        <w:jc w:val="both"/>
        <w:rPr>
          <w:rFonts w:eastAsia="Arial" w:cs="Arial"/>
          <w:b/>
          <w:szCs w:val="24"/>
          <w:u w:val="single"/>
        </w:rPr>
      </w:pPr>
      <w:proofErr w:type="spellStart"/>
      <w:r>
        <w:rPr>
          <w:rFonts w:eastAsia="Arial" w:cs="Arial"/>
          <w:b/>
          <w:szCs w:val="24"/>
          <w:u w:val="single"/>
        </w:rPr>
        <w:t>Habito</w:t>
      </w:r>
      <w:proofErr w:type="spellEnd"/>
      <w:r>
        <w:rPr>
          <w:rFonts w:eastAsia="Arial" w:cs="Arial"/>
          <w:b/>
          <w:szCs w:val="24"/>
          <w:u w:val="single"/>
        </w:rPr>
        <w:t xml:space="preserve"> Jr.</w:t>
      </w:r>
    </w:p>
    <w:p w14:paraId="08F7BD26" w14:textId="77777777" w:rsidR="007C6854" w:rsidRDefault="00E0219E">
      <w:pPr>
        <w:spacing w:after="0" w:line="240" w:lineRule="auto"/>
        <w:jc w:val="both"/>
        <w:rPr>
          <w:rFonts w:eastAsia="Arial" w:cs="Arial"/>
          <w:b/>
          <w:szCs w:val="24"/>
        </w:rPr>
      </w:pPr>
      <w:r>
        <w:rPr>
          <w:rFonts w:eastAsia="Arial" w:cs="Arial"/>
          <w:b/>
          <w:szCs w:val="24"/>
        </w:rPr>
        <w:t>NAME</w:t>
      </w:r>
    </w:p>
    <w:p w14:paraId="232002E5" w14:textId="77777777" w:rsidR="007C6854" w:rsidRDefault="00E0219E">
      <w:pPr>
        <w:spacing w:after="0" w:line="240" w:lineRule="auto"/>
        <w:jc w:val="both"/>
        <w:rPr>
          <w:rFonts w:eastAsia="Arial" w:cs="Arial"/>
          <w:szCs w:val="24"/>
        </w:rPr>
      </w:pPr>
      <w:r>
        <w:rPr>
          <w:rFonts w:eastAsia="Arial" w:cs="Arial"/>
          <w:szCs w:val="24"/>
        </w:rPr>
        <w:t>Member, Thesis Committee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(Date)</w:t>
      </w:r>
    </w:p>
    <w:p w14:paraId="1E1BC57D" w14:textId="77777777" w:rsidR="007C6854" w:rsidRDefault="007C6854">
      <w:pPr>
        <w:spacing w:after="0" w:line="240" w:lineRule="auto"/>
        <w:jc w:val="both"/>
        <w:rPr>
          <w:rFonts w:eastAsia="Arial" w:cs="Arial"/>
          <w:szCs w:val="24"/>
        </w:rPr>
      </w:pPr>
    </w:p>
    <w:p w14:paraId="2A740C07" w14:textId="77777777" w:rsidR="007C6854" w:rsidRDefault="007C6854">
      <w:pPr>
        <w:spacing w:after="0" w:line="240" w:lineRule="auto"/>
        <w:jc w:val="both"/>
        <w:rPr>
          <w:rFonts w:eastAsia="Arial" w:cs="Arial"/>
          <w:szCs w:val="24"/>
        </w:rPr>
      </w:pPr>
    </w:p>
    <w:p w14:paraId="40FE2430" w14:textId="77777777" w:rsidR="007C6854" w:rsidRDefault="00E0219E">
      <w:pPr>
        <w:spacing w:after="0" w:line="240" w:lineRule="auto"/>
        <w:jc w:val="both"/>
        <w:rPr>
          <w:rFonts w:eastAsia="Arial" w:cs="Arial"/>
          <w:b/>
          <w:szCs w:val="24"/>
        </w:rPr>
      </w:pPr>
      <w:r>
        <w:rPr>
          <w:rFonts w:eastAsia="Arial" w:cs="Arial"/>
          <w:b/>
          <w:szCs w:val="24"/>
          <w:u w:val="single"/>
        </w:rPr>
        <w:t>Dr. Sheila R. Bonito</w:t>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t>__________________</w:t>
      </w:r>
    </w:p>
    <w:p w14:paraId="70BF0F64" w14:textId="77777777" w:rsidR="007C6854" w:rsidRDefault="00E0219E">
      <w:pPr>
        <w:spacing w:after="0" w:line="240" w:lineRule="auto"/>
        <w:jc w:val="both"/>
        <w:rPr>
          <w:rFonts w:eastAsia="Arial" w:cs="Arial"/>
          <w:b/>
          <w:szCs w:val="24"/>
        </w:rPr>
      </w:pPr>
      <w:r>
        <w:rPr>
          <w:rFonts w:eastAsia="Arial" w:cs="Arial"/>
          <w:b/>
          <w:szCs w:val="24"/>
        </w:rPr>
        <w:t>NAME</w:t>
      </w:r>
    </w:p>
    <w:p w14:paraId="6CBE53E1" w14:textId="77777777" w:rsidR="007C6854" w:rsidRDefault="00E0219E">
      <w:pPr>
        <w:spacing w:after="0" w:line="240" w:lineRule="auto"/>
        <w:jc w:val="both"/>
        <w:rPr>
          <w:rFonts w:eastAsia="Arial" w:cs="Arial"/>
          <w:szCs w:val="24"/>
        </w:rPr>
      </w:pPr>
      <w:r>
        <w:rPr>
          <w:rFonts w:eastAsia="Arial" w:cs="Arial"/>
          <w:szCs w:val="24"/>
        </w:rPr>
        <w:t>Member, Thesis Committee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(Date)</w:t>
      </w:r>
    </w:p>
    <w:p w14:paraId="5CA4D5F3" w14:textId="77777777" w:rsidR="007C6854" w:rsidRDefault="007C6854">
      <w:pPr>
        <w:spacing w:after="0" w:line="240" w:lineRule="auto"/>
        <w:jc w:val="both"/>
        <w:rPr>
          <w:rFonts w:eastAsia="Arial" w:cs="Arial"/>
          <w:szCs w:val="24"/>
        </w:rPr>
      </w:pPr>
    </w:p>
    <w:p w14:paraId="3AB0A4D1" w14:textId="77777777" w:rsidR="007C6854" w:rsidRDefault="007C6854">
      <w:pPr>
        <w:spacing w:after="0" w:line="240" w:lineRule="auto"/>
        <w:jc w:val="both"/>
        <w:rPr>
          <w:rFonts w:eastAsia="Arial" w:cs="Arial"/>
          <w:szCs w:val="24"/>
        </w:rPr>
      </w:pPr>
    </w:p>
    <w:p w14:paraId="25AFC217" w14:textId="77777777" w:rsidR="007C6854" w:rsidRDefault="00E0219E">
      <w:pPr>
        <w:spacing w:after="0" w:line="240" w:lineRule="auto"/>
        <w:jc w:val="both"/>
        <w:rPr>
          <w:rFonts w:eastAsia="Arial" w:cs="Arial"/>
          <w:b/>
          <w:szCs w:val="24"/>
        </w:rPr>
      </w:pPr>
      <w:r>
        <w:rPr>
          <w:rFonts w:eastAsia="Arial" w:cs="Arial"/>
          <w:b/>
          <w:szCs w:val="24"/>
          <w:u w:val="single"/>
        </w:rPr>
        <w:t>Dr. Eleanor C. Castillo</w:t>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t>__________________</w:t>
      </w:r>
    </w:p>
    <w:p w14:paraId="62B5AFDD" w14:textId="77777777" w:rsidR="007C6854" w:rsidRDefault="00E0219E">
      <w:pPr>
        <w:spacing w:after="0" w:line="240" w:lineRule="auto"/>
        <w:jc w:val="both"/>
        <w:rPr>
          <w:rFonts w:eastAsia="Arial" w:cs="Arial"/>
          <w:b/>
          <w:szCs w:val="24"/>
        </w:rPr>
      </w:pPr>
      <w:r>
        <w:rPr>
          <w:rFonts w:eastAsia="Arial" w:cs="Arial"/>
          <w:b/>
          <w:szCs w:val="24"/>
        </w:rPr>
        <w:t>NAME</w:t>
      </w:r>
    </w:p>
    <w:p w14:paraId="6F28A45F" w14:textId="77777777" w:rsidR="007C6854" w:rsidRDefault="00E0219E">
      <w:pPr>
        <w:spacing w:after="0" w:line="240" w:lineRule="auto"/>
        <w:jc w:val="both"/>
        <w:rPr>
          <w:rFonts w:eastAsia="Arial" w:cs="Arial"/>
          <w:szCs w:val="24"/>
        </w:rPr>
      </w:pPr>
      <w:r>
        <w:rPr>
          <w:rFonts w:eastAsia="Arial" w:cs="Arial"/>
          <w:szCs w:val="24"/>
        </w:rPr>
        <w:t>Member, Thesis Committee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(Date)</w:t>
      </w:r>
    </w:p>
    <w:p w14:paraId="0536D0B8" w14:textId="77777777" w:rsidR="007C6854" w:rsidRDefault="007C6854">
      <w:pPr>
        <w:spacing w:after="0" w:line="240" w:lineRule="auto"/>
        <w:jc w:val="both"/>
        <w:rPr>
          <w:rFonts w:eastAsia="Arial" w:cs="Arial"/>
          <w:szCs w:val="24"/>
        </w:rPr>
      </w:pPr>
    </w:p>
    <w:p w14:paraId="22F1CE3B" w14:textId="77777777" w:rsidR="007C6854" w:rsidRDefault="007C6854">
      <w:pPr>
        <w:spacing w:after="0" w:line="240" w:lineRule="auto"/>
        <w:jc w:val="both"/>
        <w:rPr>
          <w:rFonts w:eastAsia="Arial" w:cs="Arial"/>
          <w:szCs w:val="24"/>
        </w:rPr>
      </w:pPr>
    </w:p>
    <w:p w14:paraId="3181676E" w14:textId="77777777" w:rsidR="007C6854" w:rsidRDefault="00E0219E">
      <w:pPr>
        <w:spacing w:after="0" w:line="240" w:lineRule="auto"/>
        <w:jc w:val="both"/>
        <w:rPr>
          <w:rFonts w:eastAsia="Arial" w:cs="Arial"/>
          <w:b/>
          <w:szCs w:val="24"/>
        </w:rPr>
      </w:pPr>
      <w:r>
        <w:rPr>
          <w:rFonts w:eastAsia="Arial" w:cs="Arial"/>
          <w:b/>
          <w:szCs w:val="24"/>
          <w:u w:val="single"/>
        </w:rPr>
        <w:t>Dr. Jonathan P. Guevarra</w:t>
      </w:r>
      <w:r>
        <w:rPr>
          <w:rFonts w:eastAsia="Arial" w:cs="Arial"/>
          <w:b/>
          <w:szCs w:val="24"/>
        </w:rPr>
        <w:tab/>
      </w:r>
      <w:r>
        <w:rPr>
          <w:rFonts w:eastAsia="Arial" w:cs="Arial"/>
          <w:b/>
          <w:szCs w:val="24"/>
        </w:rPr>
        <w:tab/>
      </w:r>
      <w:r>
        <w:rPr>
          <w:rFonts w:eastAsia="Arial" w:cs="Arial"/>
          <w:b/>
          <w:szCs w:val="24"/>
        </w:rPr>
        <w:tab/>
      </w:r>
      <w:r>
        <w:rPr>
          <w:rFonts w:eastAsia="Arial" w:cs="Arial"/>
          <w:b/>
          <w:szCs w:val="24"/>
        </w:rPr>
        <w:tab/>
      </w:r>
      <w:r>
        <w:rPr>
          <w:rFonts w:eastAsia="Arial" w:cs="Arial"/>
          <w:b/>
          <w:szCs w:val="24"/>
        </w:rPr>
        <w:tab/>
        <w:t>__________________</w:t>
      </w:r>
    </w:p>
    <w:p w14:paraId="4C69B111" w14:textId="77777777" w:rsidR="007C6854" w:rsidRDefault="00E0219E">
      <w:pPr>
        <w:spacing w:after="0" w:line="240" w:lineRule="auto"/>
        <w:jc w:val="both"/>
        <w:rPr>
          <w:rFonts w:eastAsia="Arial" w:cs="Arial"/>
          <w:b/>
          <w:szCs w:val="24"/>
        </w:rPr>
      </w:pPr>
      <w:r>
        <w:rPr>
          <w:rFonts w:eastAsia="Arial" w:cs="Arial"/>
          <w:b/>
          <w:szCs w:val="24"/>
        </w:rPr>
        <w:t>NAME</w:t>
      </w:r>
    </w:p>
    <w:p w14:paraId="0DBAA54E" w14:textId="77777777" w:rsidR="007C6854" w:rsidRDefault="00E0219E">
      <w:pPr>
        <w:spacing w:after="0" w:line="240" w:lineRule="auto"/>
        <w:jc w:val="both"/>
        <w:rPr>
          <w:rFonts w:eastAsia="Arial" w:cs="Arial"/>
          <w:szCs w:val="24"/>
        </w:rPr>
      </w:pPr>
      <w:r>
        <w:rPr>
          <w:rFonts w:eastAsia="Arial" w:cs="Arial"/>
          <w:szCs w:val="24"/>
        </w:rPr>
        <w:t>Member, Thesis Committee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(Date)</w:t>
      </w:r>
    </w:p>
    <w:p w14:paraId="4C6469CB" w14:textId="77777777" w:rsidR="007C6854" w:rsidRDefault="007C6854">
      <w:pPr>
        <w:spacing w:after="0" w:line="240" w:lineRule="auto"/>
        <w:jc w:val="both"/>
        <w:rPr>
          <w:rFonts w:eastAsia="Arial" w:cs="Arial"/>
          <w:szCs w:val="24"/>
        </w:rPr>
      </w:pPr>
    </w:p>
    <w:p w14:paraId="433B5D06" w14:textId="77777777" w:rsidR="007C6854" w:rsidRDefault="007C6854">
      <w:pPr>
        <w:spacing w:after="0" w:line="240" w:lineRule="auto"/>
        <w:jc w:val="both"/>
        <w:rPr>
          <w:rFonts w:eastAsia="Arial" w:cs="Arial"/>
          <w:szCs w:val="24"/>
        </w:rPr>
      </w:pPr>
    </w:p>
    <w:p w14:paraId="576C8592" w14:textId="77777777" w:rsidR="007C6854" w:rsidRDefault="007C6854">
      <w:pPr>
        <w:spacing w:after="0" w:line="240" w:lineRule="auto"/>
        <w:jc w:val="both"/>
        <w:rPr>
          <w:rFonts w:eastAsia="Arial" w:cs="Arial"/>
          <w:szCs w:val="24"/>
        </w:rPr>
      </w:pPr>
    </w:p>
    <w:p w14:paraId="794D1C6F" w14:textId="77777777" w:rsidR="007C6854" w:rsidRDefault="007C6854">
      <w:pPr>
        <w:spacing w:after="0" w:line="240" w:lineRule="auto"/>
        <w:jc w:val="both"/>
        <w:rPr>
          <w:rFonts w:eastAsia="Arial" w:cs="Arial"/>
          <w:szCs w:val="24"/>
        </w:rPr>
      </w:pPr>
    </w:p>
    <w:p w14:paraId="1E48CBD5" w14:textId="77777777" w:rsidR="007C6854" w:rsidRDefault="00E0219E">
      <w:pPr>
        <w:spacing w:after="0" w:line="240" w:lineRule="auto"/>
        <w:jc w:val="center"/>
        <w:rPr>
          <w:rFonts w:eastAsia="Arial" w:cs="Arial"/>
          <w:b/>
          <w:szCs w:val="24"/>
        </w:rPr>
      </w:pPr>
      <w:r>
        <w:rPr>
          <w:rFonts w:eastAsia="Arial" w:cs="Arial"/>
          <w:b/>
          <w:szCs w:val="24"/>
        </w:rPr>
        <w:t>___________________________</w:t>
      </w:r>
    </w:p>
    <w:p w14:paraId="69C06771" w14:textId="77777777" w:rsidR="007C6854" w:rsidRDefault="00E0219E">
      <w:pPr>
        <w:spacing w:after="0" w:line="240" w:lineRule="auto"/>
        <w:jc w:val="center"/>
        <w:rPr>
          <w:rFonts w:eastAsia="Arial" w:cs="Arial"/>
          <w:szCs w:val="24"/>
        </w:rPr>
      </w:pPr>
      <w:r>
        <w:rPr>
          <w:rFonts w:eastAsia="Arial" w:cs="Arial"/>
          <w:szCs w:val="24"/>
        </w:rPr>
        <w:t>Dean</w:t>
      </w:r>
    </w:p>
    <w:p w14:paraId="154D5BAE" w14:textId="77777777" w:rsidR="007C6854" w:rsidRDefault="00E0219E">
      <w:pPr>
        <w:spacing w:after="0" w:line="240" w:lineRule="auto"/>
        <w:jc w:val="center"/>
        <w:rPr>
          <w:rFonts w:eastAsia="Arial" w:cs="Arial"/>
          <w:szCs w:val="24"/>
        </w:rPr>
      </w:pPr>
      <w:r>
        <w:rPr>
          <w:rFonts w:eastAsia="Arial" w:cs="Arial"/>
          <w:szCs w:val="24"/>
        </w:rPr>
        <w:t>Faculty of Management and Development Studies</w:t>
      </w:r>
    </w:p>
    <w:p w14:paraId="53C2DED4" w14:textId="77777777" w:rsidR="007C6854" w:rsidRDefault="007C6854">
      <w:pPr>
        <w:spacing w:after="0" w:line="240" w:lineRule="auto"/>
        <w:jc w:val="center"/>
        <w:rPr>
          <w:rFonts w:eastAsia="Arial" w:cs="Arial"/>
          <w:szCs w:val="24"/>
        </w:rPr>
      </w:pPr>
    </w:p>
    <w:p w14:paraId="75EB42D4" w14:textId="77777777" w:rsidR="007C6854" w:rsidRDefault="007C6854">
      <w:pPr>
        <w:spacing w:after="0" w:line="240" w:lineRule="auto"/>
        <w:jc w:val="center"/>
        <w:rPr>
          <w:rFonts w:eastAsia="Arial" w:cs="Arial"/>
          <w:szCs w:val="24"/>
        </w:rPr>
      </w:pPr>
    </w:p>
    <w:p w14:paraId="5D6FBAB9" w14:textId="77777777" w:rsidR="007C6854" w:rsidRDefault="00E0219E">
      <w:pPr>
        <w:spacing w:after="0" w:line="240" w:lineRule="auto"/>
        <w:jc w:val="center"/>
        <w:rPr>
          <w:rFonts w:eastAsia="Arial" w:cs="Arial"/>
          <w:b/>
          <w:szCs w:val="24"/>
        </w:rPr>
      </w:pPr>
      <w:r>
        <w:rPr>
          <w:rFonts w:eastAsia="Arial" w:cs="Arial"/>
          <w:b/>
          <w:szCs w:val="24"/>
        </w:rPr>
        <w:t>___________________</w:t>
      </w:r>
    </w:p>
    <w:p w14:paraId="7EBB6E5A" w14:textId="77777777" w:rsidR="007C6854" w:rsidRDefault="00E0219E">
      <w:pPr>
        <w:spacing w:after="0" w:line="240" w:lineRule="auto"/>
        <w:jc w:val="center"/>
        <w:rPr>
          <w:rFonts w:eastAsia="Arial" w:cs="Arial"/>
          <w:szCs w:val="24"/>
        </w:rPr>
        <w:sectPr w:rsidR="007C6854">
          <w:headerReference w:type="default" r:id="rId15"/>
          <w:footerReference w:type="default" r:id="rId16"/>
          <w:pgSz w:w="11906" w:h="16838"/>
          <w:pgMar w:top="1440" w:right="1440" w:bottom="1440" w:left="1440" w:header="0" w:footer="0" w:gutter="0"/>
          <w:cols w:space="720"/>
        </w:sectPr>
      </w:pPr>
      <w:r>
        <w:rPr>
          <w:rFonts w:eastAsia="Arial" w:cs="Arial"/>
          <w:szCs w:val="24"/>
        </w:rPr>
        <w:t>(Date)</w:t>
      </w:r>
    </w:p>
    <w:p w14:paraId="77855DC4" w14:textId="77777777" w:rsidR="007C6854" w:rsidRDefault="00E0219E">
      <w:pPr>
        <w:spacing w:after="160" w:line="259" w:lineRule="auto"/>
        <w:jc w:val="center"/>
        <w:rPr>
          <w:rFonts w:eastAsia="Arial" w:cs="Arial"/>
          <w:b/>
          <w:szCs w:val="24"/>
        </w:rPr>
      </w:pPr>
      <w:r>
        <w:rPr>
          <w:rFonts w:eastAsia="Arial" w:cs="Arial"/>
          <w:b/>
          <w:szCs w:val="24"/>
        </w:rPr>
        <w:lastRenderedPageBreak/>
        <w:t>Biographical Sketch</w:t>
      </w:r>
    </w:p>
    <w:p w14:paraId="526B17C5" w14:textId="77777777" w:rsidR="007C6854" w:rsidRDefault="007C6854">
      <w:pPr>
        <w:spacing w:after="160" w:line="259" w:lineRule="auto"/>
        <w:jc w:val="center"/>
        <w:rPr>
          <w:rFonts w:eastAsia="Arial" w:cs="Arial"/>
          <w:b/>
          <w:szCs w:val="24"/>
        </w:rPr>
      </w:pPr>
    </w:p>
    <w:p w14:paraId="717BCC3C" w14:textId="77777777" w:rsidR="007C6854" w:rsidRDefault="00E0219E">
      <w:pPr>
        <w:spacing w:after="160" w:line="360" w:lineRule="auto"/>
        <w:ind w:firstLine="720"/>
        <w:jc w:val="both"/>
        <w:rPr>
          <w:rFonts w:eastAsia="Arial" w:cs="Arial"/>
          <w:szCs w:val="24"/>
        </w:rPr>
      </w:pPr>
      <w:r>
        <w:rPr>
          <w:rFonts w:eastAsia="Arial" w:cs="Arial"/>
          <w:szCs w:val="24"/>
        </w:rPr>
        <w:t xml:space="preserve">Rammell Eric Capco Martinez was born on March 16, 1974, in Sampaloc, Manila. He is married to </w:t>
      </w:r>
      <w:proofErr w:type="spellStart"/>
      <w:r>
        <w:rPr>
          <w:rFonts w:eastAsia="Arial" w:cs="Arial"/>
          <w:szCs w:val="24"/>
        </w:rPr>
        <w:t>Alona</w:t>
      </w:r>
      <w:proofErr w:type="spellEnd"/>
      <w:r>
        <w:rPr>
          <w:rFonts w:eastAsia="Arial" w:cs="Arial"/>
          <w:szCs w:val="24"/>
        </w:rPr>
        <w:t xml:space="preserve"> Angeles Martinez and has two children named Phoebe and Nathan. He graduated with a BS in Nursing from Olivarez College, had post-graduate training in Field Epidemiology (FETP) under the Department of Health Epidemiology Bureau program, and had his Diploma in International Health from the University of the Philippines Open University. He worked on various fields of interest, like disease surveillance, project and program management, and surveys. He authored or co-authored several studies, primarily on NCDs and Injury Prevention. He was currently with the Epidemiology Bureau as a Senior Health Program Officer, assisting, coaching, and mentoring FETP trainees and fellows. He also oversees the implementation of the FETP tier, primarily the Frontline and Intermediate programs, at the sub-national level.</w:t>
      </w:r>
      <w:r>
        <w:br w:type="page"/>
      </w:r>
    </w:p>
    <w:p w14:paraId="6DAF6129" w14:textId="77777777" w:rsidR="00E0219E" w:rsidRDefault="00E0219E">
      <w:pPr>
        <w:tabs>
          <w:tab w:val="center" w:pos="4680"/>
          <w:tab w:val="right" w:pos="9360"/>
        </w:tabs>
        <w:spacing w:after="160" w:line="360" w:lineRule="auto"/>
        <w:jc w:val="center"/>
        <w:rPr>
          <w:rFonts w:eastAsia="Arial" w:cs="Arial"/>
          <w:b/>
          <w:szCs w:val="24"/>
        </w:rPr>
        <w:sectPr w:rsidR="00E0219E">
          <w:headerReference w:type="default" r:id="rId17"/>
          <w:footerReference w:type="default" r:id="rId18"/>
          <w:pgSz w:w="11906" w:h="16838"/>
          <w:pgMar w:top="1440" w:right="1440" w:bottom="1440" w:left="1440" w:header="0" w:footer="0" w:gutter="0"/>
          <w:cols w:space="720"/>
        </w:sectPr>
      </w:pPr>
    </w:p>
    <w:p w14:paraId="7C2F53A2" w14:textId="77777777" w:rsidR="007C6854" w:rsidRDefault="00E0219E">
      <w:pPr>
        <w:tabs>
          <w:tab w:val="center" w:pos="4680"/>
          <w:tab w:val="right" w:pos="9360"/>
        </w:tabs>
        <w:spacing w:after="160" w:line="360" w:lineRule="auto"/>
        <w:jc w:val="center"/>
        <w:rPr>
          <w:rFonts w:eastAsia="Arial" w:cs="Arial"/>
          <w:b/>
          <w:szCs w:val="24"/>
        </w:rPr>
      </w:pPr>
      <w:r>
        <w:rPr>
          <w:rFonts w:eastAsia="Arial" w:cs="Arial"/>
          <w:b/>
          <w:szCs w:val="24"/>
        </w:rPr>
        <w:lastRenderedPageBreak/>
        <w:t>Acknowledgment</w:t>
      </w:r>
    </w:p>
    <w:p w14:paraId="3EA863DD"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 xml:space="preserve">This thesis will not be realized without the support of influential people who are always there along the way. </w:t>
      </w:r>
    </w:p>
    <w:p w14:paraId="5D0BF26B"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 xml:space="preserve">To my better half, </w:t>
      </w:r>
      <w:proofErr w:type="spellStart"/>
      <w:r>
        <w:rPr>
          <w:rFonts w:eastAsia="Arial" w:cs="Arial"/>
          <w:szCs w:val="24"/>
        </w:rPr>
        <w:t>Alona</w:t>
      </w:r>
      <w:proofErr w:type="spellEnd"/>
      <w:r>
        <w:rPr>
          <w:rFonts w:eastAsia="Arial" w:cs="Arial"/>
          <w:szCs w:val="24"/>
        </w:rPr>
        <w:t>, who pushed me to complete this research project</w:t>
      </w:r>
    </w:p>
    <w:p w14:paraId="2E5FEA9C"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To my two kids, Phoebe and Nathan, who became my inspiration to complete this program. They also challenged me to set an excellent example of time management and excellence, saying that education has no age limit, only a willingness to learn. Also, whom I ask for input on this research.</w:t>
      </w:r>
    </w:p>
    <w:p w14:paraId="30B82030"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To my parent’s guidance and support from the start.</w:t>
      </w:r>
    </w:p>
    <w:p w14:paraId="22B7B026"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To my church family, Freedom Church, my discipleship group, my prayer partners, and physical, mental, emotional, and spiritual support in all aspects of my life, including this endeavor.</w:t>
      </w:r>
    </w:p>
    <w:p w14:paraId="7BED6C0E"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 xml:space="preserve">I am also grateful to have a supportive thesis adviser who helped me conceptualize and finalize this manuscript—special thanks to Dr. Myra </w:t>
      </w:r>
      <w:proofErr w:type="spellStart"/>
      <w:r>
        <w:rPr>
          <w:rFonts w:eastAsia="Arial" w:cs="Arial"/>
          <w:szCs w:val="24"/>
        </w:rPr>
        <w:t>Oruga</w:t>
      </w:r>
      <w:proofErr w:type="spellEnd"/>
      <w:r>
        <w:rPr>
          <w:rFonts w:eastAsia="Arial" w:cs="Arial"/>
          <w:szCs w:val="24"/>
        </w:rPr>
        <w:t xml:space="preserve"> and Dr. Sheila Bonito. </w:t>
      </w:r>
    </w:p>
    <w:p w14:paraId="5E575583"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 xml:space="preserve">To my thesis critic and panel members, Dr. Raymundo Celestino, Dr. Eleanor Castillo, and Prof. Jonathan Guevarra, for their guidance and continued support until I finished this thesis. </w:t>
      </w:r>
    </w:p>
    <w:p w14:paraId="57786951"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 xml:space="preserve">To all my professors and mentors at UPOU, if there are more than words to thank you, then that is what I will use. I cannot thank you enough, but rest assured that all that I have learned and gained from my stay at the university will be applied. </w:t>
      </w:r>
    </w:p>
    <w:p w14:paraId="416D2364"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To the University of the Philippines Open University, thank you for accepting me. I will live by the principles and virtues of this university.</w:t>
      </w:r>
    </w:p>
    <w:p w14:paraId="12F37A70"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t>To all my friends and colleagues who are generous in providing technical support and advice, a special mention goes to Ms. Joyce P. Parco, MPH, UP Los Baños, who became one of my peer reviewers. My friends April and Tyrone (WHO consultants) and Pastor David Uson (ALS teacher) also include Mr. Gilberto Santos (the librarian) and my Epidemiology Bureau family.</w:t>
      </w:r>
    </w:p>
    <w:p w14:paraId="212342C0" w14:textId="77777777" w:rsidR="00E77ABE" w:rsidRDefault="00E77ABE">
      <w:pPr>
        <w:tabs>
          <w:tab w:val="center" w:pos="4680"/>
          <w:tab w:val="right" w:pos="9360"/>
        </w:tabs>
        <w:spacing w:after="160" w:line="360" w:lineRule="auto"/>
        <w:ind w:firstLine="720"/>
        <w:jc w:val="both"/>
        <w:rPr>
          <w:rFonts w:eastAsia="Arial" w:cs="Arial"/>
          <w:szCs w:val="24"/>
        </w:rPr>
        <w:sectPr w:rsidR="00E77ABE">
          <w:footerReference w:type="default" r:id="rId19"/>
          <w:pgSz w:w="11906" w:h="16838"/>
          <w:pgMar w:top="1440" w:right="1440" w:bottom="1440" w:left="1440" w:header="0" w:footer="0" w:gutter="0"/>
          <w:cols w:space="720"/>
        </w:sectPr>
      </w:pPr>
    </w:p>
    <w:p w14:paraId="60C489B4" w14:textId="77777777" w:rsidR="007C6854" w:rsidRDefault="00E0219E">
      <w:pPr>
        <w:tabs>
          <w:tab w:val="center" w:pos="4680"/>
          <w:tab w:val="right" w:pos="9360"/>
        </w:tabs>
        <w:spacing w:after="160" w:line="360" w:lineRule="auto"/>
        <w:ind w:firstLine="720"/>
        <w:jc w:val="both"/>
        <w:rPr>
          <w:rFonts w:eastAsia="Arial" w:cs="Arial"/>
          <w:szCs w:val="24"/>
        </w:rPr>
      </w:pPr>
      <w:r>
        <w:rPr>
          <w:rFonts w:eastAsia="Arial" w:cs="Arial"/>
          <w:szCs w:val="24"/>
        </w:rPr>
        <w:lastRenderedPageBreak/>
        <w:t xml:space="preserve">Also, thanks to the Mayor Juan R. Sanchez Health Center staff, especially Dr. Ronald Flores and Ms. Donna R. Dela Cruz, who generously shared their time and resources to complete this research. And to the people of Pateros, especially the community of </w:t>
      </w:r>
      <w:proofErr w:type="spellStart"/>
      <w:r>
        <w:rPr>
          <w:rFonts w:eastAsia="Arial" w:cs="Arial"/>
          <w:szCs w:val="24"/>
        </w:rPr>
        <w:t>Bukuhan</w:t>
      </w:r>
      <w:proofErr w:type="spellEnd"/>
      <w:r>
        <w:rPr>
          <w:rFonts w:eastAsia="Arial" w:cs="Arial"/>
          <w:szCs w:val="24"/>
        </w:rPr>
        <w:t xml:space="preserve">. I am dedicating this research to you. </w:t>
      </w:r>
    </w:p>
    <w:p w14:paraId="6EE3A2F1" w14:textId="77777777" w:rsidR="007C6854" w:rsidRDefault="00E0219E">
      <w:pPr>
        <w:tabs>
          <w:tab w:val="center" w:pos="4680"/>
          <w:tab w:val="right" w:pos="9360"/>
        </w:tabs>
        <w:spacing w:after="160" w:line="360" w:lineRule="auto"/>
        <w:ind w:firstLine="720"/>
        <w:jc w:val="both"/>
        <w:rPr>
          <w:rFonts w:eastAsia="Arial" w:cs="Arial"/>
          <w:b/>
          <w:szCs w:val="24"/>
        </w:rPr>
      </w:pPr>
      <w:r>
        <w:rPr>
          <w:rFonts w:eastAsia="Arial" w:cs="Arial"/>
          <w:szCs w:val="24"/>
        </w:rPr>
        <w:t xml:space="preserve">Most of all, to the </w:t>
      </w:r>
      <w:r>
        <w:rPr>
          <w:rFonts w:eastAsia="Arial" w:cs="Arial"/>
          <w:b/>
          <w:szCs w:val="24"/>
        </w:rPr>
        <w:t>Almighty God, my Savior Jesus Christ, and the guidance of the Holy Spirit;</w:t>
      </w:r>
      <w:r>
        <w:rPr>
          <w:rFonts w:eastAsia="Arial" w:cs="Arial"/>
          <w:szCs w:val="24"/>
        </w:rPr>
        <w:t xml:space="preserve"> without their wisdom, all knowledge and effort gained are in vain. </w:t>
      </w:r>
      <w:r>
        <w:rPr>
          <w:rFonts w:eastAsia="Arial" w:cs="Arial"/>
          <w:b/>
          <w:szCs w:val="24"/>
        </w:rPr>
        <w:t>All glory to God.</w:t>
      </w:r>
    </w:p>
    <w:p w14:paraId="2DEEEE9D" w14:textId="77777777" w:rsidR="007C6854" w:rsidRDefault="00E0219E">
      <w:pPr>
        <w:spacing w:after="160" w:line="360" w:lineRule="auto"/>
        <w:ind w:firstLine="720"/>
        <w:jc w:val="center"/>
        <w:rPr>
          <w:rFonts w:eastAsia="Arial" w:cs="Arial"/>
          <w:b/>
          <w:szCs w:val="24"/>
        </w:rPr>
      </w:pPr>
      <w:r>
        <w:br w:type="page"/>
      </w:r>
    </w:p>
    <w:p w14:paraId="09620B87" w14:textId="77777777" w:rsidR="00E77ABE" w:rsidRDefault="00E77ABE">
      <w:pPr>
        <w:spacing w:after="160" w:line="360" w:lineRule="auto"/>
        <w:ind w:firstLine="720"/>
        <w:jc w:val="center"/>
        <w:rPr>
          <w:rFonts w:eastAsia="Arial" w:cs="Arial"/>
          <w:b/>
          <w:szCs w:val="24"/>
        </w:rPr>
        <w:sectPr w:rsidR="00E77ABE">
          <w:footerReference w:type="default" r:id="rId20"/>
          <w:pgSz w:w="11906" w:h="16838"/>
          <w:pgMar w:top="1440" w:right="1440" w:bottom="1440" w:left="1440" w:header="0" w:footer="0" w:gutter="0"/>
          <w:cols w:space="720"/>
        </w:sectPr>
      </w:pPr>
    </w:p>
    <w:p w14:paraId="1160E774" w14:textId="77777777" w:rsidR="007C6854" w:rsidRDefault="00E0219E">
      <w:pPr>
        <w:spacing w:after="160" w:line="360" w:lineRule="auto"/>
        <w:ind w:firstLine="720"/>
        <w:jc w:val="center"/>
        <w:rPr>
          <w:rFonts w:eastAsia="Arial" w:cs="Arial"/>
          <w:b/>
          <w:szCs w:val="24"/>
        </w:rPr>
      </w:pPr>
      <w:r>
        <w:rPr>
          <w:rFonts w:eastAsia="Arial" w:cs="Arial"/>
          <w:b/>
          <w:szCs w:val="24"/>
        </w:rPr>
        <w:lastRenderedPageBreak/>
        <w:t>Dedication</w:t>
      </w:r>
    </w:p>
    <w:p w14:paraId="7E14E79C" w14:textId="77777777" w:rsidR="00E77ABE" w:rsidRDefault="00E0219E" w:rsidP="00E77ABE">
      <w:pPr>
        <w:spacing w:after="160" w:line="360" w:lineRule="auto"/>
        <w:rPr>
          <w:rFonts w:eastAsia="Arial" w:cs="Arial"/>
          <w:szCs w:val="24"/>
        </w:rPr>
        <w:sectPr w:rsidR="00E77ABE">
          <w:headerReference w:type="default" r:id="rId21"/>
          <w:footerReference w:type="default" r:id="rId22"/>
          <w:pgSz w:w="11906" w:h="16838"/>
          <w:pgMar w:top="1440" w:right="1440" w:bottom="1440" w:left="1440" w:header="0" w:footer="0" w:gutter="0"/>
          <w:cols w:space="720"/>
        </w:sectPr>
      </w:pPr>
      <w:r>
        <w:rPr>
          <w:rFonts w:eastAsia="Arial" w:cs="Arial"/>
          <w:szCs w:val="24"/>
        </w:rPr>
        <w:tab/>
        <w:t>I dedicate this study to my family, who have inspired me to continue this program. Also, to the people of Pateros, who are near my heart. I hope to see changes in the community's health due to this study.</w:t>
      </w:r>
    </w:p>
    <w:p w14:paraId="03064DD4" w14:textId="77777777" w:rsidR="007C6854" w:rsidRDefault="00E0219E" w:rsidP="00E77ABE">
      <w:pPr>
        <w:spacing w:after="160" w:line="259" w:lineRule="auto"/>
        <w:jc w:val="center"/>
        <w:rPr>
          <w:rFonts w:eastAsia="Arial" w:cs="Arial"/>
          <w:b/>
          <w:szCs w:val="24"/>
        </w:rPr>
      </w:pPr>
      <w:r>
        <w:rPr>
          <w:rFonts w:eastAsia="Arial" w:cs="Arial"/>
          <w:b/>
          <w:szCs w:val="24"/>
        </w:rPr>
        <w:lastRenderedPageBreak/>
        <w:t>ABSTRACT</w:t>
      </w:r>
    </w:p>
    <w:p w14:paraId="23E45EC3" w14:textId="77777777" w:rsidR="007C6854" w:rsidRDefault="007C6854">
      <w:pPr>
        <w:spacing w:after="160" w:line="259" w:lineRule="auto"/>
        <w:rPr>
          <w:rFonts w:eastAsia="Arial" w:cs="Arial"/>
          <w:b/>
          <w:szCs w:val="24"/>
        </w:rPr>
      </w:pPr>
    </w:p>
    <w:p w14:paraId="0B1420C8" w14:textId="77777777" w:rsidR="007C6854" w:rsidRDefault="00E0219E">
      <w:pPr>
        <w:spacing w:after="160" w:line="360" w:lineRule="auto"/>
        <w:ind w:firstLine="720"/>
        <w:jc w:val="both"/>
        <w:rPr>
          <w:rFonts w:eastAsia="Arial" w:cs="Arial"/>
          <w:b/>
          <w:szCs w:val="24"/>
        </w:rPr>
      </w:pPr>
      <w:bookmarkStart w:id="0" w:name="_heading=h.gjdgxs" w:colFirst="0" w:colLast="0"/>
      <w:bookmarkEnd w:id="0"/>
      <w:r>
        <w:rPr>
          <w:rFonts w:eastAsia="Arial" w:cs="Arial"/>
          <w:szCs w:val="24"/>
        </w:rPr>
        <w:t>Hypertension is a global killer. Although it affects older people, some studies have implied that hypertension affects even youth and children (Joubert et al., 2021; Jones et al., 2020; Kandala et al., 2021). Non-modifiable and modifiable risk factors contribute to hypertension. Most of the time, those in the low-income class are more at risk of getting the disease due to an unhealthy lifestyle and socio-ecological exposure. In addition, studies suggest that health literacy is associated with hypertension. The research will discover the association between health literacy and other factors influencing poor urban settlers with hypertension.</w:t>
      </w:r>
      <w:r>
        <w:rPr>
          <w:rFonts w:eastAsia="Arial" w:cs="Arial"/>
          <w:b/>
          <w:szCs w:val="24"/>
        </w:rPr>
        <w:t xml:space="preserve"> </w:t>
      </w:r>
      <w:r>
        <w:rPr>
          <w:rFonts w:eastAsia="Arial" w:cs="Arial"/>
          <w:szCs w:val="24"/>
        </w:rPr>
        <w:t>A descriptive-correlational study design was employed. The research setting was an urban poor community with the possibility of a high prevalence of hypertension. Purposive sampling, typical case sampling, and maximum variation sampling were employed. A survey questionnaire was utilized to capture the prevalence of hypertension, socio-demographic, and health literacy data. The data were analyzed according to the research objectives, utilizing frequency distribution, descriptive statistics, and measures of association. The UPOU-FMDS and UPOU-IREC approved the research after the thesis panel had reviewed it. A total of 151 participants were included in the study. Most were female, and the median age was 62 years old. More significant risks were seen among individuals 60 and older with low educational status and employed individuals with HPN and low health literacy. The risk of hypertension is lower for individuals with high health literacy.</w:t>
      </w:r>
      <w:r>
        <w:rPr>
          <w:rFonts w:eastAsia="Arial" w:cs="Arial"/>
          <w:b/>
          <w:szCs w:val="24"/>
        </w:rPr>
        <w:t xml:space="preserve"> </w:t>
      </w:r>
      <w:r>
        <w:rPr>
          <w:rFonts w:eastAsia="Arial" w:cs="Arial"/>
          <w:szCs w:val="24"/>
        </w:rPr>
        <w:t>Health literacy research is becoming more popular in the public health and social science communities. The study proves that health literacy and hypertension are correlated. Low health literacy is a risk factor, and those with high health literacy can manage their health; thus, they have a low risk of hypertension. Preventing hypertension in urban poor settings needs an integrated approach model in the continuum of health promotion, prevention, and primary care.</w:t>
      </w:r>
    </w:p>
    <w:p w14:paraId="1E3A5D25" w14:textId="77777777" w:rsidR="007C6854" w:rsidRDefault="007C6854">
      <w:pPr>
        <w:spacing w:line="360" w:lineRule="auto"/>
        <w:jc w:val="both"/>
        <w:rPr>
          <w:rFonts w:eastAsia="Arial" w:cs="Arial"/>
          <w:szCs w:val="24"/>
        </w:rPr>
      </w:pPr>
    </w:p>
    <w:p w14:paraId="3D7C664B" w14:textId="77777777" w:rsidR="007C6854" w:rsidRDefault="00E0219E">
      <w:pPr>
        <w:spacing w:line="360" w:lineRule="auto"/>
        <w:jc w:val="both"/>
        <w:rPr>
          <w:rFonts w:eastAsia="Arial" w:cs="Arial"/>
          <w:szCs w:val="24"/>
        </w:rPr>
        <w:sectPr w:rsidR="007C6854">
          <w:footerReference w:type="default" r:id="rId23"/>
          <w:pgSz w:w="11906" w:h="16838"/>
          <w:pgMar w:top="1440" w:right="1440" w:bottom="1440" w:left="1440" w:header="0" w:footer="0" w:gutter="0"/>
          <w:cols w:space="720"/>
        </w:sectPr>
      </w:pPr>
      <w:r>
        <w:rPr>
          <w:rFonts w:eastAsia="Arial" w:cs="Arial"/>
          <w:szCs w:val="24"/>
        </w:rPr>
        <w:t>Keywords: Urban poor hypertension, Urban poor health literacy, Health literacy survey</w:t>
      </w:r>
    </w:p>
    <w:p w14:paraId="686D1D37" w14:textId="77777777" w:rsidR="007C6854" w:rsidRDefault="00E0219E">
      <w:pPr>
        <w:spacing w:after="160" w:line="259" w:lineRule="auto"/>
        <w:jc w:val="center"/>
        <w:rPr>
          <w:rFonts w:eastAsia="Arial" w:cs="Arial"/>
          <w:b/>
          <w:szCs w:val="24"/>
        </w:rPr>
      </w:pPr>
      <w:r>
        <w:rPr>
          <w:rFonts w:eastAsia="Arial" w:cs="Arial"/>
          <w:b/>
          <w:szCs w:val="24"/>
        </w:rPr>
        <w:lastRenderedPageBreak/>
        <w:t>Tables of Contents</w:t>
      </w:r>
    </w:p>
    <w:tbl>
      <w:tblPr>
        <w:tblStyle w:val="affe"/>
        <w:tblW w:w="8865" w:type="dxa"/>
        <w:tblBorders>
          <w:top w:val="nil"/>
          <w:left w:val="nil"/>
          <w:bottom w:val="nil"/>
          <w:right w:val="nil"/>
          <w:insideH w:val="nil"/>
          <w:insideV w:val="nil"/>
        </w:tblBorders>
        <w:tblLayout w:type="fixed"/>
        <w:tblLook w:val="0600" w:firstRow="0" w:lastRow="0" w:firstColumn="0" w:lastColumn="0" w:noHBand="1" w:noVBand="1"/>
      </w:tblPr>
      <w:tblGrid>
        <w:gridCol w:w="7485"/>
        <w:gridCol w:w="1380"/>
      </w:tblGrid>
      <w:tr w:rsidR="007C6854" w14:paraId="641D3FBD"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D06BC3E" w14:textId="77777777" w:rsidR="007C6854" w:rsidRDefault="00E0219E">
            <w:pPr>
              <w:rPr>
                <w:rFonts w:eastAsia="Arial" w:cs="Arial"/>
                <w:b/>
                <w:szCs w:val="24"/>
              </w:rPr>
            </w:pPr>
            <w:r>
              <w:rPr>
                <w:rFonts w:eastAsia="Arial" w:cs="Arial"/>
                <w:b/>
                <w:szCs w:val="24"/>
              </w:rPr>
              <w:t>Title Page</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6707AA1" w14:textId="77777777" w:rsidR="007C6854" w:rsidRDefault="00E0219E">
            <w:pPr>
              <w:jc w:val="center"/>
              <w:rPr>
                <w:rFonts w:eastAsia="Arial" w:cs="Arial"/>
                <w:szCs w:val="24"/>
              </w:rPr>
            </w:pPr>
            <w:proofErr w:type="spellStart"/>
            <w:r>
              <w:rPr>
                <w:rFonts w:eastAsia="Arial" w:cs="Arial"/>
                <w:szCs w:val="24"/>
              </w:rPr>
              <w:t>i</w:t>
            </w:r>
            <w:proofErr w:type="spellEnd"/>
          </w:p>
        </w:tc>
      </w:tr>
      <w:tr w:rsidR="007C6854" w14:paraId="5D88B72D"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12319EA" w14:textId="77777777" w:rsidR="007C6854" w:rsidRDefault="00E0219E">
            <w:pPr>
              <w:rPr>
                <w:rFonts w:eastAsia="Arial" w:cs="Arial"/>
                <w:b/>
                <w:szCs w:val="24"/>
              </w:rPr>
            </w:pPr>
            <w:r>
              <w:rPr>
                <w:rFonts w:eastAsia="Arial" w:cs="Arial"/>
                <w:b/>
                <w:szCs w:val="24"/>
              </w:rPr>
              <w:t>University Permission Page</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AA60132" w14:textId="77777777" w:rsidR="007C6854" w:rsidRDefault="00E0219E">
            <w:pPr>
              <w:jc w:val="center"/>
              <w:rPr>
                <w:rFonts w:eastAsia="Arial" w:cs="Arial"/>
                <w:szCs w:val="24"/>
              </w:rPr>
            </w:pPr>
            <w:r>
              <w:rPr>
                <w:rFonts w:eastAsia="Arial" w:cs="Arial"/>
                <w:szCs w:val="24"/>
              </w:rPr>
              <w:t>ii</w:t>
            </w:r>
          </w:p>
        </w:tc>
      </w:tr>
      <w:tr w:rsidR="007C6854" w14:paraId="12B9A281"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0E81548" w14:textId="77777777" w:rsidR="007C6854" w:rsidRDefault="00E0219E">
            <w:pPr>
              <w:rPr>
                <w:rFonts w:eastAsia="Arial" w:cs="Arial"/>
                <w:b/>
                <w:szCs w:val="24"/>
              </w:rPr>
            </w:pPr>
            <w:r>
              <w:rPr>
                <w:rFonts w:eastAsia="Arial" w:cs="Arial"/>
                <w:b/>
                <w:szCs w:val="24"/>
              </w:rPr>
              <w:t>Acceptance Page</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285667D" w14:textId="77777777" w:rsidR="007C6854" w:rsidRDefault="00E0219E">
            <w:pPr>
              <w:jc w:val="center"/>
              <w:rPr>
                <w:rFonts w:eastAsia="Arial" w:cs="Arial"/>
                <w:szCs w:val="24"/>
              </w:rPr>
            </w:pPr>
            <w:r>
              <w:rPr>
                <w:rFonts w:eastAsia="Arial" w:cs="Arial"/>
                <w:szCs w:val="24"/>
              </w:rPr>
              <w:t>iii</w:t>
            </w:r>
          </w:p>
        </w:tc>
      </w:tr>
      <w:tr w:rsidR="007C6854" w14:paraId="281C49E6"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69BE136" w14:textId="77777777" w:rsidR="007C6854" w:rsidRDefault="00E0219E">
            <w:pPr>
              <w:rPr>
                <w:rFonts w:eastAsia="Arial" w:cs="Arial"/>
                <w:b/>
                <w:szCs w:val="24"/>
              </w:rPr>
            </w:pPr>
            <w:r>
              <w:rPr>
                <w:rFonts w:eastAsia="Arial" w:cs="Arial"/>
                <w:b/>
                <w:szCs w:val="24"/>
              </w:rPr>
              <w:t>Biographical Sketch</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51BD737" w14:textId="77777777" w:rsidR="007C6854" w:rsidRDefault="00E0219E">
            <w:pPr>
              <w:jc w:val="center"/>
              <w:rPr>
                <w:rFonts w:eastAsia="Arial" w:cs="Arial"/>
                <w:szCs w:val="24"/>
              </w:rPr>
            </w:pPr>
            <w:r>
              <w:rPr>
                <w:rFonts w:eastAsia="Arial" w:cs="Arial"/>
                <w:szCs w:val="24"/>
              </w:rPr>
              <w:t>iv</w:t>
            </w:r>
          </w:p>
        </w:tc>
      </w:tr>
      <w:tr w:rsidR="007C6854" w14:paraId="5954C827"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04BCC20" w14:textId="77777777" w:rsidR="007C6854" w:rsidRDefault="00E0219E">
            <w:pPr>
              <w:rPr>
                <w:rFonts w:eastAsia="Arial" w:cs="Arial"/>
                <w:b/>
                <w:szCs w:val="24"/>
              </w:rPr>
            </w:pPr>
            <w:r>
              <w:rPr>
                <w:rFonts w:eastAsia="Arial" w:cs="Arial"/>
                <w:b/>
                <w:szCs w:val="24"/>
              </w:rPr>
              <w:t>Acknowledgment</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6E2E414" w14:textId="77777777" w:rsidR="007C6854" w:rsidRDefault="00E0219E">
            <w:pPr>
              <w:jc w:val="center"/>
              <w:rPr>
                <w:rFonts w:eastAsia="Arial" w:cs="Arial"/>
                <w:szCs w:val="24"/>
              </w:rPr>
            </w:pPr>
            <w:r>
              <w:rPr>
                <w:rFonts w:eastAsia="Arial" w:cs="Arial"/>
                <w:szCs w:val="24"/>
              </w:rPr>
              <w:t>v</w:t>
            </w:r>
          </w:p>
        </w:tc>
      </w:tr>
      <w:tr w:rsidR="007C6854" w14:paraId="53EFCE53"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248F67CC" w14:textId="77777777" w:rsidR="007C6854" w:rsidRDefault="00E0219E">
            <w:pPr>
              <w:rPr>
                <w:rFonts w:eastAsia="Arial" w:cs="Arial"/>
                <w:b/>
                <w:szCs w:val="24"/>
              </w:rPr>
            </w:pPr>
            <w:r>
              <w:rPr>
                <w:rFonts w:eastAsia="Arial" w:cs="Arial"/>
                <w:b/>
                <w:szCs w:val="24"/>
              </w:rPr>
              <w:t>Dedication</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2C8DB89B" w14:textId="77777777" w:rsidR="007C6854" w:rsidRDefault="00E0219E">
            <w:pPr>
              <w:jc w:val="center"/>
              <w:rPr>
                <w:rFonts w:eastAsia="Arial" w:cs="Arial"/>
                <w:szCs w:val="24"/>
              </w:rPr>
            </w:pPr>
            <w:r>
              <w:rPr>
                <w:rFonts w:eastAsia="Arial" w:cs="Arial"/>
                <w:szCs w:val="24"/>
              </w:rPr>
              <w:t>vii</w:t>
            </w:r>
          </w:p>
        </w:tc>
      </w:tr>
      <w:tr w:rsidR="007C6854" w14:paraId="3507D7A4"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1CB32F3" w14:textId="77777777" w:rsidR="007C6854" w:rsidRDefault="00E0219E">
            <w:pPr>
              <w:rPr>
                <w:rFonts w:eastAsia="Arial" w:cs="Arial"/>
                <w:b/>
                <w:szCs w:val="24"/>
              </w:rPr>
            </w:pPr>
            <w:r>
              <w:rPr>
                <w:rFonts w:eastAsia="Arial" w:cs="Arial"/>
                <w:b/>
                <w:szCs w:val="24"/>
              </w:rPr>
              <w:t>ABSTRACT</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B6E6439" w14:textId="77777777" w:rsidR="007C6854" w:rsidRDefault="00E0219E">
            <w:pPr>
              <w:jc w:val="center"/>
              <w:rPr>
                <w:rFonts w:eastAsia="Arial" w:cs="Arial"/>
                <w:szCs w:val="24"/>
              </w:rPr>
            </w:pPr>
            <w:r>
              <w:rPr>
                <w:rFonts w:eastAsia="Arial" w:cs="Arial"/>
                <w:szCs w:val="24"/>
              </w:rPr>
              <w:t xml:space="preserve"> viii</w:t>
            </w:r>
          </w:p>
        </w:tc>
      </w:tr>
      <w:tr w:rsidR="007C6854" w14:paraId="6B9B3A7B"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08E88EDD" w14:textId="77777777" w:rsidR="007C6854" w:rsidRDefault="00E0219E">
            <w:pPr>
              <w:rPr>
                <w:rFonts w:eastAsia="Arial" w:cs="Arial"/>
                <w:b/>
                <w:szCs w:val="24"/>
              </w:rPr>
            </w:pPr>
            <w:r>
              <w:rPr>
                <w:rFonts w:eastAsia="Arial" w:cs="Arial"/>
                <w:b/>
                <w:szCs w:val="24"/>
              </w:rPr>
              <w:t>Table of Contents</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CBD776B" w14:textId="77777777" w:rsidR="007C6854" w:rsidRDefault="00E0219E">
            <w:pPr>
              <w:jc w:val="center"/>
              <w:rPr>
                <w:rFonts w:eastAsia="Arial" w:cs="Arial"/>
                <w:szCs w:val="24"/>
              </w:rPr>
            </w:pPr>
            <w:r>
              <w:rPr>
                <w:rFonts w:eastAsia="Arial" w:cs="Arial"/>
                <w:szCs w:val="24"/>
              </w:rPr>
              <w:t>ix</w:t>
            </w:r>
          </w:p>
        </w:tc>
      </w:tr>
      <w:tr w:rsidR="007C6854" w14:paraId="16EB0DC3"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D1F6F21" w14:textId="77777777" w:rsidR="007C6854" w:rsidRDefault="00E0219E">
            <w:pPr>
              <w:rPr>
                <w:rFonts w:eastAsia="Arial" w:cs="Arial"/>
                <w:b/>
                <w:szCs w:val="24"/>
              </w:rPr>
            </w:pPr>
            <w:r>
              <w:rPr>
                <w:rFonts w:eastAsia="Arial" w:cs="Arial"/>
                <w:b/>
                <w:szCs w:val="24"/>
              </w:rPr>
              <w:t>List of Tables</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9F714EF" w14:textId="77777777" w:rsidR="007C6854" w:rsidRDefault="00E0219E">
            <w:pPr>
              <w:jc w:val="center"/>
              <w:rPr>
                <w:rFonts w:eastAsia="Arial" w:cs="Arial"/>
                <w:szCs w:val="24"/>
              </w:rPr>
            </w:pPr>
            <w:r>
              <w:rPr>
                <w:rFonts w:eastAsia="Arial" w:cs="Arial"/>
                <w:szCs w:val="24"/>
              </w:rPr>
              <w:t xml:space="preserve"> xii</w:t>
            </w:r>
          </w:p>
        </w:tc>
      </w:tr>
      <w:tr w:rsidR="007C6854" w14:paraId="36998CDA"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27BABE9" w14:textId="77777777" w:rsidR="007C6854" w:rsidRDefault="00E0219E">
            <w:pPr>
              <w:rPr>
                <w:rFonts w:eastAsia="Arial" w:cs="Arial"/>
                <w:b/>
                <w:szCs w:val="24"/>
              </w:rPr>
            </w:pPr>
            <w:r>
              <w:rPr>
                <w:rFonts w:eastAsia="Arial" w:cs="Arial"/>
                <w:b/>
                <w:szCs w:val="24"/>
              </w:rPr>
              <w:t>List of Figures</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D7EDAB7" w14:textId="77777777" w:rsidR="007C6854" w:rsidRDefault="00E0219E">
            <w:pPr>
              <w:jc w:val="center"/>
              <w:rPr>
                <w:rFonts w:eastAsia="Arial" w:cs="Arial"/>
                <w:szCs w:val="24"/>
              </w:rPr>
            </w:pPr>
            <w:r>
              <w:rPr>
                <w:rFonts w:eastAsia="Arial" w:cs="Arial"/>
                <w:szCs w:val="24"/>
              </w:rPr>
              <w:t>xiii</w:t>
            </w:r>
          </w:p>
        </w:tc>
      </w:tr>
      <w:tr w:rsidR="007C6854" w14:paraId="46B6E6A6"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BBD501A" w14:textId="77777777" w:rsidR="007C6854" w:rsidRDefault="00E0219E">
            <w:pPr>
              <w:rPr>
                <w:rFonts w:eastAsia="Arial" w:cs="Arial"/>
                <w:b/>
                <w:szCs w:val="24"/>
              </w:rPr>
            </w:pPr>
            <w:r>
              <w:rPr>
                <w:rFonts w:eastAsia="Arial" w:cs="Arial"/>
                <w:b/>
                <w:szCs w:val="24"/>
              </w:rPr>
              <w:t>List of Appendices</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8B6C52B" w14:textId="77777777" w:rsidR="007C6854" w:rsidRDefault="00E0219E">
            <w:pPr>
              <w:jc w:val="center"/>
              <w:rPr>
                <w:rFonts w:eastAsia="Arial" w:cs="Arial"/>
                <w:szCs w:val="24"/>
              </w:rPr>
            </w:pPr>
            <w:r>
              <w:rPr>
                <w:rFonts w:eastAsia="Arial" w:cs="Arial"/>
                <w:szCs w:val="24"/>
              </w:rPr>
              <w:t xml:space="preserve"> xiv</w:t>
            </w:r>
          </w:p>
        </w:tc>
      </w:tr>
      <w:tr w:rsidR="007C6854" w14:paraId="11C8558F"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1BB5AF3" w14:textId="77777777" w:rsidR="007C6854" w:rsidRDefault="00E0219E">
            <w:pPr>
              <w:rPr>
                <w:rFonts w:eastAsia="Arial" w:cs="Arial"/>
                <w:b/>
                <w:szCs w:val="24"/>
              </w:rPr>
            </w:pPr>
            <w:r>
              <w:rPr>
                <w:rFonts w:eastAsia="Arial" w:cs="Arial"/>
                <w:b/>
                <w:szCs w:val="24"/>
              </w:rPr>
              <w:t>List of Acronyms and Abbreviations</w:t>
            </w: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B9D04A7" w14:textId="77777777" w:rsidR="007C6854" w:rsidRDefault="00E0219E">
            <w:pPr>
              <w:jc w:val="center"/>
              <w:rPr>
                <w:rFonts w:eastAsia="Arial" w:cs="Arial"/>
                <w:szCs w:val="24"/>
              </w:rPr>
            </w:pPr>
            <w:r>
              <w:rPr>
                <w:rFonts w:eastAsia="Arial" w:cs="Arial"/>
                <w:szCs w:val="24"/>
              </w:rPr>
              <w:t xml:space="preserve"> xv</w:t>
            </w:r>
          </w:p>
        </w:tc>
      </w:tr>
      <w:tr w:rsidR="007C6854" w14:paraId="1E6ED4FB" w14:textId="77777777">
        <w:trPr>
          <w:trHeight w:val="485"/>
        </w:trPr>
        <w:tc>
          <w:tcPr>
            <w:tcW w:w="7485"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D870F16" w14:textId="77777777" w:rsidR="007C6854" w:rsidRDefault="007C6854">
            <w:pPr>
              <w:rPr>
                <w:rFonts w:eastAsia="Arial" w:cs="Arial"/>
                <w:b/>
                <w:szCs w:val="24"/>
              </w:rPr>
            </w:pPr>
          </w:p>
        </w:tc>
        <w:tc>
          <w:tcPr>
            <w:tcW w:w="1380"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15AAB6A" w14:textId="77777777" w:rsidR="007C6854" w:rsidRDefault="007C6854">
            <w:pPr>
              <w:jc w:val="center"/>
              <w:rPr>
                <w:rFonts w:eastAsia="Arial" w:cs="Arial"/>
                <w:szCs w:val="24"/>
              </w:rPr>
            </w:pPr>
          </w:p>
        </w:tc>
      </w:tr>
    </w:tbl>
    <w:p w14:paraId="3A37F6CF" w14:textId="77777777" w:rsidR="007C6854" w:rsidRDefault="007C6854">
      <w:pPr>
        <w:spacing w:after="0" w:line="240" w:lineRule="auto"/>
        <w:rPr>
          <w:rFonts w:eastAsia="Arial" w:cs="Arial"/>
          <w:b/>
          <w:szCs w:val="24"/>
        </w:rPr>
        <w:sectPr w:rsidR="007C6854">
          <w:headerReference w:type="default" r:id="rId24"/>
          <w:footerReference w:type="default" r:id="rId25"/>
          <w:pgSz w:w="11906" w:h="16838"/>
          <w:pgMar w:top="1440" w:right="1440" w:bottom="1440" w:left="1440" w:header="0" w:footer="0" w:gutter="0"/>
          <w:cols w:space="720"/>
        </w:sectPr>
      </w:pPr>
    </w:p>
    <w:p w14:paraId="1004383F" w14:textId="77777777" w:rsidR="007C6854" w:rsidRDefault="00E0219E">
      <w:pPr>
        <w:spacing w:after="0" w:line="240" w:lineRule="auto"/>
        <w:jc w:val="center"/>
        <w:rPr>
          <w:rFonts w:eastAsia="Arial" w:cs="Arial"/>
          <w:b/>
          <w:szCs w:val="24"/>
        </w:rPr>
      </w:pPr>
      <w:r>
        <w:rPr>
          <w:rFonts w:eastAsia="Arial" w:cs="Arial"/>
          <w:b/>
          <w:szCs w:val="24"/>
        </w:rPr>
        <w:lastRenderedPageBreak/>
        <w:t>Tables of Contents</w:t>
      </w:r>
    </w:p>
    <w:p w14:paraId="0CEE8296" w14:textId="77777777" w:rsidR="007C6854" w:rsidRDefault="007C6854">
      <w:pPr>
        <w:spacing w:after="0" w:line="240" w:lineRule="auto"/>
        <w:jc w:val="center"/>
        <w:rPr>
          <w:rFonts w:eastAsia="Arial" w:cs="Arial"/>
          <w:b/>
          <w:szCs w:val="24"/>
        </w:rPr>
      </w:pPr>
    </w:p>
    <w:p w14:paraId="351462B9" w14:textId="77777777" w:rsidR="007C6854" w:rsidRDefault="007C6854">
      <w:pPr>
        <w:keepNext/>
        <w:keepLines/>
        <w:pBdr>
          <w:top w:val="nil"/>
          <w:left w:val="nil"/>
          <w:bottom w:val="nil"/>
          <w:right w:val="nil"/>
          <w:between w:val="nil"/>
        </w:pBdr>
        <w:spacing w:before="240" w:after="0" w:line="259" w:lineRule="auto"/>
        <w:rPr>
          <w:rFonts w:eastAsia="Arial" w:cs="Arial"/>
          <w:color w:val="2F5496"/>
          <w:szCs w:val="24"/>
        </w:rPr>
      </w:pPr>
    </w:p>
    <w:sdt>
      <w:sdtPr>
        <w:id w:val="1511486080"/>
        <w:docPartObj>
          <w:docPartGallery w:val="Table of Contents"/>
          <w:docPartUnique/>
        </w:docPartObj>
      </w:sdtPr>
      <w:sdtContent>
        <w:p w14:paraId="6A1C2FD1" w14:textId="77777777" w:rsidR="007C6854" w:rsidRDefault="00E0219E">
          <w:pPr>
            <w:pBdr>
              <w:top w:val="nil"/>
              <w:left w:val="nil"/>
              <w:bottom w:val="nil"/>
              <w:right w:val="nil"/>
              <w:between w:val="nil"/>
            </w:pBdr>
            <w:tabs>
              <w:tab w:val="right" w:pos="9350"/>
            </w:tabs>
            <w:spacing w:after="100"/>
            <w:rPr>
              <w:color w:val="000000"/>
              <w:szCs w:val="24"/>
            </w:rPr>
          </w:pPr>
          <w:r>
            <w:fldChar w:fldCharType="begin"/>
          </w:r>
          <w:r>
            <w:instrText xml:space="preserve"> TOC \h \u \z \t "Heading 1,1,Heading 2,2,Heading 3,3,"</w:instrText>
          </w:r>
          <w:r>
            <w:fldChar w:fldCharType="separate"/>
          </w:r>
          <w:hyperlink w:anchor="_heading=h.30j0zll">
            <w:r>
              <w:rPr>
                <w:rFonts w:eastAsia="Arial" w:cs="Arial"/>
                <w:b/>
                <w:color w:val="000000"/>
                <w:szCs w:val="24"/>
              </w:rPr>
              <w:t>Chapter I: THE RESEARCH PROBLEM</w:t>
            </w:r>
          </w:hyperlink>
          <w:hyperlink w:anchor="_heading=h.30j0zll">
            <w:r>
              <w:rPr>
                <w:color w:val="000000"/>
                <w:szCs w:val="24"/>
              </w:rPr>
              <w:tab/>
              <w:t>1</w:t>
            </w:r>
          </w:hyperlink>
        </w:p>
        <w:p w14:paraId="5663523F"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dy6vkm">
            <w:r w:rsidR="00E0219E">
              <w:rPr>
                <w:rFonts w:eastAsia="Arial" w:cs="Arial"/>
                <w:color w:val="000000"/>
                <w:szCs w:val="24"/>
              </w:rPr>
              <w:t>Background of the Study</w:t>
            </w:r>
          </w:hyperlink>
          <w:hyperlink w:anchor="_heading=h.3dy6vkm">
            <w:r w:rsidR="00E0219E">
              <w:rPr>
                <w:color w:val="000000"/>
                <w:szCs w:val="24"/>
              </w:rPr>
              <w:tab/>
              <w:t>1</w:t>
            </w:r>
          </w:hyperlink>
        </w:p>
        <w:p w14:paraId="3B571540"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t3h5sf">
            <w:r w:rsidR="00E0219E">
              <w:rPr>
                <w:rFonts w:eastAsia="Arial" w:cs="Arial"/>
                <w:color w:val="000000"/>
                <w:szCs w:val="24"/>
              </w:rPr>
              <w:t>Objectives of the Study</w:t>
            </w:r>
          </w:hyperlink>
          <w:hyperlink w:anchor="_heading=h.1t3h5sf">
            <w:r w:rsidR="00E0219E">
              <w:rPr>
                <w:color w:val="000000"/>
                <w:szCs w:val="24"/>
              </w:rPr>
              <w:tab/>
              <w:t>4</w:t>
            </w:r>
          </w:hyperlink>
        </w:p>
        <w:p w14:paraId="16D71457"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rdcrjn">
            <w:r w:rsidR="00E0219E">
              <w:rPr>
                <w:rFonts w:eastAsia="Arial" w:cs="Arial"/>
                <w:color w:val="000000"/>
                <w:szCs w:val="24"/>
              </w:rPr>
              <w:t>Significance of the Study</w:t>
            </w:r>
          </w:hyperlink>
          <w:hyperlink w:anchor="_heading=h.3rdcrjn">
            <w:r w:rsidR="00E0219E">
              <w:rPr>
                <w:color w:val="000000"/>
                <w:szCs w:val="24"/>
              </w:rPr>
              <w:tab/>
              <w:t>6</w:t>
            </w:r>
          </w:hyperlink>
        </w:p>
        <w:p w14:paraId="54340A26"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6in1rg">
            <w:r w:rsidR="00E0219E">
              <w:rPr>
                <w:rFonts w:eastAsia="Arial" w:cs="Arial"/>
                <w:color w:val="000000"/>
                <w:szCs w:val="24"/>
              </w:rPr>
              <w:t>Scope and Limitations of the Study</w:t>
            </w:r>
          </w:hyperlink>
          <w:hyperlink w:anchor="_heading=h.26in1rg">
            <w:r w:rsidR="00E0219E">
              <w:rPr>
                <w:color w:val="000000"/>
                <w:szCs w:val="24"/>
              </w:rPr>
              <w:tab/>
              <w:t>8</w:t>
            </w:r>
          </w:hyperlink>
        </w:p>
        <w:p w14:paraId="6B7624A6" w14:textId="77777777" w:rsidR="007C6854" w:rsidRDefault="00000000">
          <w:pPr>
            <w:pBdr>
              <w:top w:val="nil"/>
              <w:left w:val="nil"/>
              <w:bottom w:val="nil"/>
              <w:right w:val="nil"/>
              <w:between w:val="nil"/>
            </w:pBdr>
            <w:tabs>
              <w:tab w:val="right" w:pos="9350"/>
            </w:tabs>
            <w:spacing w:after="100"/>
            <w:rPr>
              <w:color w:val="000000"/>
              <w:szCs w:val="24"/>
            </w:rPr>
          </w:pPr>
          <w:hyperlink w:anchor="_heading=h.lnxbz9">
            <w:r w:rsidR="00E0219E">
              <w:rPr>
                <w:rFonts w:eastAsia="Arial" w:cs="Arial"/>
                <w:b/>
                <w:color w:val="000000"/>
                <w:szCs w:val="24"/>
              </w:rPr>
              <w:t>Chapter II: THEORETICAL BACKGROUND</w:t>
            </w:r>
          </w:hyperlink>
          <w:hyperlink w:anchor="_heading=h.lnxbz9">
            <w:r w:rsidR="00E0219E">
              <w:rPr>
                <w:color w:val="000000"/>
                <w:szCs w:val="24"/>
              </w:rPr>
              <w:tab/>
              <w:t>9</w:t>
            </w:r>
          </w:hyperlink>
        </w:p>
        <w:p w14:paraId="2E68F422"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ksv4uv">
            <w:r w:rsidR="00E0219E">
              <w:rPr>
                <w:rFonts w:eastAsia="Arial" w:cs="Arial"/>
                <w:color w:val="000000"/>
                <w:szCs w:val="24"/>
              </w:rPr>
              <w:t>A Review of Literature</w:t>
            </w:r>
          </w:hyperlink>
          <w:hyperlink w:anchor="_heading=h.1ksv4uv">
            <w:r w:rsidR="00E0219E">
              <w:rPr>
                <w:color w:val="000000"/>
                <w:szCs w:val="24"/>
              </w:rPr>
              <w:tab/>
              <w:t>9</w:t>
            </w:r>
          </w:hyperlink>
        </w:p>
        <w:p w14:paraId="0B6A91B3"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44sinio">
            <w:r w:rsidR="00E0219E">
              <w:rPr>
                <w:rFonts w:eastAsia="Arial" w:cs="Arial"/>
                <w:color w:val="000000"/>
                <w:szCs w:val="24"/>
              </w:rPr>
              <w:t>Demographic Profile</w:t>
            </w:r>
          </w:hyperlink>
          <w:hyperlink w:anchor="_heading=h.44sinio">
            <w:r w:rsidR="00E0219E">
              <w:rPr>
                <w:color w:val="000000"/>
                <w:szCs w:val="24"/>
              </w:rPr>
              <w:tab/>
              <w:t>9</w:t>
            </w:r>
          </w:hyperlink>
        </w:p>
        <w:p w14:paraId="12642F3C"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jxsxqh">
            <w:r w:rsidR="00E0219E">
              <w:rPr>
                <w:rFonts w:eastAsia="Arial" w:cs="Arial"/>
                <w:color w:val="000000"/>
                <w:szCs w:val="24"/>
              </w:rPr>
              <w:t>Hypertension</w:t>
            </w:r>
          </w:hyperlink>
          <w:hyperlink w:anchor="_heading=h.2jxsxqh">
            <w:r w:rsidR="00E0219E">
              <w:rPr>
                <w:color w:val="000000"/>
                <w:szCs w:val="24"/>
              </w:rPr>
              <w:tab/>
              <w:t>10</w:t>
            </w:r>
          </w:hyperlink>
        </w:p>
        <w:p w14:paraId="2874D4E9"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z337ya">
            <w:r w:rsidR="00E0219E">
              <w:rPr>
                <w:rFonts w:eastAsia="Arial" w:cs="Arial"/>
                <w:color w:val="000000"/>
                <w:szCs w:val="24"/>
              </w:rPr>
              <w:t>Health Literacy</w:t>
            </w:r>
          </w:hyperlink>
          <w:hyperlink w:anchor="_heading=h.z337ya">
            <w:r w:rsidR="00E0219E">
              <w:rPr>
                <w:color w:val="000000"/>
                <w:szCs w:val="24"/>
              </w:rPr>
              <w:tab/>
              <w:t>13</w:t>
            </w:r>
          </w:hyperlink>
        </w:p>
        <w:p w14:paraId="2518A665"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3j2qqm3">
            <w:r w:rsidR="00E0219E">
              <w:rPr>
                <w:rFonts w:eastAsia="Arial" w:cs="Arial"/>
                <w:color w:val="000000"/>
                <w:szCs w:val="24"/>
              </w:rPr>
              <w:t>Association of Health Literacy with Hypertension</w:t>
            </w:r>
          </w:hyperlink>
          <w:hyperlink w:anchor="_heading=h.3j2qqm3">
            <w:r w:rsidR="00E0219E">
              <w:rPr>
                <w:color w:val="000000"/>
                <w:szCs w:val="24"/>
              </w:rPr>
              <w:tab/>
              <w:t>15</w:t>
            </w:r>
          </w:hyperlink>
        </w:p>
        <w:p w14:paraId="3DB42990"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4i7ojhp">
            <w:r w:rsidR="00E0219E">
              <w:rPr>
                <w:rFonts w:eastAsia="Arial" w:cs="Arial"/>
                <w:color w:val="000000"/>
                <w:szCs w:val="24"/>
              </w:rPr>
              <w:t>Synthesis</w:t>
            </w:r>
          </w:hyperlink>
          <w:hyperlink w:anchor="_heading=h.4i7ojhp">
            <w:r w:rsidR="00E0219E">
              <w:rPr>
                <w:color w:val="000000"/>
                <w:szCs w:val="24"/>
              </w:rPr>
              <w:tab/>
              <w:t>16</w:t>
            </w:r>
          </w:hyperlink>
        </w:p>
        <w:p w14:paraId="43AB4DFB"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xcytpi">
            <w:r w:rsidR="00E0219E">
              <w:rPr>
                <w:rFonts w:eastAsia="Arial" w:cs="Arial"/>
                <w:color w:val="000000"/>
                <w:szCs w:val="24"/>
              </w:rPr>
              <w:t>Conceptual Framework</w:t>
            </w:r>
          </w:hyperlink>
          <w:hyperlink w:anchor="_heading=h.2xcytpi">
            <w:r w:rsidR="00E0219E">
              <w:rPr>
                <w:color w:val="000000"/>
                <w:szCs w:val="24"/>
              </w:rPr>
              <w:tab/>
              <w:t>17</w:t>
            </w:r>
          </w:hyperlink>
        </w:p>
        <w:p w14:paraId="1DDB79C4"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ci93xb">
            <w:r w:rsidR="00E0219E">
              <w:rPr>
                <w:rFonts w:eastAsia="Arial" w:cs="Arial"/>
                <w:color w:val="000000"/>
                <w:szCs w:val="24"/>
              </w:rPr>
              <w:t>Socio-demographic Profile</w:t>
            </w:r>
          </w:hyperlink>
          <w:hyperlink w:anchor="_heading=h.1ci93xb">
            <w:r w:rsidR="00E0219E">
              <w:rPr>
                <w:color w:val="000000"/>
                <w:szCs w:val="24"/>
              </w:rPr>
              <w:tab/>
              <w:t>17</w:t>
            </w:r>
          </w:hyperlink>
        </w:p>
        <w:p w14:paraId="07DB170B"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3whwml4">
            <w:r w:rsidR="00E0219E">
              <w:rPr>
                <w:rFonts w:eastAsia="Arial" w:cs="Arial"/>
                <w:color w:val="000000"/>
                <w:szCs w:val="24"/>
              </w:rPr>
              <w:t>Prevalence of Hypertension</w:t>
            </w:r>
          </w:hyperlink>
          <w:hyperlink w:anchor="_heading=h.3whwml4">
            <w:r w:rsidR="00E0219E">
              <w:rPr>
                <w:color w:val="000000"/>
                <w:szCs w:val="24"/>
              </w:rPr>
              <w:tab/>
              <w:t>17</w:t>
            </w:r>
          </w:hyperlink>
        </w:p>
        <w:p w14:paraId="7B0FB55E"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bn6wsx">
            <w:r w:rsidR="00E0219E">
              <w:rPr>
                <w:rFonts w:eastAsia="Arial" w:cs="Arial"/>
                <w:color w:val="000000"/>
                <w:szCs w:val="24"/>
              </w:rPr>
              <w:t>Health Literacy</w:t>
            </w:r>
          </w:hyperlink>
          <w:hyperlink w:anchor="_heading=h.2bn6wsx">
            <w:r w:rsidR="00E0219E">
              <w:rPr>
                <w:color w:val="000000"/>
                <w:szCs w:val="24"/>
              </w:rPr>
              <w:tab/>
              <w:t>18</w:t>
            </w:r>
          </w:hyperlink>
        </w:p>
        <w:p w14:paraId="24ADD614"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qsh70q">
            <w:r w:rsidR="00E0219E">
              <w:rPr>
                <w:rFonts w:eastAsia="Arial" w:cs="Arial"/>
                <w:color w:val="000000"/>
                <w:szCs w:val="24"/>
              </w:rPr>
              <w:t>Operational Definition</w:t>
            </w:r>
          </w:hyperlink>
          <w:hyperlink w:anchor="_heading=h.qsh70q">
            <w:r w:rsidR="00E0219E">
              <w:rPr>
                <w:color w:val="000000"/>
                <w:szCs w:val="24"/>
              </w:rPr>
              <w:tab/>
              <w:t>21</w:t>
            </w:r>
          </w:hyperlink>
        </w:p>
        <w:p w14:paraId="3BFA8BB7" w14:textId="77777777" w:rsidR="007C6854" w:rsidRDefault="00000000">
          <w:pPr>
            <w:pBdr>
              <w:top w:val="nil"/>
              <w:left w:val="nil"/>
              <w:bottom w:val="nil"/>
              <w:right w:val="nil"/>
              <w:between w:val="nil"/>
            </w:pBdr>
            <w:tabs>
              <w:tab w:val="right" w:pos="9350"/>
            </w:tabs>
            <w:spacing w:after="100"/>
            <w:rPr>
              <w:color w:val="000000"/>
              <w:szCs w:val="24"/>
            </w:rPr>
          </w:pPr>
          <w:hyperlink w:anchor="_heading=h.3as4poj">
            <w:r w:rsidR="00E0219E">
              <w:rPr>
                <w:rFonts w:eastAsia="Arial" w:cs="Arial"/>
                <w:b/>
                <w:color w:val="000000"/>
                <w:szCs w:val="24"/>
              </w:rPr>
              <w:t>CHAPTER III: RESEARCH METHODOLOGY</w:t>
            </w:r>
          </w:hyperlink>
          <w:hyperlink w:anchor="_heading=h.3as4poj">
            <w:r w:rsidR="00E0219E">
              <w:rPr>
                <w:color w:val="000000"/>
                <w:szCs w:val="24"/>
              </w:rPr>
              <w:tab/>
              <w:t>23</w:t>
            </w:r>
          </w:hyperlink>
        </w:p>
        <w:p w14:paraId="15CECC24"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49x2ik5">
            <w:r w:rsidR="00E0219E">
              <w:rPr>
                <w:rFonts w:eastAsia="Arial" w:cs="Arial"/>
                <w:color w:val="000000"/>
                <w:szCs w:val="24"/>
              </w:rPr>
              <w:t>Research Design</w:t>
            </w:r>
          </w:hyperlink>
          <w:hyperlink w:anchor="_heading=h.49x2ik5">
            <w:r w:rsidR="00E0219E">
              <w:rPr>
                <w:color w:val="000000"/>
                <w:szCs w:val="24"/>
              </w:rPr>
              <w:tab/>
              <w:t>23</w:t>
            </w:r>
          </w:hyperlink>
        </w:p>
        <w:p w14:paraId="397A40B1"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p2csry">
            <w:r w:rsidR="00E0219E">
              <w:rPr>
                <w:rFonts w:eastAsia="Arial" w:cs="Arial"/>
                <w:color w:val="000000"/>
                <w:szCs w:val="24"/>
              </w:rPr>
              <w:t>Sampling Technique</w:t>
            </w:r>
          </w:hyperlink>
          <w:hyperlink w:anchor="_heading=h.2p2csry">
            <w:r w:rsidR="00E0219E">
              <w:rPr>
                <w:color w:val="000000"/>
                <w:szCs w:val="24"/>
              </w:rPr>
              <w:tab/>
              <w:t>23</w:t>
            </w:r>
          </w:hyperlink>
        </w:p>
        <w:p w14:paraId="2210A84F"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47n2zr">
            <w:r w:rsidR="00E0219E">
              <w:rPr>
                <w:rFonts w:eastAsia="Arial" w:cs="Arial"/>
                <w:color w:val="000000"/>
                <w:szCs w:val="24"/>
              </w:rPr>
              <w:t>Settings and Participants</w:t>
            </w:r>
          </w:hyperlink>
          <w:hyperlink w:anchor="_heading=h.147n2zr">
            <w:r w:rsidR="00E0219E">
              <w:rPr>
                <w:color w:val="000000"/>
                <w:szCs w:val="24"/>
              </w:rPr>
              <w:tab/>
              <w:t>24</w:t>
            </w:r>
          </w:hyperlink>
        </w:p>
        <w:p w14:paraId="7415A8A7"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o7alnk">
            <w:r w:rsidR="00E0219E">
              <w:rPr>
                <w:rFonts w:eastAsia="Arial" w:cs="Arial"/>
                <w:color w:val="000000"/>
                <w:szCs w:val="24"/>
              </w:rPr>
              <w:t>Data Collection</w:t>
            </w:r>
          </w:hyperlink>
          <w:hyperlink w:anchor="_heading=h.3o7alnk">
            <w:r w:rsidR="00E0219E">
              <w:rPr>
                <w:color w:val="000000"/>
                <w:szCs w:val="24"/>
              </w:rPr>
              <w:tab/>
              <w:t>25</w:t>
            </w:r>
          </w:hyperlink>
        </w:p>
        <w:p w14:paraId="7DF3F338"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ihv636">
            <w:r w:rsidR="00E0219E">
              <w:rPr>
                <w:rFonts w:eastAsia="Arial" w:cs="Arial"/>
                <w:color w:val="000000"/>
                <w:szCs w:val="24"/>
              </w:rPr>
              <w:t>Statistical Analysis and Interpretation of Results</w:t>
            </w:r>
          </w:hyperlink>
          <w:hyperlink w:anchor="_heading=h.ihv636">
            <w:r w:rsidR="00E0219E">
              <w:rPr>
                <w:color w:val="000000"/>
                <w:szCs w:val="24"/>
              </w:rPr>
              <w:tab/>
              <w:t>27</w:t>
            </w:r>
          </w:hyperlink>
        </w:p>
        <w:p w14:paraId="12C6A28F"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2hioqz">
            <w:r w:rsidR="00E0219E">
              <w:rPr>
                <w:rFonts w:eastAsia="Arial" w:cs="Arial"/>
                <w:color w:val="000000"/>
                <w:szCs w:val="24"/>
              </w:rPr>
              <w:t>Data Management</w:t>
            </w:r>
          </w:hyperlink>
          <w:hyperlink w:anchor="_heading=h.32hioqz">
            <w:r w:rsidR="00E0219E">
              <w:rPr>
                <w:color w:val="000000"/>
                <w:szCs w:val="24"/>
              </w:rPr>
              <w:tab/>
              <w:t>28</w:t>
            </w:r>
          </w:hyperlink>
        </w:p>
        <w:p w14:paraId="6956FB20"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hmsyys">
            <w:r w:rsidR="00E0219E">
              <w:rPr>
                <w:rFonts w:eastAsia="Arial" w:cs="Arial"/>
                <w:color w:val="000000"/>
                <w:szCs w:val="24"/>
              </w:rPr>
              <w:t>Ethical Consideration</w:t>
            </w:r>
          </w:hyperlink>
          <w:hyperlink w:anchor="_heading=h.1hmsyys">
            <w:r w:rsidR="00E0219E">
              <w:rPr>
                <w:color w:val="000000"/>
                <w:szCs w:val="24"/>
              </w:rPr>
              <w:tab/>
              <w:t>30</w:t>
            </w:r>
          </w:hyperlink>
        </w:p>
        <w:p w14:paraId="48ECD6C9"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41mghml">
            <w:r w:rsidR="00E0219E">
              <w:rPr>
                <w:rFonts w:eastAsia="Arial" w:cs="Arial"/>
                <w:color w:val="000000"/>
                <w:szCs w:val="24"/>
              </w:rPr>
              <w:t>Risks and Inconveniences</w:t>
            </w:r>
          </w:hyperlink>
          <w:hyperlink w:anchor="_heading=h.41mghml">
            <w:r w:rsidR="00E0219E">
              <w:rPr>
                <w:color w:val="000000"/>
                <w:szCs w:val="24"/>
              </w:rPr>
              <w:tab/>
              <w:t>30</w:t>
            </w:r>
          </w:hyperlink>
        </w:p>
        <w:p w14:paraId="40F8C6E5"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grqrue">
            <w:r w:rsidR="00E0219E">
              <w:rPr>
                <w:rFonts w:eastAsia="Arial" w:cs="Arial"/>
                <w:color w:val="000000"/>
                <w:szCs w:val="24"/>
              </w:rPr>
              <w:t>Possible Benefits to the Participants and the Community</w:t>
            </w:r>
          </w:hyperlink>
          <w:hyperlink w:anchor="_heading=h.2grqrue">
            <w:r w:rsidR="00E0219E">
              <w:rPr>
                <w:color w:val="000000"/>
                <w:szCs w:val="24"/>
              </w:rPr>
              <w:tab/>
              <w:t>30</w:t>
            </w:r>
          </w:hyperlink>
        </w:p>
        <w:p w14:paraId="22F30BEC"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vx1227">
            <w:r w:rsidR="00E0219E">
              <w:rPr>
                <w:rFonts w:eastAsia="Arial" w:cs="Arial"/>
                <w:color w:val="000000"/>
                <w:szCs w:val="24"/>
              </w:rPr>
              <w:t>Compensation</w:t>
            </w:r>
          </w:hyperlink>
          <w:hyperlink w:anchor="_heading=h.vx1227">
            <w:r w:rsidR="00E0219E">
              <w:rPr>
                <w:color w:val="000000"/>
                <w:szCs w:val="24"/>
              </w:rPr>
              <w:tab/>
              <w:t>30</w:t>
            </w:r>
          </w:hyperlink>
        </w:p>
        <w:p w14:paraId="611D1035"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3fwokq0">
            <w:r w:rsidR="00E0219E">
              <w:rPr>
                <w:rFonts w:eastAsia="Arial" w:cs="Arial"/>
                <w:color w:val="000000"/>
                <w:szCs w:val="24"/>
              </w:rPr>
              <w:t>Respondents or Participants</w:t>
            </w:r>
          </w:hyperlink>
          <w:hyperlink w:anchor="_heading=h.3fwokq0">
            <w:r w:rsidR="00E0219E">
              <w:rPr>
                <w:color w:val="000000"/>
                <w:szCs w:val="24"/>
              </w:rPr>
              <w:tab/>
              <w:t>31</w:t>
            </w:r>
          </w:hyperlink>
        </w:p>
        <w:p w14:paraId="3303B94A"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v1yuxt">
            <w:r w:rsidR="00E0219E">
              <w:rPr>
                <w:rFonts w:eastAsia="Arial" w:cs="Arial"/>
                <w:color w:val="000000"/>
                <w:szCs w:val="24"/>
              </w:rPr>
              <w:t>Research Assistant / Enumerator(s)</w:t>
            </w:r>
          </w:hyperlink>
          <w:hyperlink w:anchor="_heading=h.1v1yuxt">
            <w:r w:rsidR="00E0219E">
              <w:rPr>
                <w:color w:val="000000"/>
                <w:szCs w:val="24"/>
              </w:rPr>
              <w:tab/>
              <w:t>31</w:t>
            </w:r>
          </w:hyperlink>
        </w:p>
        <w:p w14:paraId="30E82546"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4f1mdlm">
            <w:r w:rsidR="00E0219E">
              <w:rPr>
                <w:rFonts w:eastAsia="Arial" w:cs="Arial"/>
                <w:color w:val="000000"/>
                <w:szCs w:val="24"/>
              </w:rPr>
              <w:t>Provision for Injury or Related illnesses</w:t>
            </w:r>
          </w:hyperlink>
          <w:r w:rsidR="00E0219E">
            <w:t xml:space="preserve"> </w:t>
          </w:r>
          <w:hyperlink w:anchor="_heading=h.4f1mdlm">
            <w:r w:rsidR="00E0219E">
              <w:rPr>
                <w:color w:val="000000"/>
                <w:szCs w:val="24"/>
              </w:rPr>
              <w:tab/>
              <w:t>31</w:t>
            </w:r>
          </w:hyperlink>
        </w:p>
        <w:p w14:paraId="33C58663" w14:textId="77777777" w:rsidR="00E77ABE" w:rsidRDefault="00E77ABE">
          <w:pPr>
            <w:pBdr>
              <w:top w:val="nil"/>
              <w:left w:val="nil"/>
              <w:bottom w:val="nil"/>
              <w:right w:val="nil"/>
              <w:between w:val="nil"/>
            </w:pBdr>
            <w:tabs>
              <w:tab w:val="right" w:pos="9016"/>
            </w:tabs>
            <w:spacing w:after="100" w:line="259" w:lineRule="auto"/>
            <w:ind w:left="440"/>
            <w:sectPr w:rsidR="00E77ABE">
              <w:headerReference w:type="default" r:id="rId26"/>
              <w:footerReference w:type="default" r:id="rId27"/>
              <w:pgSz w:w="11906" w:h="16838"/>
              <w:pgMar w:top="1440" w:right="1440" w:bottom="1440" w:left="1440" w:header="0" w:footer="0" w:gutter="0"/>
              <w:cols w:space="720"/>
            </w:sectPr>
          </w:pPr>
        </w:p>
        <w:p w14:paraId="3BC14F0B"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u6wntf">
            <w:r w:rsidR="00E0219E">
              <w:rPr>
                <w:rFonts w:eastAsia="Arial" w:cs="Arial"/>
                <w:color w:val="000000"/>
                <w:szCs w:val="24"/>
              </w:rPr>
              <w:t>Voluntariness of Participants</w:t>
            </w:r>
          </w:hyperlink>
          <w:hyperlink w:anchor="_heading=h.2u6wntf">
            <w:r w:rsidR="00E0219E">
              <w:rPr>
                <w:color w:val="000000"/>
                <w:szCs w:val="24"/>
              </w:rPr>
              <w:tab/>
              <w:t>31</w:t>
            </w:r>
          </w:hyperlink>
        </w:p>
        <w:p w14:paraId="020232FD"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9c6y18">
            <w:r w:rsidR="00E0219E">
              <w:rPr>
                <w:rFonts w:eastAsia="Arial" w:cs="Arial"/>
                <w:color w:val="000000"/>
                <w:szCs w:val="24"/>
              </w:rPr>
              <w:t>Confidentiality</w:t>
            </w:r>
          </w:hyperlink>
          <w:hyperlink w:anchor="_heading=h.19c6y18">
            <w:r w:rsidR="00E0219E">
              <w:rPr>
                <w:color w:val="000000"/>
                <w:szCs w:val="24"/>
              </w:rPr>
              <w:tab/>
              <w:t>32</w:t>
            </w:r>
          </w:hyperlink>
        </w:p>
        <w:p w14:paraId="296ACD28"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3tbugp1">
            <w:r w:rsidR="00E0219E">
              <w:rPr>
                <w:rFonts w:eastAsia="Arial" w:cs="Arial"/>
                <w:color w:val="000000"/>
                <w:szCs w:val="24"/>
              </w:rPr>
              <w:t>Funding Source</w:t>
            </w:r>
          </w:hyperlink>
          <w:hyperlink w:anchor="_heading=h.3tbugp1">
            <w:r w:rsidR="00E0219E">
              <w:rPr>
                <w:color w:val="000000"/>
                <w:szCs w:val="24"/>
              </w:rPr>
              <w:tab/>
              <w:t>34</w:t>
            </w:r>
          </w:hyperlink>
        </w:p>
        <w:p w14:paraId="014D48AF"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8h4qwu">
            <w:r w:rsidR="00E0219E">
              <w:rPr>
                <w:rFonts w:eastAsia="Arial" w:cs="Arial"/>
                <w:color w:val="000000"/>
                <w:szCs w:val="24"/>
              </w:rPr>
              <w:t>Conflict of Interest</w:t>
            </w:r>
          </w:hyperlink>
          <w:hyperlink w:anchor="_heading=h.28h4qwu">
            <w:r w:rsidR="00E0219E">
              <w:rPr>
                <w:color w:val="000000"/>
                <w:szCs w:val="24"/>
              </w:rPr>
              <w:tab/>
              <w:t>34</w:t>
            </w:r>
          </w:hyperlink>
        </w:p>
        <w:p w14:paraId="0CEA2131" w14:textId="77777777" w:rsidR="007C6854" w:rsidRDefault="00000000">
          <w:pPr>
            <w:pBdr>
              <w:top w:val="nil"/>
              <w:left w:val="nil"/>
              <w:bottom w:val="nil"/>
              <w:right w:val="nil"/>
              <w:between w:val="nil"/>
            </w:pBdr>
            <w:tabs>
              <w:tab w:val="right" w:pos="9350"/>
            </w:tabs>
            <w:spacing w:after="100"/>
            <w:rPr>
              <w:color w:val="000000"/>
              <w:szCs w:val="24"/>
            </w:rPr>
          </w:pPr>
          <w:hyperlink w:anchor="_heading=h.nmf14n">
            <w:r w:rsidR="00E0219E">
              <w:rPr>
                <w:rFonts w:eastAsia="Arial" w:cs="Arial"/>
                <w:b/>
                <w:color w:val="000000"/>
                <w:szCs w:val="24"/>
              </w:rPr>
              <w:t>CHAPTER IV: RESULTS AND DISCUSSION</w:t>
            </w:r>
          </w:hyperlink>
          <w:hyperlink w:anchor="_heading=h.nmf14n">
            <w:r w:rsidR="00E0219E">
              <w:rPr>
                <w:color w:val="000000"/>
                <w:szCs w:val="24"/>
              </w:rPr>
              <w:tab/>
              <w:t>35</w:t>
            </w:r>
          </w:hyperlink>
        </w:p>
        <w:p w14:paraId="0D081073"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mrcu09">
            <w:r w:rsidR="00E0219E">
              <w:rPr>
                <w:rFonts w:eastAsia="Arial" w:cs="Arial"/>
                <w:color w:val="000000"/>
                <w:szCs w:val="24"/>
              </w:rPr>
              <w:t>Socio-demographic Profile of Urban Poor Settlers</w:t>
            </w:r>
          </w:hyperlink>
          <w:hyperlink w:anchor="_heading=h.1mrcu09">
            <w:r w:rsidR="00E0219E">
              <w:rPr>
                <w:color w:val="000000"/>
                <w:szCs w:val="24"/>
              </w:rPr>
              <w:tab/>
              <w:t>35</w:t>
            </w:r>
          </w:hyperlink>
        </w:p>
        <w:p w14:paraId="096BBAE0"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lwamvv">
            <w:r w:rsidR="00E0219E">
              <w:rPr>
                <w:rFonts w:eastAsia="Arial" w:cs="Arial"/>
                <w:color w:val="000000"/>
                <w:szCs w:val="24"/>
              </w:rPr>
              <w:t>Prevalence of Hypertension among urban poor settlers</w:t>
            </w:r>
          </w:hyperlink>
          <w:hyperlink w:anchor="_heading=h.2lwamvv">
            <w:r w:rsidR="00E0219E">
              <w:rPr>
                <w:color w:val="000000"/>
                <w:szCs w:val="24"/>
              </w:rPr>
              <w:tab/>
              <w:t>38</w:t>
            </w:r>
          </w:hyperlink>
        </w:p>
        <w:p w14:paraId="04ECC9DB"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l18frh">
            <w:r w:rsidR="00E0219E">
              <w:rPr>
                <w:rFonts w:eastAsia="Arial" w:cs="Arial"/>
                <w:color w:val="000000"/>
                <w:szCs w:val="24"/>
              </w:rPr>
              <w:t>Health Literacy of Urban Poor Settlers</w:t>
            </w:r>
          </w:hyperlink>
          <w:hyperlink w:anchor="_heading=h.3l18frh">
            <w:r w:rsidR="00E0219E">
              <w:rPr>
                <w:color w:val="000000"/>
                <w:szCs w:val="24"/>
              </w:rPr>
              <w:tab/>
              <w:t>41</w:t>
            </w:r>
          </w:hyperlink>
        </w:p>
        <w:p w14:paraId="0B08814F"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06ipza">
            <w:r w:rsidR="00E0219E">
              <w:rPr>
                <w:rFonts w:eastAsia="Arial" w:cs="Arial"/>
                <w:color w:val="000000"/>
                <w:szCs w:val="24"/>
              </w:rPr>
              <w:t>Basic or Functional Health Literacy</w:t>
            </w:r>
          </w:hyperlink>
          <w:hyperlink w:anchor="_heading=h.206ipza">
            <w:r w:rsidR="00E0219E">
              <w:rPr>
                <w:color w:val="000000"/>
                <w:szCs w:val="24"/>
              </w:rPr>
              <w:tab/>
              <w:t>41</w:t>
            </w:r>
          </w:hyperlink>
        </w:p>
        <w:p w14:paraId="60556C02"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4k668n3">
            <w:r w:rsidR="00E0219E">
              <w:rPr>
                <w:rFonts w:eastAsia="Arial" w:cs="Arial"/>
                <w:color w:val="000000"/>
                <w:szCs w:val="24"/>
              </w:rPr>
              <w:t>Communicative or Interactive Health Literacy</w:t>
            </w:r>
          </w:hyperlink>
          <w:hyperlink w:anchor="_heading=h.4k668n3">
            <w:r w:rsidR="00E0219E">
              <w:rPr>
                <w:color w:val="000000"/>
                <w:szCs w:val="24"/>
              </w:rPr>
              <w:tab/>
              <w:t>43</w:t>
            </w:r>
          </w:hyperlink>
        </w:p>
        <w:p w14:paraId="481D62AE"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zbgiuw">
            <w:r w:rsidR="00E0219E">
              <w:rPr>
                <w:rFonts w:eastAsia="Arial" w:cs="Arial"/>
                <w:color w:val="000000"/>
                <w:szCs w:val="24"/>
              </w:rPr>
              <w:t>Critical Health Literacy</w:t>
            </w:r>
          </w:hyperlink>
          <w:hyperlink w:anchor="_heading=h.2zbgiuw">
            <w:r w:rsidR="00E0219E">
              <w:rPr>
                <w:color w:val="000000"/>
                <w:szCs w:val="24"/>
              </w:rPr>
              <w:tab/>
              <w:t>45</w:t>
            </w:r>
          </w:hyperlink>
        </w:p>
        <w:p w14:paraId="2A5F7631"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egqt2p">
            <w:r w:rsidR="00E0219E">
              <w:rPr>
                <w:rFonts w:eastAsia="Arial" w:cs="Arial"/>
                <w:color w:val="000000"/>
                <w:szCs w:val="24"/>
                <w:highlight w:val="white"/>
              </w:rPr>
              <w:t>Overall or Total Health Literacy Score</w:t>
            </w:r>
          </w:hyperlink>
          <w:hyperlink w:anchor="_heading=h.1egqt2p">
            <w:r w:rsidR="00E0219E">
              <w:rPr>
                <w:color w:val="000000"/>
                <w:szCs w:val="24"/>
              </w:rPr>
              <w:tab/>
              <w:t>47</w:t>
            </w:r>
          </w:hyperlink>
        </w:p>
        <w:p w14:paraId="2B460C7F"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ygebqi">
            <w:r w:rsidR="00E0219E">
              <w:rPr>
                <w:rFonts w:eastAsia="Arial" w:cs="Arial"/>
                <w:color w:val="000000"/>
                <w:szCs w:val="24"/>
              </w:rPr>
              <w:t>Association of Socio-demographic variables of Urban Poor settler groups with Hypertension and Health Literacy</w:t>
            </w:r>
          </w:hyperlink>
          <w:hyperlink w:anchor="_heading=h.3ygebqi">
            <w:r w:rsidR="00E0219E">
              <w:rPr>
                <w:color w:val="000000"/>
                <w:szCs w:val="24"/>
              </w:rPr>
              <w:tab/>
              <w:t>48</w:t>
            </w:r>
          </w:hyperlink>
        </w:p>
        <w:p w14:paraId="395A1DAF" w14:textId="77777777" w:rsidR="007C6854" w:rsidRDefault="00000000">
          <w:pPr>
            <w:pBdr>
              <w:top w:val="nil"/>
              <w:left w:val="nil"/>
              <w:bottom w:val="nil"/>
              <w:right w:val="nil"/>
              <w:between w:val="nil"/>
            </w:pBdr>
            <w:tabs>
              <w:tab w:val="right" w:pos="9350"/>
            </w:tabs>
            <w:spacing w:after="100"/>
            <w:rPr>
              <w:color w:val="000000"/>
              <w:szCs w:val="24"/>
            </w:rPr>
          </w:pPr>
          <w:hyperlink w:anchor="_heading=h.2dlolyb">
            <w:r w:rsidR="00E0219E">
              <w:rPr>
                <w:rFonts w:eastAsia="Arial" w:cs="Arial"/>
                <w:b/>
                <w:color w:val="000000"/>
                <w:szCs w:val="24"/>
              </w:rPr>
              <w:t>CHAPTER V: CONCLUSION AND RECOMMENDATIONS</w:t>
            </w:r>
          </w:hyperlink>
          <w:hyperlink w:anchor="_heading=h.2dlolyb">
            <w:r w:rsidR="00E0219E">
              <w:rPr>
                <w:color w:val="000000"/>
                <w:szCs w:val="24"/>
              </w:rPr>
              <w:tab/>
              <w:t>53</w:t>
            </w:r>
          </w:hyperlink>
        </w:p>
        <w:p w14:paraId="5131893B"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cqmetx">
            <w:r w:rsidR="00E0219E">
              <w:rPr>
                <w:rFonts w:eastAsia="Arial" w:cs="Arial"/>
                <w:color w:val="000000"/>
                <w:szCs w:val="24"/>
              </w:rPr>
              <w:t>Recommendations</w:t>
            </w:r>
          </w:hyperlink>
          <w:hyperlink w:anchor="_heading=h.3cqmetx">
            <w:r w:rsidR="00E0219E">
              <w:rPr>
                <w:color w:val="000000"/>
                <w:szCs w:val="24"/>
              </w:rPr>
              <w:tab/>
              <w:t>54</w:t>
            </w:r>
          </w:hyperlink>
        </w:p>
        <w:p w14:paraId="746A8149"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rvwp1q">
            <w:r w:rsidR="00E0219E">
              <w:rPr>
                <w:rFonts w:eastAsia="Arial" w:cs="Arial"/>
                <w:color w:val="000000"/>
                <w:szCs w:val="24"/>
              </w:rPr>
              <w:t>Department of Health</w:t>
            </w:r>
          </w:hyperlink>
          <w:hyperlink w:anchor="_heading=h.1rvwp1q">
            <w:r w:rsidR="00E0219E">
              <w:rPr>
                <w:color w:val="000000"/>
                <w:szCs w:val="24"/>
              </w:rPr>
              <w:tab/>
              <w:t>54</w:t>
            </w:r>
          </w:hyperlink>
        </w:p>
        <w:p w14:paraId="34EEBA17"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4bvk7pj">
            <w:r w:rsidR="00E0219E">
              <w:rPr>
                <w:rFonts w:eastAsia="Arial" w:cs="Arial"/>
                <w:color w:val="000000"/>
                <w:szCs w:val="24"/>
              </w:rPr>
              <w:t>Department of Education and Commission on Higher Education</w:t>
            </w:r>
          </w:hyperlink>
          <w:hyperlink w:anchor="_heading=h.4bvk7pj">
            <w:r w:rsidR="00E0219E">
              <w:rPr>
                <w:color w:val="000000"/>
                <w:szCs w:val="24"/>
              </w:rPr>
              <w:tab/>
              <w:t>54</w:t>
            </w:r>
          </w:hyperlink>
        </w:p>
        <w:p w14:paraId="4565E5D6"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2r0uhxc">
            <w:r w:rsidR="00E0219E">
              <w:rPr>
                <w:rFonts w:eastAsia="Arial" w:cs="Arial"/>
                <w:color w:val="000000"/>
                <w:szCs w:val="24"/>
              </w:rPr>
              <w:t>Municipality of Pateros, Health Department</w:t>
            </w:r>
          </w:hyperlink>
          <w:hyperlink w:anchor="_heading=h.2r0uhxc">
            <w:r w:rsidR="00E0219E">
              <w:rPr>
                <w:color w:val="000000"/>
                <w:szCs w:val="24"/>
              </w:rPr>
              <w:tab/>
              <w:t>55</w:t>
            </w:r>
          </w:hyperlink>
        </w:p>
        <w:p w14:paraId="712F28A4" w14:textId="77777777" w:rsidR="007C6854" w:rsidRDefault="00000000">
          <w:pPr>
            <w:pBdr>
              <w:top w:val="nil"/>
              <w:left w:val="nil"/>
              <w:bottom w:val="nil"/>
              <w:right w:val="nil"/>
              <w:between w:val="nil"/>
            </w:pBdr>
            <w:tabs>
              <w:tab w:val="right" w:pos="9016"/>
            </w:tabs>
            <w:spacing w:after="100" w:line="259" w:lineRule="auto"/>
            <w:ind w:left="440"/>
            <w:rPr>
              <w:color w:val="000000"/>
              <w:szCs w:val="24"/>
            </w:rPr>
          </w:pPr>
          <w:hyperlink w:anchor="_heading=h.1664s55">
            <w:r w:rsidR="00E0219E">
              <w:rPr>
                <w:rFonts w:eastAsia="Arial" w:cs="Arial"/>
                <w:color w:val="000000"/>
                <w:szCs w:val="24"/>
              </w:rPr>
              <w:t>Future Researchers</w:t>
            </w:r>
          </w:hyperlink>
          <w:hyperlink w:anchor="_heading=h.1664s55">
            <w:r w:rsidR="00E0219E">
              <w:rPr>
                <w:color w:val="000000"/>
                <w:szCs w:val="24"/>
              </w:rPr>
              <w:tab/>
              <w:t>56</w:t>
            </w:r>
          </w:hyperlink>
        </w:p>
        <w:p w14:paraId="39371CFB" w14:textId="77777777" w:rsidR="007C6854" w:rsidRDefault="00000000">
          <w:pPr>
            <w:pBdr>
              <w:top w:val="nil"/>
              <w:left w:val="nil"/>
              <w:bottom w:val="nil"/>
              <w:right w:val="nil"/>
              <w:between w:val="nil"/>
            </w:pBdr>
            <w:tabs>
              <w:tab w:val="right" w:pos="9350"/>
            </w:tabs>
            <w:spacing w:after="100"/>
            <w:rPr>
              <w:color w:val="000000"/>
              <w:szCs w:val="24"/>
            </w:rPr>
          </w:pPr>
          <w:hyperlink w:anchor="_heading=h.3q5sasy">
            <w:r w:rsidR="00E0219E">
              <w:rPr>
                <w:rFonts w:eastAsia="Arial" w:cs="Arial"/>
                <w:b/>
                <w:color w:val="000000"/>
                <w:szCs w:val="24"/>
              </w:rPr>
              <w:t>REFERENCES</w:t>
            </w:r>
          </w:hyperlink>
          <w:hyperlink w:anchor="_heading=h.3q5sasy">
            <w:r w:rsidR="00E0219E">
              <w:rPr>
                <w:color w:val="000000"/>
                <w:szCs w:val="24"/>
              </w:rPr>
              <w:tab/>
              <w:t>57</w:t>
            </w:r>
          </w:hyperlink>
        </w:p>
        <w:p w14:paraId="125F9756" w14:textId="77777777" w:rsidR="007C6854" w:rsidRDefault="00000000">
          <w:pPr>
            <w:pBdr>
              <w:top w:val="nil"/>
              <w:left w:val="nil"/>
              <w:bottom w:val="nil"/>
              <w:right w:val="nil"/>
              <w:between w:val="nil"/>
            </w:pBdr>
            <w:tabs>
              <w:tab w:val="right" w:pos="9350"/>
            </w:tabs>
            <w:spacing w:after="100"/>
            <w:rPr>
              <w:color w:val="000000"/>
              <w:szCs w:val="24"/>
            </w:rPr>
          </w:pPr>
          <w:hyperlink w:anchor="_heading=h.25b2l0r">
            <w:r w:rsidR="00E0219E">
              <w:rPr>
                <w:rFonts w:eastAsia="Arial" w:cs="Arial"/>
                <w:b/>
                <w:color w:val="000000"/>
                <w:szCs w:val="24"/>
              </w:rPr>
              <w:t>APPENDICES</w:t>
            </w:r>
          </w:hyperlink>
          <w:hyperlink w:anchor="_heading=h.25b2l0r">
            <w:r w:rsidR="00E0219E">
              <w:rPr>
                <w:color w:val="000000"/>
                <w:szCs w:val="24"/>
              </w:rPr>
              <w:tab/>
              <w:t>79</w:t>
            </w:r>
          </w:hyperlink>
        </w:p>
        <w:p w14:paraId="783D8306"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kgcv8k">
            <w:r w:rsidR="00E0219E">
              <w:rPr>
                <w:rFonts w:eastAsia="Arial" w:cs="Arial"/>
                <w:color w:val="000000"/>
                <w:szCs w:val="24"/>
              </w:rPr>
              <w:t>Appendix A: Curriculum Vitae of the Student</w:t>
            </w:r>
          </w:hyperlink>
          <w:hyperlink w:anchor="_heading=h.kgcv8k">
            <w:r w:rsidR="00E0219E">
              <w:rPr>
                <w:color w:val="000000"/>
                <w:szCs w:val="24"/>
              </w:rPr>
              <w:tab/>
              <w:t>80</w:t>
            </w:r>
          </w:hyperlink>
        </w:p>
        <w:p w14:paraId="6AD873A4"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4g0dwd">
            <w:r w:rsidR="00E0219E">
              <w:rPr>
                <w:rFonts w:eastAsia="Arial" w:cs="Arial"/>
                <w:color w:val="000000"/>
                <w:szCs w:val="24"/>
              </w:rPr>
              <w:t>Appendix B: UPOU-IREC Certificate of Approval</w:t>
            </w:r>
          </w:hyperlink>
          <w:hyperlink w:anchor="_heading=h.34g0dwd">
            <w:r w:rsidR="00E0219E">
              <w:rPr>
                <w:color w:val="000000"/>
                <w:szCs w:val="24"/>
              </w:rPr>
              <w:tab/>
              <w:t>88</w:t>
            </w:r>
          </w:hyperlink>
        </w:p>
        <w:p w14:paraId="0CD93B2A"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jlao46">
            <w:r w:rsidR="00E0219E">
              <w:rPr>
                <w:rFonts w:eastAsia="Arial" w:cs="Arial"/>
                <w:color w:val="000000"/>
                <w:szCs w:val="24"/>
              </w:rPr>
              <w:t>Appendix C. Memorandum of Understanding between the researcher and the Barangay Health Center</w:t>
            </w:r>
          </w:hyperlink>
          <w:hyperlink w:anchor="_heading=h.1jlao46">
            <w:r w:rsidR="00E0219E">
              <w:rPr>
                <w:color w:val="000000"/>
                <w:szCs w:val="24"/>
              </w:rPr>
              <w:tab/>
              <w:t>89</w:t>
            </w:r>
          </w:hyperlink>
        </w:p>
        <w:p w14:paraId="04BF72FC"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43ky6rz">
            <w:r w:rsidR="00E0219E">
              <w:rPr>
                <w:rFonts w:eastAsia="Arial" w:cs="Arial"/>
                <w:color w:val="000000"/>
                <w:szCs w:val="24"/>
              </w:rPr>
              <w:t>Appendix D: Assessment and ICF Agreement</w:t>
            </w:r>
          </w:hyperlink>
          <w:hyperlink w:anchor="_heading=h.43ky6rz">
            <w:r w:rsidR="00E0219E">
              <w:rPr>
                <w:color w:val="000000"/>
                <w:szCs w:val="24"/>
              </w:rPr>
              <w:tab/>
              <w:t>93</w:t>
            </w:r>
          </w:hyperlink>
        </w:p>
        <w:p w14:paraId="3FAACDEB"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iq8gzs">
            <w:r w:rsidR="00E0219E">
              <w:rPr>
                <w:rFonts w:eastAsia="Arial" w:cs="Arial"/>
                <w:color w:val="000000"/>
                <w:szCs w:val="24"/>
              </w:rPr>
              <w:t>Appendix E: Survey Questionnaire</w:t>
            </w:r>
          </w:hyperlink>
          <w:hyperlink w:anchor="_heading=h.2iq8gzs">
            <w:r w:rsidR="00E0219E">
              <w:rPr>
                <w:color w:val="000000"/>
                <w:szCs w:val="24"/>
              </w:rPr>
              <w:tab/>
              <w:t>93</w:t>
            </w:r>
          </w:hyperlink>
        </w:p>
        <w:p w14:paraId="16AA75D5"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xvir7l">
            <w:r w:rsidR="00E0219E">
              <w:rPr>
                <w:rFonts w:eastAsia="Arial" w:cs="Arial"/>
                <w:color w:val="000000"/>
                <w:szCs w:val="24"/>
              </w:rPr>
              <w:t>Appendix F: International Society of Hypertension Guidelines</w:t>
            </w:r>
          </w:hyperlink>
          <w:hyperlink w:anchor="_heading=h.xvir7l">
            <w:r w:rsidR="00E0219E">
              <w:rPr>
                <w:color w:val="000000"/>
                <w:szCs w:val="24"/>
              </w:rPr>
              <w:tab/>
              <w:t>94</w:t>
            </w:r>
          </w:hyperlink>
        </w:p>
        <w:p w14:paraId="24772E78"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3hv69ve">
            <w:r w:rsidR="00E0219E">
              <w:rPr>
                <w:rFonts w:eastAsia="Arial" w:cs="Arial"/>
                <w:color w:val="000000"/>
                <w:szCs w:val="24"/>
              </w:rPr>
              <w:t>Appendix G: Sample Size Computation</w:t>
            </w:r>
          </w:hyperlink>
          <w:hyperlink w:anchor="_heading=h.3hv69ve">
            <w:r w:rsidR="00E0219E">
              <w:rPr>
                <w:color w:val="000000"/>
                <w:szCs w:val="24"/>
              </w:rPr>
              <w:tab/>
              <w:t>95</w:t>
            </w:r>
          </w:hyperlink>
        </w:p>
        <w:p w14:paraId="0B3E6D04"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1x0gk37">
            <w:r w:rsidR="00E0219E">
              <w:rPr>
                <w:rFonts w:eastAsia="Arial" w:cs="Arial"/>
                <w:color w:val="000000"/>
                <w:szCs w:val="24"/>
              </w:rPr>
              <w:t>Appendix H: Estimation of the Adult Population, 20 years old and above</w:t>
            </w:r>
          </w:hyperlink>
          <w:hyperlink w:anchor="_heading=h.1x0gk37">
            <w:r w:rsidR="00E0219E">
              <w:rPr>
                <w:color w:val="000000"/>
                <w:szCs w:val="24"/>
              </w:rPr>
              <w:tab/>
              <w:t>97</w:t>
            </w:r>
          </w:hyperlink>
        </w:p>
        <w:p w14:paraId="74E8E780"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4h042r0">
            <w:r w:rsidR="00E0219E">
              <w:rPr>
                <w:rFonts w:eastAsia="Arial" w:cs="Arial"/>
                <w:color w:val="000000"/>
                <w:szCs w:val="24"/>
              </w:rPr>
              <w:t>Appendix I. Summary of the Research Construct</w:t>
            </w:r>
          </w:hyperlink>
          <w:hyperlink w:anchor="_heading=h.4h042r0">
            <w:r w:rsidR="00E0219E">
              <w:rPr>
                <w:color w:val="000000"/>
                <w:szCs w:val="24"/>
              </w:rPr>
              <w:tab/>
              <w:t>98</w:t>
            </w:r>
          </w:hyperlink>
        </w:p>
        <w:p w14:paraId="26060A6B" w14:textId="77777777" w:rsidR="007C6854" w:rsidRDefault="00000000">
          <w:pPr>
            <w:pBdr>
              <w:top w:val="nil"/>
              <w:left w:val="nil"/>
              <w:bottom w:val="nil"/>
              <w:right w:val="nil"/>
              <w:between w:val="nil"/>
            </w:pBdr>
            <w:tabs>
              <w:tab w:val="right" w:pos="9016"/>
            </w:tabs>
            <w:spacing w:after="100" w:line="259" w:lineRule="auto"/>
            <w:ind w:left="220"/>
            <w:rPr>
              <w:color w:val="000000"/>
              <w:szCs w:val="24"/>
            </w:rPr>
          </w:pPr>
          <w:hyperlink w:anchor="_heading=h.2w5ecyt">
            <w:r w:rsidR="00E0219E">
              <w:rPr>
                <w:rFonts w:eastAsia="Arial" w:cs="Arial"/>
                <w:color w:val="000000"/>
                <w:szCs w:val="24"/>
              </w:rPr>
              <w:t>Appendix J: Database and Rscript file on Data Analysis</w:t>
            </w:r>
          </w:hyperlink>
          <w:hyperlink w:anchor="_heading=h.2w5ecyt">
            <w:r w:rsidR="00E0219E">
              <w:rPr>
                <w:color w:val="000000"/>
                <w:szCs w:val="24"/>
              </w:rPr>
              <w:tab/>
              <w:t>100</w:t>
            </w:r>
          </w:hyperlink>
        </w:p>
        <w:p w14:paraId="50CA7A85" w14:textId="77777777" w:rsidR="007C6854" w:rsidRDefault="00E0219E">
          <w:pPr>
            <w:pBdr>
              <w:top w:val="nil"/>
              <w:left w:val="nil"/>
              <w:bottom w:val="nil"/>
              <w:right w:val="nil"/>
              <w:between w:val="nil"/>
            </w:pBdr>
            <w:tabs>
              <w:tab w:val="right" w:pos="9350"/>
            </w:tabs>
            <w:spacing w:after="100" w:line="259" w:lineRule="auto"/>
            <w:ind w:left="220"/>
            <w:rPr>
              <w:color w:val="000000"/>
            </w:rPr>
          </w:pPr>
          <w:r>
            <w:fldChar w:fldCharType="end"/>
          </w:r>
        </w:p>
      </w:sdtContent>
    </w:sdt>
    <w:p w14:paraId="4B476795" w14:textId="77777777" w:rsidR="00E77ABE" w:rsidRDefault="00E77ABE">
      <w:pPr>
        <w:shd w:val="clear" w:color="auto" w:fill="FFFFFF"/>
        <w:spacing w:after="0" w:line="360" w:lineRule="auto"/>
        <w:jc w:val="center"/>
        <w:rPr>
          <w:rFonts w:eastAsia="Arial" w:cs="Arial"/>
          <w:b/>
          <w:szCs w:val="24"/>
        </w:rPr>
        <w:sectPr w:rsidR="00E77ABE">
          <w:footerReference w:type="default" r:id="rId28"/>
          <w:pgSz w:w="11906" w:h="16838"/>
          <w:pgMar w:top="1440" w:right="1440" w:bottom="1440" w:left="1440" w:header="0" w:footer="0" w:gutter="0"/>
          <w:cols w:space="720"/>
        </w:sectPr>
      </w:pPr>
    </w:p>
    <w:p w14:paraId="0D5D8E1B" w14:textId="77777777" w:rsidR="007C6854" w:rsidRDefault="00E0219E">
      <w:pPr>
        <w:shd w:val="clear" w:color="auto" w:fill="FFFFFF"/>
        <w:spacing w:after="0" w:line="360" w:lineRule="auto"/>
        <w:jc w:val="center"/>
        <w:rPr>
          <w:rFonts w:eastAsia="Arial" w:cs="Arial"/>
          <w:szCs w:val="24"/>
        </w:rPr>
      </w:pPr>
      <w:r>
        <w:rPr>
          <w:rFonts w:eastAsia="Arial" w:cs="Arial"/>
          <w:b/>
          <w:szCs w:val="24"/>
        </w:rPr>
        <w:lastRenderedPageBreak/>
        <w:t>List of Tables</w:t>
      </w:r>
      <w:r>
        <w:rPr>
          <w:rFonts w:eastAsia="Arial" w:cs="Arial"/>
          <w:szCs w:val="24"/>
        </w:rPr>
        <w:t xml:space="preserve"> </w:t>
      </w:r>
    </w:p>
    <w:p w14:paraId="59216684" w14:textId="77777777" w:rsidR="007C6854" w:rsidRDefault="007C6854">
      <w:pPr>
        <w:shd w:val="clear" w:color="auto" w:fill="FFFFFF"/>
        <w:spacing w:after="0" w:line="360" w:lineRule="auto"/>
        <w:jc w:val="center"/>
        <w:rPr>
          <w:rFonts w:eastAsia="Arial" w:cs="Arial"/>
          <w:szCs w:val="24"/>
        </w:rPr>
      </w:pPr>
    </w:p>
    <w:p w14:paraId="7166C572"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1: </w:t>
      </w:r>
      <w:r>
        <w:rPr>
          <w:rFonts w:eastAsia="Arial" w:cs="Arial"/>
          <w:szCs w:val="24"/>
        </w:rPr>
        <w:t>Age-specific hypertension prevalence in high-income, ………………….</w:t>
      </w:r>
      <w:r>
        <w:rPr>
          <w:rFonts w:eastAsia="Arial" w:cs="Arial"/>
          <w:szCs w:val="24"/>
        </w:rPr>
        <w:tab/>
        <w:t>13</w:t>
      </w:r>
    </w:p>
    <w:p w14:paraId="0EB18B0C"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and low- and middle-income countries, 2010 </w:t>
      </w:r>
    </w:p>
    <w:p w14:paraId="4C2FFCBD" w14:textId="77777777" w:rsidR="007C6854" w:rsidRDefault="00E0219E">
      <w:pPr>
        <w:shd w:val="clear" w:color="auto" w:fill="FFFFFF"/>
        <w:spacing w:after="0" w:line="360" w:lineRule="auto"/>
        <w:jc w:val="both"/>
        <w:rPr>
          <w:rFonts w:eastAsia="Arial" w:cs="Arial"/>
          <w:szCs w:val="24"/>
        </w:rPr>
      </w:pPr>
      <w:r>
        <w:rPr>
          <w:rFonts w:eastAsia="Arial" w:cs="Arial"/>
          <w:b/>
          <w:szCs w:val="24"/>
        </w:rPr>
        <w:t>Table 2:</w:t>
      </w:r>
      <w:r>
        <w:rPr>
          <w:rFonts w:eastAsia="Arial" w:cs="Arial"/>
          <w:szCs w:val="24"/>
        </w:rPr>
        <w:t xml:space="preserve"> Hypertension Cases Seen at the Primary Health Facilities, …………</w:t>
      </w:r>
      <w:proofErr w:type="gramStart"/>
      <w:r>
        <w:rPr>
          <w:rFonts w:eastAsia="Arial" w:cs="Arial"/>
          <w:szCs w:val="24"/>
        </w:rPr>
        <w:t>…..</w:t>
      </w:r>
      <w:proofErr w:type="gramEnd"/>
      <w:r>
        <w:rPr>
          <w:rFonts w:eastAsia="Arial" w:cs="Arial"/>
          <w:szCs w:val="24"/>
        </w:rPr>
        <w:tab/>
        <w:t>14</w:t>
      </w:r>
    </w:p>
    <w:p w14:paraId="67FFAD08"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Pateros, 2015-2018 </w:t>
      </w:r>
    </w:p>
    <w:p w14:paraId="569E0BF5" w14:textId="77777777" w:rsidR="007C6854" w:rsidRDefault="00E0219E">
      <w:pPr>
        <w:shd w:val="clear" w:color="auto" w:fill="FFFFFF"/>
        <w:spacing w:after="0" w:line="360" w:lineRule="auto"/>
        <w:jc w:val="both"/>
        <w:rPr>
          <w:rFonts w:eastAsia="Arial" w:cs="Arial"/>
          <w:szCs w:val="24"/>
        </w:rPr>
      </w:pPr>
      <w:r>
        <w:rPr>
          <w:rFonts w:eastAsia="Arial" w:cs="Arial"/>
          <w:b/>
          <w:szCs w:val="24"/>
        </w:rPr>
        <w:t>Table 3:</w:t>
      </w:r>
      <w:r>
        <w:rPr>
          <w:rFonts w:eastAsia="Arial" w:cs="Arial"/>
          <w:szCs w:val="24"/>
        </w:rPr>
        <w:t xml:space="preserve"> </w:t>
      </w:r>
      <w:proofErr w:type="spellStart"/>
      <w:r>
        <w:rPr>
          <w:rFonts w:eastAsia="Arial" w:cs="Arial"/>
          <w:szCs w:val="24"/>
        </w:rPr>
        <w:t>Nutbeam</w:t>
      </w:r>
      <w:proofErr w:type="spellEnd"/>
      <w:r>
        <w:rPr>
          <w:rFonts w:eastAsia="Arial" w:cs="Arial"/>
          <w:szCs w:val="24"/>
        </w:rPr>
        <w:t xml:space="preserve"> Schema and Health Literacy Questionnaire </w:t>
      </w:r>
    </w:p>
    <w:p w14:paraId="083DA01B" w14:textId="77777777" w:rsidR="007C6854" w:rsidRDefault="00E0219E">
      <w:pPr>
        <w:shd w:val="clear" w:color="auto" w:fill="FFFFFF"/>
        <w:spacing w:after="0" w:line="360" w:lineRule="auto"/>
        <w:jc w:val="both"/>
        <w:rPr>
          <w:rFonts w:eastAsia="Arial" w:cs="Arial"/>
          <w:szCs w:val="24"/>
        </w:rPr>
      </w:pPr>
      <w:r>
        <w:rPr>
          <w:rFonts w:eastAsia="Arial" w:cs="Arial"/>
          <w:szCs w:val="24"/>
        </w:rPr>
        <w:t>Domain Categorization ………………………………………………………………….</w:t>
      </w:r>
      <w:r>
        <w:rPr>
          <w:rFonts w:eastAsia="Arial" w:cs="Arial"/>
          <w:szCs w:val="24"/>
        </w:rPr>
        <w:tab/>
        <w:t>20</w:t>
      </w:r>
    </w:p>
    <w:p w14:paraId="3F33E714"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4: </w:t>
      </w:r>
      <w:r>
        <w:rPr>
          <w:rFonts w:eastAsia="Arial" w:cs="Arial"/>
          <w:szCs w:val="24"/>
        </w:rPr>
        <w:t xml:space="preserve">Distribution of Frequency and Percentage </w:t>
      </w:r>
    </w:p>
    <w:p w14:paraId="4534B7BE"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Socio-demographic Profiles (Sex, Age Group, Marital Status, </w:t>
      </w:r>
    </w:p>
    <w:p w14:paraId="1279C6D3"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Religious Affiliation, Ethnic or Cultural Sub-group, </w:t>
      </w:r>
    </w:p>
    <w:p w14:paraId="64CD351D" w14:textId="77777777" w:rsidR="007C6854" w:rsidRDefault="00E0219E">
      <w:pPr>
        <w:shd w:val="clear" w:color="auto" w:fill="FFFFFF"/>
        <w:spacing w:after="0" w:line="360" w:lineRule="auto"/>
        <w:jc w:val="both"/>
        <w:rPr>
          <w:rFonts w:eastAsia="Arial" w:cs="Arial"/>
          <w:szCs w:val="24"/>
        </w:rPr>
      </w:pPr>
      <w:r>
        <w:rPr>
          <w:rFonts w:eastAsia="Arial" w:cs="Arial"/>
          <w:szCs w:val="24"/>
        </w:rPr>
        <w:t>Health Insurance Status and Wealth Status) of Urban Poor Settlers …………......</w:t>
      </w:r>
      <w:r>
        <w:rPr>
          <w:rFonts w:eastAsia="Arial" w:cs="Arial"/>
          <w:szCs w:val="24"/>
        </w:rPr>
        <w:tab/>
        <w:t>38</w:t>
      </w:r>
    </w:p>
    <w:p w14:paraId="2F7B76AC"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5: </w:t>
      </w:r>
      <w:r>
        <w:rPr>
          <w:rFonts w:eastAsia="Arial" w:cs="Arial"/>
          <w:szCs w:val="24"/>
        </w:rPr>
        <w:t xml:space="preserve">Distribution of Frequency and Percentage of </w:t>
      </w:r>
    </w:p>
    <w:p w14:paraId="2E8475DC"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Respondents with and without Hypertension based on </w:t>
      </w:r>
    </w:p>
    <w:p w14:paraId="2AAA3671"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the International Society of Hypertension </w:t>
      </w:r>
      <w:r>
        <w:rPr>
          <w:rFonts w:eastAsia="Arial" w:cs="Arial"/>
          <w:i/>
          <w:szCs w:val="24"/>
        </w:rPr>
        <w:t>(N = 151)</w:t>
      </w:r>
      <w:r>
        <w:rPr>
          <w:rFonts w:eastAsia="Arial" w:cs="Arial"/>
          <w:szCs w:val="24"/>
        </w:rPr>
        <w:t xml:space="preserve"> …………………………………</w:t>
      </w:r>
      <w:r>
        <w:rPr>
          <w:rFonts w:eastAsia="Arial" w:cs="Arial"/>
          <w:szCs w:val="24"/>
        </w:rPr>
        <w:tab/>
        <w:t>41</w:t>
      </w:r>
    </w:p>
    <w:p w14:paraId="5EF74565" w14:textId="77777777" w:rsidR="007C6854" w:rsidRDefault="00E0219E">
      <w:pPr>
        <w:shd w:val="clear" w:color="auto" w:fill="FFFFFF"/>
        <w:spacing w:after="0" w:line="360" w:lineRule="auto"/>
        <w:jc w:val="both"/>
        <w:rPr>
          <w:rFonts w:eastAsia="Arial" w:cs="Arial"/>
          <w:szCs w:val="24"/>
        </w:rPr>
      </w:pPr>
      <w:r>
        <w:rPr>
          <w:rFonts w:eastAsia="Arial" w:cs="Arial"/>
          <w:b/>
          <w:szCs w:val="24"/>
        </w:rPr>
        <w:t>Table 6:</w:t>
      </w:r>
      <w:r>
        <w:rPr>
          <w:rFonts w:eastAsia="Arial" w:cs="Arial"/>
          <w:szCs w:val="24"/>
        </w:rPr>
        <w:t xml:space="preserve"> Frequency and Percentage Distribution of Reported </w:t>
      </w:r>
    </w:p>
    <w:p w14:paraId="4F2E244F" w14:textId="77777777" w:rsidR="007C6854" w:rsidRDefault="00E0219E">
      <w:pPr>
        <w:shd w:val="clear" w:color="auto" w:fill="FFFFFF"/>
        <w:spacing w:after="0" w:line="360" w:lineRule="auto"/>
        <w:jc w:val="both"/>
        <w:rPr>
          <w:rFonts w:eastAsia="Arial" w:cs="Arial"/>
          <w:szCs w:val="24"/>
        </w:rPr>
      </w:pPr>
      <w:r>
        <w:rPr>
          <w:rFonts w:eastAsia="Arial" w:cs="Arial"/>
          <w:szCs w:val="24"/>
        </w:rPr>
        <w:t>History of Blood Pressure Taken in the Past among Respondents</w:t>
      </w:r>
    </w:p>
    <w:p w14:paraId="3833C4C4"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by Blood Pressure Classification According to the International </w:t>
      </w:r>
    </w:p>
    <w:p w14:paraId="3510536B"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Society of Hypertension </w:t>
      </w:r>
      <w:r>
        <w:rPr>
          <w:rFonts w:eastAsia="Arial" w:cs="Arial"/>
          <w:i/>
          <w:szCs w:val="24"/>
        </w:rPr>
        <w:t>(N = 151)</w:t>
      </w:r>
      <w:r>
        <w:rPr>
          <w:rFonts w:eastAsia="Arial" w:cs="Arial"/>
          <w:szCs w:val="24"/>
        </w:rPr>
        <w:t xml:space="preserve"> …………………………………………………….</w:t>
      </w:r>
      <w:r>
        <w:rPr>
          <w:rFonts w:eastAsia="Arial" w:cs="Arial"/>
          <w:szCs w:val="24"/>
        </w:rPr>
        <w:tab/>
        <w:t>41</w:t>
      </w:r>
    </w:p>
    <w:p w14:paraId="4E5CFCE6"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7: </w:t>
      </w:r>
      <w:r>
        <w:rPr>
          <w:rFonts w:eastAsia="Arial" w:cs="Arial"/>
          <w:szCs w:val="24"/>
        </w:rPr>
        <w:t xml:space="preserve">Median and Interquartile Range Health Literacy Score </w:t>
      </w:r>
    </w:p>
    <w:p w14:paraId="605ED2E7"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of the Respondents by Basic Health Literacy </w:t>
      </w:r>
      <w:proofErr w:type="gramStart"/>
      <w:r>
        <w:rPr>
          <w:rFonts w:eastAsia="Arial" w:cs="Arial"/>
          <w:szCs w:val="24"/>
        </w:rPr>
        <w:t>Domains  …</w:t>
      </w:r>
      <w:proofErr w:type="gramEnd"/>
      <w:r>
        <w:rPr>
          <w:rFonts w:eastAsia="Arial" w:cs="Arial"/>
          <w:szCs w:val="24"/>
        </w:rPr>
        <w:t>………………………….</w:t>
      </w:r>
      <w:r>
        <w:rPr>
          <w:rFonts w:eastAsia="Arial" w:cs="Arial"/>
          <w:szCs w:val="24"/>
        </w:rPr>
        <w:tab/>
        <w:t>44</w:t>
      </w:r>
    </w:p>
    <w:p w14:paraId="30CDCF78"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8: </w:t>
      </w:r>
      <w:r>
        <w:rPr>
          <w:rFonts w:eastAsia="Arial" w:cs="Arial"/>
          <w:szCs w:val="24"/>
        </w:rPr>
        <w:t xml:space="preserve">Median and Interquartile Range Health Literacy Score </w:t>
      </w:r>
    </w:p>
    <w:p w14:paraId="629D097B"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of the Respondents by Communicative or Functional Health Literacy Domain </w:t>
      </w:r>
      <w:proofErr w:type="gramStart"/>
      <w:r>
        <w:rPr>
          <w:rFonts w:eastAsia="Arial" w:cs="Arial"/>
          <w:szCs w:val="24"/>
        </w:rPr>
        <w:t>…..</w:t>
      </w:r>
      <w:proofErr w:type="gramEnd"/>
      <w:r>
        <w:rPr>
          <w:rFonts w:eastAsia="Arial" w:cs="Arial"/>
          <w:szCs w:val="24"/>
        </w:rPr>
        <w:tab/>
        <w:t>46</w:t>
      </w:r>
    </w:p>
    <w:p w14:paraId="3D819A30"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9: </w:t>
      </w:r>
      <w:r>
        <w:rPr>
          <w:rFonts w:eastAsia="Arial" w:cs="Arial"/>
          <w:szCs w:val="24"/>
        </w:rPr>
        <w:t xml:space="preserve">Median and Interquartile Health Literacy Score of the </w:t>
      </w:r>
    </w:p>
    <w:p w14:paraId="3004E97F" w14:textId="77777777" w:rsidR="007C6854" w:rsidRDefault="00E0219E">
      <w:pPr>
        <w:shd w:val="clear" w:color="auto" w:fill="FFFFFF"/>
        <w:spacing w:after="0" w:line="360" w:lineRule="auto"/>
        <w:jc w:val="both"/>
        <w:rPr>
          <w:rFonts w:eastAsia="Arial" w:cs="Arial"/>
          <w:szCs w:val="24"/>
        </w:rPr>
      </w:pPr>
      <w:r>
        <w:rPr>
          <w:rFonts w:eastAsia="Arial" w:cs="Arial"/>
          <w:szCs w:val="24"/>
        </w:rPr>
        <w:t>Respondents by Critical Health Literacy Domain …………………………………….</w:t>
      </w:r>
      <w:r>
        <w:rPr>
          <w:rFonts w:eastAsia="Arial" w:cs="Arial"/>
          <w:szCs w:val="24"/>
        </w:rPr>
        <w:tab/>
        <w:t xml:space="preserve">47 </w:t>
      </w:r>
    </w:p>
    <w:p w14:paraId="477E809B"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10: </w:t>
      </w:r>
      <w:r>
        <w:rPr>
          <w:rFonts w:eastAsia="Arial" w:cs="Arial"/>
          <w:szCs w:val="24"/>
        </w:rPr>
        <w:t xml:space="preserve">Median and Interquartile Range Health Literacy Score </w:t>
      </w:r>
    </w:p>
    <w:p w14:paraId="5B18A17C"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of the Respondents by Total Health Literacy and Health Literacy </w:t>
      </w:r>
    </w:p>
    <w:p w14:paraId="5AF7F075" w14:textId="77777777" w:rsidR="007C6854" w:rsidRDefault="00E0219E">
      <w:pPr>
        <w:shd w:val="clear" w:color="auto" w:fill="FFFFFF"/>
        <w:spacing w:after="0" w:line="360" w:lineRule="auto"/>
        <w:jc w:val="both"/>
        <w:rPr>
          <w:rFonts w:eastAsia="Arial" w:cs="Arial"/>
          <w:szCs w:val="24"/>
        </w:rPr>
      </w:pPr>
      <w:r>
        <w:rPr>
          <w:rFonts w:eastAsia="Arial" w:cs="Arial"/>
          <w:szCs w:val="24"/>
        </w:rPr>
        <w:t xml:space="preserve">Domain (Basic health literacy, Communicative / Functional health literacy, </w:t>
      </w:r>
    </w:p>
    <w:p w14:paraId="74D08D3F" w14:textId="77777777" w:rsidR="007C6854" w:rsidRDefault="00E0219E">
      <w:pPr>
        <w:shd w:val="clear" w:color="auto" w:fill="FFFFFF"/>
        <w:spacing w:after="0" w:line="360" w:lineRule="auto"/>
        <w:jc w:val="both"/>
        <w:rPr>
          <w:rFonts w:eastAsia="Arial" w:cs="Arial"/>
          <w:szCs w:val="24"/>
        </w:rPr>
      </w:pPr>
      <w:r>
        <w:rPr>
          <w:rFonts w:eastAsia="Arial" w:cs="Arial"/>
          <w:szCs w:val="24"/>
        </w:rPr>
        <w:t>and Critical health literacy) …………………………………………………………….</w:t>
      </w:r>
      <w:r>
        <w:rPr>
          <w:rFonts w:eastAsia="Arial" w:cs="Arial"/>
          <w:szCs w:val="24"/>
        </w:rPr>
        <w:tab/>
        <w:t>48</w:t>
      </w:r>
    </w:p>
    <w:p w14:paraId="7FC7946E" w14:textId="77777777" w:rsidR="007C6854" w:rsidRDefault="00E0219E">
      <w:pPr>
        <w:shd w:val="clear" w:color="auto" w:fill="FFFFFF"/>
        <w:spacing w:after="0" w:line="360" w:lineRule="auto"/>
        <w:jc w:val="both"/>
        <w:rPr>
          <w:rFonts w:eastAsia="Arial" w:cs="Arial"/>
          <w:szCs w:val="24"/>
        </w:rPr>
      </w:pPr>
      <w:r>
        <w:rPr>
          <w:rFonts w:eastAsia="Arial" w:cs="Arial"/>
          <w:b/>
          <w:szCs w:val="24"/>
        </w:rPr>
        <w:t xml:space="preserve">Table 11: </w:t>
      </w:r>
      <w:r>
        <w:rPr>
          <w:rFonts w:eastAsia="Arial" w:cs="Arial"/>
          <w:szCs w:val="24"/>
        </w:rPr>
        <w:t xml:space="preserve">Measure of Strength of Association of Socio-demographic Variables </w:t>
      </w:r>
    </w:p>
    <w:p w14:paraId="3A53AF1A" w14:textId="77777777" w:rsidR="007C6854" w:rsidRDefault="00E0219E">
      <w:pPr>
        <w:shd w:val="clear" w:color="auto" w:fill="FFFFFF"/>
        <w:spacing w:after="0" w:line="360" w:lineRule="auto"/>
        <w:jc w:val="both"/>
        <w:rPr>
          <w:rFonts w:eastAsia="Arial" w:cs="Arial"/>
          <w:szCs w:val="24"/>
        </w:rPr>
        <w:sectPr w:rsidR="007C6854">
          <w:footerReference w:type="default" r:id="rId29"/>
          <w:pgSz w:w="11906" w:h="16838"/>
          <w:pgMar w:top="1440" w:right="1440" w:bottom="1440" w:left="1440" w:header="0" w:footer="0" w:gutter="0"/>
          <w:cols w:space="720"/>
        </w:sectPr>
      </w:pPr>
      <w:r>
        <w:rPr>
          <w:rFonts w:eastAsia="Arial" w:cs="Arial"/>
          <w:szCs w:val="24"/>
        </w:rPr>
        <w:t xml:space="preserve">among Urban Poor Settlers who have HPN with Low Health </w:t>
      </w:r>
      <w:proofErr w:type="gramStart"/>
      <w:r>
        <w:rPr>
          <w:rFonts w:eastAsia="Arial" w:cs="Arial"/>
          <w:szCs w:val="24"/>
        </w:rPr>
        <w:t>Literacy  …</w:t>
      </w:r>
      <w:proofErr w:type="gramEnd"/>
      <w:r>
        <w:rPr>
          <w:rFonts w:eastAsia="Arial" w:cs="Arial"/>
          <w:szCs w:val="24"/>
        </w:rPr>
        <w:t>………...</w:t>
      </w:r>
      <w:r>
        <w:rPr>
          <w:rFonts w:eastAsia="Arial" w:cs="Arial"/>
          <w:szCs w:val="24"/>
        </w:rPr>
        <w:tab/>
        <w:t>53</w:t>
      </w:r>
    </w:p>
    <w:p w14:paraId="37715548" w14:textId="77777777" w:rsidR="007C6854" w:rsidRDefault="00E0219E">
      <w:pPr>
        <w:spacing w:after="160" w:line="259" w:lineRule="auto"/>
        <w:jc w:val="center"/>
        <w:rPr>
          <w:rFonts w:eastAsia="Arial" w:cs="Arial"/>
          <w:b/>
          <w:color w:val="000000"/>
          <w:szCs w:val="24"/>
        </w:rPr>
      </w:pPr>
      <w:r>
        <w:rPr>
          <w:rFonts w:eastAsia="Arial" w:cs="Arial"/>
          <w:b/>
          <w:szCs w:val="24"/>
        </w:rPr>
        <w:lastRenderedPageBreak/>
        <w:t>List of Figures</w:t>
      </w:r>
    </w:p>
    <w:p w14:paraId="11E18705" w14:textId="77777777" w:rsidR="007C6854" w:rsidRDefault="00E0219E">
      <w:pPr>
        <w:pBdr>
          <w:top w:val="nil"/>
          <w:left w:val="nil"/>
          <w:bottom w:val="nil"/>
          <w:right w:val="nil"/>
          <w:between w:val="nil"/>
        </w:pBdr>
        <w:spacing w:after="160" w:line="240" w:lineRule="auto"/>
        <w:rPr>
          <w:rFonts w:eastAsia="Arial" w:cs="Arial"/>
          <w:color w:val="000000"/>
          <w:szCs w:val="24"/>
        </w:rPr>
      </w:pPr>
      <w:r>
        <w:rPr>
          <w:rFonts w:eastAsia="Arial" w:cs="Arial"/>
          <w:b/>
          <w:color w:val="000000"/>
          <w:szCs w:val="24"/>
        </w:rPr>
        <w:t xml:space="preserve">Figure 1: </w:t>
      </w:r>
      <w:r>
        <w:rPr>
          <w:rFonts w:eastAsia="Arial" w:cs="Arial"/>
          <w:color w:val="000000"/>
          <w:szCs w:val="24"/>
        </w:rPr>
        <w:t xml:space="preserve">Association of other factors affecting urban poor settlers </w:t>
      </w:r>
    </w:p>
    <w:p w14:paraId="140598D2" w14:textId="77777777" w:rsidR="007C6854" w:rsidRDefault="00E0219E">
      <w:pPr>
        <w:pBdr>
          <w:top w:val="nil"/>
          <w:left w:val="nil"/>
          <w:bottom w:val="nil"/>
          <w:right w:val="nil"/>
          <w:between w:val="nil"/>
        </w:pBdr>
        <w:spacing w:after="160" w:line="240" w:lineRule="auto"/>
        <w:rPr>
          <w:rFonts w:eastAsia="Arial" w:cs="Arial"/>
          <w:color w:val="000000"/>
          <w:szCs w:val="24"/>
        </w:rPr>
      </w:pPr>
      <w:r>
        <w:rPr>
          <w:rFonts w:eastAsia="Arial" w:cs="Arial"/>
          <w:color w:val="000000"/>
          <w:szCs w:val="24"/>
        </w:rPr>
        <w:t>having Hypertension ……………………………………………………………………</w:t>
      </w:r>
      <w:r>
        <w:rPr>
          <w:rFonts w:eastAsia="Arial" w:cs="Arial"/>
          <w:color w:val="000000"/>
          <w:szCs w:val="24"/>
        </w:rPr>
        <w:tab/>
        <w:t>21</w:t>
      </w:r>
    </w:p>
    <w:p w14:paraId="35C46723" w14:textId="77777777" w:rsidR="007C6854" w:rsidRDefault="00E0219E">
      <w:pPr>
        <w:spacing w:line="360" w:lineRule="auto"/>
        <w:rPr>
          <w:rFonts w:eastAsia="Arial" w:cs="Arial"/>
          <w:b/>
          <w:szCs w:val="24"/>
        </w:rPr>
      </w:pPr>
      <w:r>
        <w:rPr>
          <w:rFonts w:eastAsia="Arial" w:cs="Arial"/>
          <w:b/>
          <w:szCs w:val="24"/>
        </w:rPr>
        <w:t>Figure 2:</w:t>
      </w:r>
      <w:r>
        <w:rPr>
          <w:rFonts w:eastAsia="Arial" w:cs="Arial"/>
          <w:szCs w:val="24"/>
        </w:rPr>
        <w:t xml:space="preserve"> Research Workflow, Data Collection, and Data Storage ………………</w:t>
      </w:r>
      <w:r>
        <w:rPr>
          <w:rFonts w:eastAsia="Arial" w:cs="Arial"/>
          <w:szCs w:val="24"/>
        </w:rPr>
        <w:tab/>
        <w:t>27</w:t>
      </w:r>
    </w:p>
    <w:p w14:paraId="2489CD6A" w14:textId="77777777" w:rsidR="007C6854" w:rsidRDefault="00E0219E">
      <w:pPr>
        <w:spacing w:after="160" w:line="259" w:lineRule="auto"/>
        <w:rPr>
          <w:rFonts w:eastAsia="Arial" w:cs="Arial"/>
          <w:b/>
          <w:szCs w:val="24"/>
        </w:rPr>
        <w:sectPr w:rsidR="007C6854">
          <w:headerReference w:type="default" r:id="rId30"/>
          <w:footerReference w:type="default" r:id="rId31"/>
          <w:pgSz w:w="11906" w:h="16838"/>
          <w:pgMar w:top="1440" w:right="1440" w:bottom="1440" w:left="1440" w:header="0" w:footer="0" w:gutter="0"/>
          <w:cols w:space="720"/>
        </w:sectPr>
      </w:pPr>
      <w:r>
        <w:rPr>
          <w:rFonts w:eastAsia="Arial" w:cs="Arial"/>
          <w:b/>
          <w:szCs w:val="24"/>
        </w:rPr>
        <w:t xml:space="preserve">  </w:t>
      </w:r>
    </w:p>
    <w:p w14:paraId="559A1DE5" w14:textId="77777777" w:rsidR="007C6854" w:rsidRDefault="00E0219E">
      <w:pPr>
        <w:spacing w:after="160" w:line="259" w:lineRule="auto"/>
        <w:jc w:val="center"/>
        <w:rPr>
          <w:rFonts w:eastAsia="Arial" w:cs="Arial"/>
          <w:b/>
          <w:szCs w:val="24"/>
        </w:rPr>
      </w:pPr>
      <w:r>
        <w:rPr>
          <w:rFonts w:eastAsia="Arial" w:cs="Arial"/>
          <w:b/>
          <w:szCs w:val="24"/>
        </w:rPr>
        <w:lastRenderedPageBreak/>
        <w:t>List of Appendices</w:t>
      </w:r>
    </w:p>
    <w:p w14:paraId="1479B17C" w14:textId="77777777" w:rsidR="007C6854" w:rsidRDefault="007C6854">
      <w:pPr>
        <w:spacing w:after="160" w:line="259" w:lineRule="auto"/>
        <w:rPr>
          <w:rFonts w:eastAsia="Arial" w:cs="Arial"/>
          <w:b/>
          <w:szCs w:val="24"/>
        </w:rPr>
      </w:pPr>
    </w:p>
    <w:p w14:paraId="1B9AACFA" w14:textId="77777777" w:rsidR="007C6854" w:rsidRDefault="00E0219E">
      <w:pPr>
        <w:spacing w:after="160" w:line="259" w:lineRule="auto"/>
        <w:rPr>
          <w:rFonts w:eastAsia="Arial" w:cs="Arial"/>
          <w:szCs w:val="24"/>
        </w:rPr>
      </w:pPr>
      <w:r>
        <w:rPr>
          <w:rFonts w:eastAsia="Arial" w:cs="Arial"/>
          <w:b/>
          <w:szCs w:val="24"/>
        </w:rPr>
        <w:t xml:space="preserve">Appendix A: </w:t>
      </w:r>
      <w:r>
        <w:rPr>
          <w:rFonts w:eastAsia="Arial" w:cs="Arial"/>
          <w:szCs w:val="24"/>
        </w:rPr>
        <w:t xml:space="preserve">Curriculum Vitae of the </w:t>
      </w:r>
      <w:proofErr w:type="gramStart"/>
      <w:r>
        <w:rPr>
          <w:rFonts w:eastAsia="Arial" w:cs="Arial"/>
          <w:szCs w:val="24"/>
        </w:rPr>
        <w:t>Student .</w:t>
      </w:r>
      <w:proofErr w:type="gramEnd"/>
      <w:r>
        <w:rPr>
          <w:rFonts w:eastAsia="Arial" w:cs="Arial"/>
          <w:szCs w:val="24"/>
        </w:rPr>
        <w:t>………………………………………</w:t>
      </w:r>
      <w:r>
        <w:rPr>
          <w:rFonts w:eastAsia="Arial" w:cs="Arial"/>
          <w:szCs w:val="24"/>
        </w:rPr>
        <w:tab/>
        <w:t>80</w:t>
      </w:r>
    </w:p>
    <w:p w14:paraId="17EABEE0" w14:textId="77777777" w:rsidR="007C6854" w:rsidRDefault="00E0219E">
      <w:pPr>
        <w:spacing w:after="160" w:line="259" w:lineRule="auto"/>
        <w:rPr>
          <w:rFonts w:eastAsia="Arial" w:cs="Arial"/>
          <w:szCs w:val="24"/>
        </w:rPr>
      </w:pPr>
      <w:r>
        <w:rPr>
          <w:rFonts w:eastAsia="Arial" w:cs="Arial"/>
          <w:b/>
          <w:szCs w:val="24"/>
        </w:rPr>
        <w:t xml:space="preserve">Appendix B: </w:t>
      </w:r>
      <w:r>
        <w:rPr>
          <w:rFonts w:eastAsia="Arial" w:cs="Arial"/>
          <w:szCs w:val="24"/>
        </w:rPr>
        <w:t>UPOU-IREC Certification of Approval …</w:t>
      </w:r>
      <w:proofErr w:type="gramStart"/>
      <w:r>
        <w:rPr>
          <w:rFonts w:eastAsia="Arial" w:cs="Arial"/>
          <w:szCs w:val="24"/>
        </w:rPr>
        <w:t>…..</w:t>
      </w:r>
      <w:proofErr w:type="gramEnd"/>
      <w:r>
        <w:rPr>
          <w:rFonts w:eastAsia="Arial" w:cs="Arial"/>
          <w:szCs w:val="24"/>
        </w:rPr>
        <w:t>…………………………</w:t>
      </w:r>
      <w:r>
        <w:rPr>
          <w:rFonts w:eastAsia="Arial" w:cs="Arial"/>
          <w:szCs w:val="24"/>
        </w:rPr>
        <w:tab/>
        <w:t>88</w:t>
      </w:r>
    </w:p>
    <w:p w14:paraId="23A958DD" w14:textId="77777777" w:rsidR="007C6854" w:rsidRDefault="00E0219E">
      <w:pPr>
        <w:spacing w:after="160" w:line="259" w:lineRule="auto"/>
        <w:rPr>
          <w:rFonts w:eastAsia="Arial" w:cs="Arial"/>
          <w:szCs w:val="24"/>
        </w:rPr>
      </w:pPr>
      <w:r>
        <w:rPr>
          <w:rFonts w:eastAsia="Arial" w:cs="Arial"/>
          <w:b/>
          <w:szCs w:val="24"/>
        </w:rPr>
        <w:t xml:space="preserve">Appendix C: </w:t>
      </w:r>
      <w:r>
        <w:rPr>
          <w:rFonts w:eastAsia="Arial" w:cs="Arial"/>
          <w:szCs w:val="24"/>
        </w:rPr>
        <w:t>Memorandum of Understanding between the</w:t>
      </w:r>
    </w:p>
    <w:p w14:paraId="32C2E6AF" w14:textId="77777777" w:rsidR="007C6854" w:rsidRDefault="00E0219E">
      <w:pPr>
        <w:spacing w:after="160" w:line="259" w:lineRule="auto"/>
        <w:rPr>
          <w:rFonts w:eastAsia="Arial" w:cs="Arial"/>
          <w:szCs w:val="24"/>
        </w:rPr>
      </w:pPr>
      <w:r>
        <w:rPr>
          <w:rFonts w:eastAsia="Arial" w:cs="Arial"/>
          <w:szCs w:val="24"/>
        </w:rPr>
        <w:tab/>
      </w:r>
      <w:r>
        <w:rPr>
          <w:rFonts w:eastAsia="Arial" w:cs="Arial"/>
          <w:szCs w:val="24"/>
        </w:rPr>
        <w:tab/>
        <w:t>The researcher and the Barangay Health Center ……………………</w:t>
      </w:r>
      <w:r>
        <w:rPr>
          <w:rFonts w:eastAsia="Arial" w:cs="Arial"/>
          <w:szCs w:val="24"/>
        </w:rPr>
        <w:tab/>
        <w:t xml:space="preserve">89 </w:t>
      </w:r>
    </w:p>
    <w:p w14:paraId="7A189D97" w14:textId="77777777" w:rsidR="007C6854" w:rsidRDefault="00E0219E">
      <w:pPr>
        <w:spacing w:after="160" w:line="259" w:lineRule="auto"/>
        <w:rPr>
          <w:rFonts w:eastAsia="Arial" w:cs="Arial"/>
          <w:szCs w:val="24"/>
        </w:rPr>
      </w:pPr>
      <w:r>
        <w:rPr>
          <w:rFonts w:eastAsia="Arial" w:cs="Arial"/>
          <w:b/>
          <w:szCs w:val="24"/>
        </w:rPr>
        <w:t xml:space="preserve">Appendix D: </w:t>
      </w:r>
      <w:r>
        <w:rPr>
          <w:rFonts w:eastAsia="Arial" w:cs="Arial"/>
          <w:szCs w:val="24"/>
        </w:rPr>
        <w:t>Assessment and ICF Agreement ………………………………………</w:t>
      </w:r>
      <w:r>
        <w:rPr>
          <w:rFonts w:eastAsia="Arial" w:cs="Arial"/>
          <w:szCs w:val="24"/>
        </w:rPr>
        <w:tab/>
        <w:t>93</w:t>
      </w:r>
    </w:p>
    <w:p w14:paraId="1D6297C7" w14:textId="77777777" w:rsidR="007C6854" w:rsidRDefault="00E0219E">
      <w:pPr>
        <w:spacing w:after="160" w:line="259" w:lineRule="auto"/>
        <w:rPr>
          <w:rFonts w:eastAsia="Arial" w:cs="Arial"/>
          <w:szCs w:val="24"/>
        </w:rPr>
      </w:pPr>
      <w:r>
        <w:rPr>
          <w:rFonts w:eastAsia="Arial" w:cs="Arial"/>
          <w:b/>
          <w:szCs w:val="24"/>
        </w:rPr>
        <w:t>Appendix E:</w:t>
      </w:r>
      <w:r>
        <w:rPr>
          <w:rFonts w:eastAsia="Arial" w:cs="Arial"/>
          <w:szCs w:val="24"/>
        </w:rPr>
        <w:t xml:space="preserve"> Survey Questionnaire ……………………………………………………93</w:t>
      </w:r>
    </w:p>
    <w:p w14:paraId="6A6572C0" w14:textId="77777777" w:rsidR="007C6854" w:rsidRDefault="00E0219E">
      <w:pPr>
        <w:spacing w:after="160" w:line="259" w:lineRule="auto"/>
        <w:rPr>
          <w:rFonts w:eastAsia="Arial" w:cs="Arial"/>
          <w:szCs w:val="24"/>
        </w:rPr>
      </w:pPr>
      <w:r>
        <w:rPr>
          <w:rFonts w:eastAsia="Arial" w:cs="Arial"/>
          <w:b/>
          <w:szCs w:val="24"/>
        </w:rPr>
        <w:t xml:space="preserve">Appendix F: </w:t>
      </w:r>
      <w:r>
        <w:rPr>
          <w:rFonts w:eastAsia="Arial" w:cs="Arial"/>
          <w:szCs w:val="24"/>
        </w:rPr>
        <w:t>International Society of Hypertension Guidelines ……………………</w:t>
      </w:r>
      <w:r>
        <w:rPr>
          <w:rFonts w:eastAsia="Arial" w:cs="Arial"/>
          <w:szCs w:val="24"/>
        </w:rPr>
        <w:tab/>
        <w:t>94</w:t>
      </w:r>
    </w:p>
    <w:p w14:paraId="50F01833" w14:textId="77777777" w:rsidR="007C6854" w:rsidRDefault="00E0219E">
      <w:pPr>
        <w:spacing w:after="160" w:line="259" w:lineRule="auto"/>
        <w:rPr>
          <w:rFonts w:eastAsia="Arial" w:cs="Arial"/>
          <w:szCs w:val="24"/>
        </w:rPr>
      </w:pPr>
      <w:r>
        <w:rPr>
          <w:rFonts w:eastAsia="Arial" w:cs="Arial"/>
          <w:b/>
          <w:szCs w:val="24"/>
        </w:rPr>
        <w:t xml:space="preserve">Appendix G: </w:t>
      </w:r>
      <w:r>
        <w:rPr>
          <w:rFonts w:eastAsia="Arial" w:cs="Arial"/>
          <w:szCs w:val="24"/>
        </w:rPr>
        <w:t>Sample Size Computation …………………………………………</w:t>
      </w:r>
      <w:proofErr w:type="gramStart"/>
      <w:r>
        <w:rPr>
          <w:rFonts w:eastAsia="Arial" w:cs="Arial"/>
          <w:szCs w:val="24"/>
        </w:rPr>
        <w:t>…..</w:t>
      </w:r>
      <w:proofErr w:type="gramEnd"/>
      <w:r>
        <w:rPr>
          <w:rFonts w:eastAsia="Arial" w:cs="Arial"/>
          <w:szCs w:val="24"/>
        </w:rPr>
        <w:tab/>
        <w:t>95</w:t>
      </w:r>
    </w:p>
    <w:p w14:paraId="25DD3E50" w14:textId="77777777" w:rsidR="007C6854" w:rsidRDefault="00E0219E">
      <w:pPr>
        <w:spacing w:after="160" w:line="259" w:lineRule="auto"/>
        <w:rPr>
          <w:rFonts w:eastAsia="Arial" w:cs="Arial"/>
          <w:szCs w:val="24"/>
        </w:rPr>
      </w:pPr>
      <w:r>
        <w:rPr>
          <w:rFonts w:eastAsia="Arial" w:cs="Arial"/>
          <w:b/>
          <w:szCs w:val="24"/>
        </w:rPr>
        <w:t xml:space="preserve">Appendix H: </w:t>
      </w:r>
      <w:r>
        <w:rPr>
          <w:rFonts w:eastAsia="Arial" w:cs="Arial"/>
          <w:szCs w:val="24"/>
        </w:rPr>
        <w:t>Estimation of the Adult Population, 20 years old and above ……….</w:t>
      </w:r>
      <w:r>
        <w:rPr>
          <w:rFonts w:eastAsia="Arial" w:cs="Arial"/>
          <w:szCs w:val="24"/>
        </w:rPr>
        <w:tab/>
        <w:t>97</w:t>
      </w:r>
    </w:p>
    <w:p w14:paraId="33AC381D" w14:textId="77777777" w:rsidR="007C6854" w:rsidRDefault="00E0219E">
      <w:pPr>
        <w:spacing w:after="160" w:line="259" w:lineRule="auto"/>
        <w:rPr>
          <w:rFonts w:eastAsia="Arial" w:cs="Arial"/>
          <w:szCs w:val="24"/>
        </w:rPr>
      </w:pPr>
      <w:r>
        <w:rPr>
          <w:rFonts w:eastAsia="Arial" w:cs="Arial"/>
          <w:b/>
          <w:szCs w:val="24"/>
        </w:rPr>
        <w:t xml:space="preserve">Appendix I: </w:t>
      </w:r>
      <w:r>
        <w:rPr>
          <w:rFonts w:eastAsia="Arial" w:cs="Arial"/>
          <w:szCs w:val="24"/>
        </w:rPr>
        <w:t>Summary of the Research Construct ………………………………</w:t>
      </w:r>
      <w:proofErr w:type="gramStart"/>
      <w:r>
        <w:rPr>
          <w:rFonts w:eastAsia="Arial" w:cs="Arial"/>
          <w:szCs w:val="24"/>
        </w:rPr>
        <w:t>…..</w:t>
      </w:r>
      <w:proofErr w:type="gramEnd"/>
      <w:r>
        <w:rPr>
          <w:rFonts w:eastAsia="Arial" w:cs="Arial"/>
          <w:szCs w:val="24"/>
        </w:rPr>
        <w:tab/>
        <w:t>98</w:t>
      </w:r>
    </w:p>
    <w:p w14:paraId="7F394942" w14:textId="77777777" w:rsidR="007C6854" w:rsidRDefault="00E0219E">
      <w:pPr>
        <w:spacing w:after="160" w:line="259" w:lineRule="auto"/>
        <w:rPr>
          <w:rFonts w:eastAsia="Arial" w:cs="Arial"/>
          <w:szCs w:val="24"/>
        </w:rPr>
        <w:sectPr w:rsidR="007C6854">
          <w:headerReference w:type="default" r:id="rId32"/>
          <w:footerReference w:type="default" r:id="rId33"/>
          <w:pgSz w:w="11906" w:h="16838"/>
          <w:pgMar w:top="1440" w:right="1440" w:bottom="1440" w:left="1440" w:header="0" w:footer="0" w:gutter="0"/>
          <w:cols w:space="720"/>
        </w:sectPr>
      </w:pPr>
      <w:r>
        <w:rPr>
          <w:rFonts w:eastAsia="Arial" w:cs="Arial"/>
          <w:b/>
          <w:szCs w:val="24"/>
        </w:rPr>
        <w:t xml:space="preserve">Appendix I: </w:t>
      </w:r>
      <w:r>
        <w:rPr>
          <w:rFonts w:eastAsia="Arial" w:cs="Arial"/>
          <w:szCs w:val="24"/>
        </w:rPr>
        <w:t xml:space="preserve">Database and </w:t>
      </w:r>
      <w:proofErr w:type="spellStart"/>
      <w:r>
        <w:rPr>
          <w:rFonts w:eastAsia="Arial" w:cs="Arial"/>
          <w:szCs w:val="24"/>
        </w:rPr>
        <w:t>Rscript</w:t>
      </w:r>
      <w:proofErr w:type="spellEnd"/>
      <w:r>
        <w:rPr>
          <w:rFonts w:eastAsia="Arial" w:cs="Arial"/>
          <w:szCs w:val="24"/>
        </w:rPr>
        <w:t xml:space="preserve"> on Data Analysis ……………………………….100</w:t>
      </w:r>
    </w:p>
    <w:p w14:paraId="53BC6B0D" w14:textId="77777777" w:rsidR="007C6854" w:rsidRDefault="00E0219E">
      <w:pPr>
        <w:spacing w:after="160" w:line="259" w:lineRule="auto"/>
        <w:jc w:val="center"/>
        <w:rPr>
          <w:rFonts w:eastAsia="Arial" w:cs="Arial"/>
          <w:color w:val="000000"/>
          <w:szCs w:val="24"/>
        </w:rPr>
      </w:pPr>
      <w:r>
        <w:rPr>
          <w:rFonts w:eastAsia="Arial" w:cs="Arial"/>
          <w:b/>
          <w:color w:val="000000"/>
          <w:szCs w:val="24"/>
        </w:rPr>
        <w:lastRenderedPageBreak/>
        <w:t>L</w:t>
      </w:r>
      <w:r>
        <w:rPr>
          <w:rFonts w:eastAsia="Arial" w:cs="Arial"/>
          <w:b/>
          <w:szCs w:val="24"/>
        </w:rPr>
        <w:t>ist of Acronyms and Abbreviations</w:t>
      </w:r>
    </w:p>
    <w:tbl>
      <w:tblPr>
        <w:tblStyle w:val="afff"/>
        <w:tblW w:w="8865" w:type="dxa"/>
        <w:tblBorders>
          <w:top w:val="nil"/>
          <w:left w:val="nil"/>
          <w:bottom w:val="nil"/>
          <w:right w:val="nil"/>
          <w:insideH w:val="nil"/>
          <w:insideV w:val="nil"/>
        </w:tblBorders>
        <w:tblLayout w:type="fixed"/>
        <w:tblLook w:val="0600" w:firstRow="0" w:lastRow="0" w:firstColumn="0" w:lastColumn="0" w:noHBand="1" w:noVBand="1"/>
      </w:tblPr>
      <w:tblGrid>
        <w:gridCol w:w="2262"/>
        <w:gridCol w:w="6603"/>
      </w:tblGrid>
      <w:tr w:rsidR="007C6854" w14:paraId="56650EB7"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E63B825" w14:textId="77777777" w:rsidR="007C6854" w:rsidRDefault="00E0219E">
            <w:pPr>
              <w:spacing w:line="360" w:lineRule="auto"/>
              <w:rPr>
                <w:rFonts w:eastAsia="Arial" w:cs="Arial"/>
                <w:b/>
                <w:szCs w:val="24"/>
              </w:rPr>
            </w:pPr>
            <w:r>
              <w:rPr>
                <w:rFonts w:eastAsia="Arial" w:cs="Arial"/>
                <w:b/>
                <w:szCs w:val="24"/>
              </w:rPr>
              <w:t>BP</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29C6F42" w14:textId="77777777" w:rsidR="007C6854" w:rsidRDefault="00E0219E">
            <w:pPr>
              <w:spacing w:line="360" w:lineRule="auto"/>
              <w:rPr>
                <w:rFonts w:eastAsia="Arial" w:cs="Arial"/>
                <w:szCs w:val="24"/>
              </w:rPr>
            </w:pPr>
            <w:r>
              <w:rPr>
                <w:rFonts w:eastAsia="Arial" w:cs="Arial"/>
                <w:szCs w:val="24"/>
              </w:rPr>
              <w:t>Blood Pressure</w:t>
            </w:r>
          </w:p>
        </w:tc>
      </w:tr>
      <w:tr w:rsidR="007C6854" w14:paraId="47341214"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DF27737" w14:textId="77777777" w:rsidR="007C6854" w:rsidRDefault="00E0219E">
            <w:pPr>
              <w:spacing w:line="360" w:lineRule="auto"/>
              <w:rPr>
                <w:rFonts w:eastAsia="Arial" w:cs="Arial"/>
                <w:b/>
                <w:szCs w:val="24"/>
              </w:rPr>
            </w:pPr>
            <w:r>
              <w:rPr>
                <w:rFonts w:eastAsia="Arial" w:cs="Arial"/>
                <w:b/>
                <w:szCs w:val="24"/>
              </w:rPr>
              <w:t>COVID-19</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9D47908" w14:textId="77777777" w:rsidR="007C6854" w:rsidRDefault="00E0219E">
            <w:pPr>
              <w:spacing w:line="360" w:lineRule="auto"/>
              <w:rPr>
                <w:rFonts w:eastAsia="Arial" w:cs="Arial"/>
                <w:szCs w:val="24"/>
              </w:rPr>
            </w:pPr>
            <w:r>
              <w:rPr>
                <w:rFonts w:eastAsia="Arial" w:cs="Arial"/>
                <w:szCs w:val="24"/>
              </w:rPr>
              <w:t>Coronavirus Disease 2019</w:t>
            </w:r>
          </w:p>
        </w:tc>
      </w:tr>
      <w:tr w:rsidR="007C6854" w14:paraId="0EF7C889"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3A671DE" w14:textId="77777777" w:rsidR="007C6854" w:rsidRDefault="00E0219E">
            <w:pPr>
              <w:spacing w:line="360" w:lineRule="auto"/>
              <w:rPr>
                <w:rFonts w:eastAsia="Arial" w:cs="Arial"/>
                <w:b/>
                <w:szCs w:val="24"/>
              </w:rPr>
            </w:pPr>
            <w:r>
              <w:rPr>
                <w:rFonts w:eastAsia="Arial" w:cs="Arial"/>
                <w:b/>
                <w:szCs w:val="24"/>
              </w:rPr>
              <w:t>DBP</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36B1B02" w14:textId="77777777" w:rsidR="007C6854" w:rsidRDefault="00E0219E">
            <w:pPr>
              <w:spacing w:line="360" w:lineRule="auto"/>
              <w:rPr>
                <w:rFonts w:eastAsia="Arial" w:cs="Arial"/>
                <w:szCs w:val="24"/>
              </w:rPr>
            </w:pPr>
            <w:r>
              <w:rPr>
                <w:rFonts w:eastAsia="Arial" w:cs="Arial"/>
                <w:szCs w:val="24"/>
              </w:rPr>
              <w:t>Diastolic Blood Pressure</w:t>
            </w:r>
          </w:p>
        </w:tc>
      </w:tr>
      <w:tr w:rsidR="007C6854" w14:paraId="4D390592"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2D4FB12" w14:textId="77777777" w:rsidR="007C6854" w:rsidRDefault="00E0219E">
            <w:pPr>
              <w:spacing w:line="360" w:lineRule="auto"/>
              <w:rPr>
                <w:rFonts w:eastAsia="Arial" w:cs="Arial"/>
                <w:b/>
                <w:szCs w:val="24"/>
              </w:rPr>
            </w:pPr>
            <w:r>
              <w:rPr>
                <w:rFonts w:eastAsia="Arial" w:cs="Arial"/>
                <w:b/>
                <w:szCs w:val="24"/>
              </w:rPr>
              <w:t>HL</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FB0D06F" w14:textId="77777777" w:rsidR="007C6854" w:rsidRDefault="00E0219E">
            <w:pPr>
              <w:spacing w:line="360" w:lineRule="auto"/>
              <w:rPr>
                <w:rFonts w:eastAsia="Arial" w:cs="Arial"/>
                <w:szCs w:val="24"/>
              </w:rPr>
            </w:pPr>
            <w:r>
              <w:rPr>
                <w:rFonts w:eastAsia="Arial" w:cs="Arial"/>
                <w:szCs w:val="24"/>
              </w:rPr>
              <w:t>Health Literacy</w:t>
            </w:r>
          </w:p>
        </w:tc>
      </w:tr>
      <w:tr w:rsidR="007C6854" w14:paraId="462DB694"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F978450" w14:textId="77777777" w:rsidR="007C6854" w:rsidRDefault="00E0219E">
            <w:pPr>
              <w:spacing w:line="360" w:lineRule="auto"/>
              <w:rPr>
                <w:rFonts w:eastAsia="Arial" w:cs="Arial"/>
                <w:b/>
                <w:szCs w:val="24"/>
              </w:rPr>
            </w:pPr>
            <w:r>
              <w:rPr>
                <w:rFonts w:eastAsia="Arial" w:cs="Arial"/>
                <w:b/>
                <w:szCs w:val="24"/>
              </w:rPr>
              <w:t>HLQ</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2BBB57A" w14:textId="77777777" w:rsidR="007C6854" w:rsidRDefault="00E0219E">
            <w:pPr>
              <w:spacing w:line="360" w:lineRule="auto"/>
              <w:rPr>
                <w:rFonts w:eastAsia="Arial" w:cs="Arial"/>
                <w:szCs w:val="24"/>
              </w:rPr>
            </w:pPr>
            <w:r>
              <w:rPr>
                <w:rFonts w:eastAsia="Arial" w:cs="Arial"/>
                <w:szCs w:val="24"/>
              </w:rPr>
              <w:t>Health Literacy Questionnaire</w:t>
            </w:r>
          </w:p>
        </w:tc>
      </w:tr>
      <w:tr w:rsidR="007C6854" w14:paraId="0AF74AC2"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2C21A83" w14:textId="77777777" w:rsidR="007C6854" w:rsidRDefault="00E0219E">
            <w:pPr>
              <w:spacing w:line="360" w:lineRule="auto"/>
              <w:rPr>
                <w:rFonts w:eastAsia="Arial" w:cs="Arial"/>
                <w:b/>
                <w:szCs w:val="24"/>
              </w:rPr>
            </w:pPr>
            <w:r>
              <w:rPr>
                <w:rFonts w:eastAsia="Arial" w:cs="Arial"/>
                <w:b/>
                <w:szCs w:val="24"/>
              </w:rPr>
              <w:t>HMO</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B80101F" w14:textId="77777777" w:rsidR="007C6854" w:rsidRDefault="00E0219E">
            <w:pPr>
              <w:spacing w:line="360" w:lineRule="auto"/>
              <w:rPr>
                <w:rFonts w:eastAsia="Arial" w:cs="Arial"/>
                <w:szCs w:val="24"/>
              </w:rPr>
            </w:pPr>
            <w:r>
              <w:rPr>
                <w:rFonts w:eastAsia="Arial" w:cs="Arial"/>
                <w:szCs w:val="24"/>
              </w:rPr>
              <w:t>Health Maintenance Organization</w:t>
            </w:r>
          </w:p>
        </w:tc>
      </w:tr>
      <w:tr w:rsidR="007C6854" w14:paraId="6DF1EB58"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BFBB19E" w14:textId="77777777" w:rsidR="007C6854" w:rsidRDefault="00E0219E">
            <w:pPr>
              <w:spacing w:line="360" w:lineRule="auto"/>
              <w:rPr>
                <w:rFonts w:eastAsia="Arial" w:cs="Arial"/>
                <w:b/>
                <w:szCs w:val="24"/>
              </w:rPr>
            </w:pPr>
            <w:r>
              <w:rPr>
                <w:rFonts w:eastAsia="Arial" w:cs="Arial"/>
                <w:b/>
                <w:szCs w:val="24"/>
              </w:rPr>
              <w:t>HPN</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1D9DCA2" w14:textId="77777777" w:rsidR="007C6854" w:rsidRDefault="00E0219E">
            <w:pPr>
              <w:spacing w:line="360" w:lineRule="auto"/>
              <w:rPr>
                <w:rFonts w:eastAsia="Arial" w:cs="Arial"/>
                <w:szCs w:val="24"/>
              </w:rPr>
            </w:pPr>
            <w:r>
              <w:rPr>
                <w:rFonts w:eastAsia="Arial" w:cs="Arial"/>
                <w:szCs w:val="24"/>
              </w:rPr>
              <w:t>Hypertension</w:t>
            </w:r>
          </w:p>
        </w:tc>
      </w:tr>
      <w:tr w:rsidR="007C6854" w14:paraId="1C1038C6"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4DE8D85" w14:textId="77777777" w:rsidR="007C6854" w:rsidRDefault="00E0219E">
            <w:pPr>
              <w:spacing w:line="360" w:lineRule="auto"/>
              <w:rPr>
                <w:rFonts w:eastAsia="Arial" w:cs="Arial"/>
                <w:b/>
                <w:szCs w:val="24"/>
              </w:rPr>
            </w:pPr>
            <w:r>
              <w:rPr>
                <w:rFonts w:eastAsia="Arial" w:cs="Arial"/>
                <w:b/>
                <w:szCs w:val="24"/>
              </w:rPr>
              <w:t>ISH</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8E81F94" w14:textId="77777777" w:rsidR="007C6854" w:rsidRDefault="00E0219E">
            <w:pPr>
              <w:spacing w:line="360" w:lineRule="auto"/>
              <w:rPr>
                <w:rFonts w:eastAsia="Arial" w:cs="Arial"/>
                <w:szCs w:val="24"/>
              </w:rPr>
            </w:pPr>
            <w:r>
              <w:rPr>
                <w:rFonts w:eastAsia="Arial" w:cs="Arial"/>
                <w:szCs w:val="24"/>
              </w:rPr>
              <w:t>International Society of Hypertension</w:t>
            </w:r>
          </w:p>
        </w:tc>
      </w:tr>
      <w:tr w:rsidR="007C6854" w14:paraId="4D96385E"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55ECCC3" w14:textId="77777777" w:rsidR="007C6854" w:rsidRDefault="00E0219E">
            <w:pPr>
              <w:spacing w:line="360" w:lineRule="auto"/>
              <w:rPr>
                <w:rFonts w:eastAsia="Arial" w:cs="Arial"/>
                <w:b/>
                <w:szCs w:val="24"/>
              </w:rPr>
            </w:pPr>
            <w:r>
              <w:rPr>
                <w:rFonts w:eastAsia="Arial" w:cs="Arial"/>
                <w:b/>
                <w:szCs w:val="24"/>
              </w:rPr>
              <w:t>NCD</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0E21D99" w14:textId="77777777" w:rsidR="007C6854" w:rsidRDefault="00E0219E">
            <w:pPr>
              <w:spacing w:line="360" w:lineRule="auto"/>
              <w:rPr>
                <w:rFonts w:eastAsia="Arial" w:cs="Arial"/>
                <w:szCs w:val="24"/>
              </w:rPr>
            </w:pPr>
            <w:r>
              <w:rPr>
                <w:rFonts w:eastAsia="Arial" w:cs="Arial"/>
                <w:szCs w:val="24"/>
              </w:rPr>
              <w:t>Noncommunicable Diseases</w:t>
            </w:r>
          </w:p>
        </w:tc>
      </w:tr>
      <w:tr w:rsidR="007C6854" w14:paraId="7F449C9E"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6FD5A6C" w14:textId="77777777" w:rsidR="007C6854" w:rsidRDefault="00E0219E">
            <w:pPr>
              <w:spacing w:line="360" w:lineRule="auto"/>
              <w:rPr>
                <w:rFonts w:eastAsia="Arial" w:cs="Arial"/>
                <w:b/>
                <w:szCs w:val="24"/>
              </w:rPr>
            </w:pPr>
            <w:r>
              <w:rPr>
                <w:rFonts w:eastAsia="Arial" w:cs="Arial"/>
                <w:b/>
                <w:szCs w:val="24"/>
              </w:rPr>
              <w:t>SBP</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082A6C5" w14:textId="77777777" w:rsidR="007C6854" w:rsidRDefault="00E0219E">
            <w:pPr>
              <w:spacing w:line="360" w:lineRule="auto"/>
              <w:rPr>
                <w:rFonts w:eastAsia="Arial" w:cs="Arial"/>
                <w:szCs w:val="24"/>
              </w:rPr>
            </w:pPr>
            <w:r>
              <w:rPr>
                <w:rFonts w:eastAsia="Arial" w:cs="Arial"/>
                <w:szCs w:val="24"/>
              </w:rPr>
              <w:t>Systolic Blood Pressure</w:t>
            </w:r>
          </w:p>
        </w:tc>
      </w:tr>
      <w:tr w:rsidR="007C6854" w14:paraId="63F570F4"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06395D6D" w14:textId="77777777" w:rsidR="007C6854" w:rsidRDefault="00E0219E">
            <w:pPr>
              <w:spacing w:line="360" w:lineRule="auto"/>
              <w:rPr>
                <w:rFonts w:eastAsia="Arial" w:cs="Arial"/>
                <w:b/>
                <w:szCs w:val="24"/>
              </w:rPr>
            </w:pPr>
            <w:r>
              <w:rPr>
                <w:rFonts w:eastAsia="Arial" w:cs="Arial"/>
                <w:b/>
                <w:szCs w:val="24"/>
              </w:rPr>
              <w:t>SD</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61C1D42B" w14:textId="77777777" w:rsidR="007C6854" w:rsidRDefault="00E0219E">
            <w:pPr>
              <w:spacing w:line="360" w:lineRule="auto"/>
              <w:rPr>
                <w:rFonts w:eastAsia="Arial" w:cs="Arial"/>
                <w:szCs w:val="24"/>
              </w:rPr>
            </w:pPr>
            <w:r>
              <w:rPr>
                <w:rFonts w:eastAsia="Arial" w:cs="Arial"/>
                <w:szCs w:val="24"/>
              </w:rPr>
              <w:t>Standard Deviation</w:t>
            </w:r>
          </w:p>
        </w:tc>
      </w:tr>
      <w:tr w:rsidR="007C6854" w14:paraId="388E038B" w14:textId="77777777">
        <w:trPr>
          <w:trHeight w:val="76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9FB19BB" w14:textId="77777777" w:rsidR="007C6854" w:rsidRDefault="00E0219E">
            <w:pPr>
              <w:spacing w:line="360" w:lineRule="auto"/>
              <w:rPr>
                <w:rFonts w:eastAsia="Arial" w:cs="Arial"/>
                <w:b/>
                <w:szCs w:val="24"/>
              </w:rPr>
            </w:pPr>
            <w:r>
              <w:rPr>
                <w:rFonts w:eastAsia="Arial" w:cs="Arial"/>
                <w:b/>
                <w:szCs w:val="24"/>
              </w:rPr>
              <w:t>UPOU-FMDS</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1116F3A7" w14:textId="77777777" w:rsidR="007C6854" w:rsidRDefault="00E0219E">
            <w:pPr>
              <w:spacing w:line="360" w:lineRule="auto"/>
              <w:rPr>
                <w:rFonts w:eastAsia="Arial" w:cs="Arial"/>
                <w:szCs w:val="24"/>
              </w:rPr>
            </w:pPr>
            <w:r>
              <w:rPr>
                <w:rFonts w:eastAsia="Arial" w:cs="Arial"/>
                <w:szCs w:val="24"/>
              </w:rPr>
              <w:t>University of the Philippines Faculty of Management and Development Studies</w:t>
            </w:r>
          </w:p>
        </w:tc>
      </w:tr>
      <w:tr w:rsidR="007C6854" w14:paraId="78E12FCF"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B2AB5FA" w14:textId="77777777" w:rsidR="007C6854" w:rsidRDefault="00E0219E">
            <w:pPr>
              <w:spacing w:line="360" w:lineRule="auto"/>
              <w:rPr>
                <w:rFonts w:eastAsia="Arial" w:cs="Arial"/>
                <w:b/>
                <w:szCs w:val="24"/>
              </w:rPr>
            </w:pPr>
            <w:r>
              <w:rPr>
                <w:rFonts w:eastAsia="Arial" w:cs="Arial"/>
                <w:b/>
                <w:szCs w:val="24"/>
              </w:rPr>
              <w:t>UPOU-IREC</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094006C" w14:textId="77777777" w:rsidR="007C6854" w:rsidRDefault="00E0219E">
            <w:pPr>
              <w:spacing w:line="360" w:lineRule="auto"/>
              <w:rPr>
                <w:rFonts w:eastAsia="Arial" w:cs="Arial"/>
                <w:szCs w:val="24"/>
              </w:rPr>
            </w:pPr>
            <w:r>
              <w:rPr>
                <w:rFonts w:eastAsia="Arial" w:cs="Arial"/>
                <w:szCs w:val="24"/>
              </w:rPr>
              <w:t>University of the Philippines Institutional Research Ethics Committee</w:t>
            </w:r>
          </w:p>
        </w:tc>
      </w:tr>
      <w:tr w:rsidR="007C6854" w14:paraId="097319C0"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71F40CB6" w14:textId="77777777" w:rsidR="007C6854" w:rsidRDefault="00E0219E">
            <w:pPr>
              <w:spacing w:line="360" w:lineRule="auto"/>
              <w:rPr>
                <w:rFonts w:eastAsia="Arial" w:cs="Arial"/>
                <w:b/>
                <w:szCs w:val="24"/>
              </w:rPr>
            </w:pPr>
            <w:r>
              <w:rPr>
                <w:rFonts w:eastAsia="Arial" w:cs="Arial"/>
                <w:b/>
                <w:szCs w:val="24"/>
              </w:rPr>
              <w:t>Urban HEART</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A988D57" w14:textId="77777777" w:rsidR="007C6854" w:rsidRDefault="00E0219E">
            <w:pPr>
              <w:spacing w:line="360" w:lineRule="auto"/>
              <w:rPr>
                <w:rFonts w:eastAsia="Arial" w:cs="Arial"/>
                <w:szCs w:val="24"/>
              </w:rPr>
            </w:pPr>
            <w:r>
              <w:rPr>
                <w:rFonts w:eastAsia="Arial" w:cs="Arial"/>
                <w:szCs w:val="24"/>
              </w:rPr>
              <w:t>Urban Health Equity Assessment and Response Tool</w:t>
            </w:r>
          </w:p>
        </w:tc>
      </w:tr>
    </w:tbl>
    <w:p w14:paraId="6F7C69D1" w14:textId="77777777" w:rsidR="007C6854" w:rsidRDefault="007C6854">
      <w:pPr>
        <w:spacing w:after="0" w:line="360" w:lineRule="auto"/>
        <w:rPr>
          <w:rFonts w:eastAsia="Arial" w:cs="Arial"/>
          <w:b/>
          <w:szCs w:val="24"/>
        </w:rPr>
        <w:sectPr w:rsidR="007C6854">
          <w:headerReference w:type="default" r:id="rId34"/>
          <w:footerReference w:type="default" r:id="rId35"/>
          <w:pgSz w:w="11906" w:h="16838"/>
          <w:pgMar w:top="1440" w:right="1440" w:bottom="1440" w:left="1440" w:header="0" w:footer="0" w:gutter="0"/>
          <w:cols w:space="720"/>
        </w:sectPr>
      </w:pPr>
    </w:p>
    <w:p w14:paraId="12F45F87" w14:textId="77777777" w:rsidR="007C6854" w:rsidRDefault="007C6854">
      <w:pPr>
        <w:widowControl w:val="0"/>
        <w:pBdr>
          <w:top w:val="nil"/>
          <w:left w:val="nil"/>
          <w:bottom w:val="nil"/>
          <w:right w:val="nil"/>
          <w:between w:val="nil"/>
        </w:pBdr>
        <w:spacing w:after="0"/>
        <w:rPr>
          <w:rFonts w:eastAsia="Arial" w:cs="Arial"/>
          <w:b/>
          <w:szCs w:val="24"/>
        </w:rPr>
      </w:pPr>
    </w:p>
    <w:tbl>
      <w:tblPr>
        <w:tblStyle w:val="afff0"/>
        <w:tblW w:w="8865" w:type="dxa"/>
        <w:tblBorders>
          <w:top w:val="nil"/>
          <w:left w:val="nil"/>
          <w:bottom w:val="nil"/>
          <w:right w:val="nil"/>
          <w:insideH w:val="nil"/>
          <w:insideV w:val="nil"/>
        </w:tblBorders>
        <w:tblLayout w:type="fixed"/>
        <w:tblLook w:val="0600" w:firstRow="0" w:lastRow="0" w:firstColumn="0" w:lastColumn="0" w:noHBand="1" w:noVBand="1"/>
      </w:tblPr>
      <w:tblGrid>
        <w:gridCol w:w="2262"/>
        <w:gridCol w:w="6603"/>
      </w:tblGrid>
      <w:tr w:rsidR="007C6854" w14:paraId="5F51A75F" w14:textId="77777777">
        <w:trPr>
          <w:trHeight w:val="49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44018766" w14:textId="77777777" w:rsidR="007C6854" w:rsidRDefault="00E0219E">
            <w:pPr>
              <w:spacing w:line="360" w:lineRule="auto"/>
              <w:rPr>
                <w:rFonts w:eastAsia="Arial" w:cs="Arial"/>
                <w:b/>
                <w:szCs w:val="24"/>
              </w:rPr>
            </w:pPr>
            <w:r>
              <w:rPr>
                <w:rFonts w:eastAsia="Arial" w:cs="Arial"/>
                <w:b/>
                <w:szCs w:val="24"/>
              </w:rPr>
              <w:t>WHO</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09B4273B" w14:textId="77777777" w:rsidR="007C6854" w:rsidRDefault="00E0219E">
            <w:pPr>
              <w:spacing w:line="360" w:lineRule="auto"/>
              <w:rPr>
                <w:rFonts w:eastAsia="Arial" w:cs="Arial"/>
                <w:szCs w:val="24"/>
              </w:rPr>
            </w:pPr>
            <w:r>
              <w:rPr>
                <w:rFonts w:eastAsia="Arial" w:cs="Arial"/>
                <w:szCs w:val="24"/>
              </w:rPr>
              <w:t>World Health Organization</w:t>
            </w:r>
          </w:p>
        </w:tc>
      </w:tr>
      <w:tr w:rsidR="007C6854" w14:paraId="641A09D0" w14:textId="77777777">
        <w:trPr>
          <w:trHeight w:val="765"/>
        </w:trPr>
        <w:tc>
          <w:tcPr>
            <w:tcW w:w="2262"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5A8ED667" w14:textId="77777777" w:rsidR="007C6854" w:rsidRDefault="00E0219E">
            <w:pPr>
              <w:spacing w:line="360" w:lineRule="auto"/>
              <w:rPr>
                <w:rFonts w:eastAsia="Arial" w:cs="Arial"/>
                <w:b/>
                <w:szCs w:val="24"/>
              </w:rPr>
            </w:pPr>
            <w:r>
              <w:rPr>
                <w:rFonts w:eastAsia="Arial" w:cs="Arial"/>
                <w:b/>
                <w:szCs w:val="24"/>
              </w:rPr>
              <w:t>WHO-PEN</w:t>
            </w:r>
          </w:p>
        </w:tc>
        <w:tc>
          <w:tcPr>
            <w:tcW w:w="6603" w:type="dxa"/>
            <w:tcBorders>
              <w:top w:val="single" w:sz="5" w:space="0" w:color="FFFFFF"/>
              <w:left w:val="single" w:sz="5" w:space="0" w:color="FFFFFF"/>
              <w:bottom w:val="single" w:sz="5" w:space="0" w:color="FFFFFF"/>
              <w:right w:val="single" w:sz="5" w:space="0" w:color="FFFFFF"/>
            </w:tcBorders>
            <w:tcMar>
              <w:top w:w="100" w:type="dxa"/>
              <w:left w:w="100" w:type="dxa"/>
              <w:bottom w:w="100" w:type="dxa"/>
              <w:right w:w="100" w:type="dxa"/>
            </w:tcMar>
          </w:tcPr>
          <w:p w14:paraId="34C42707" w14:textId="77777777" w:rsidR="007C6854" w:rsidRDefault="00E0219E">
            <w:pPr>
              <w:spacing w:line="360" w:lineRule="auto"/>
              <w:rPr>
                <w:rFonts w:eastAsia="Arial" w:cs="Arial"/>
                <w:szCs w:val="24"/>
              </w:rPr>
            </w:pPr>
            <w:r>
              <w:rPr>
                <w:rFonts w:eastAsia="Arial" w:cs="Arial"/>
                <w:szCs w:val="24"/>
              </w:rPr>
              <w:t>World Health Organization Package of Essential Noncommunicable Disease Intervention for Primary Healthcare Facilities</w:t>
            </w:r>
          </w:p>
        </w:tc>
      </w:tr>
    </w:tbl>
    <w:p w14:paraId="31388B38" w14:textId="77777777" w:rsidR="007C6854" w:rsidRDefault="007C6854">
      <w:pPr>
        <w:rPr>
          <w:rFonts w:eastAsia="Arial" w:cs="Arial"/>
          <w:szCs w:val="24"/>
        </w:rPr>
        <w:sectPr w:rsidR="007C6854">
          <w:headerReference w:type="default" r:id="rId36"/>
          <w:footerReference w:type="default" r:id="rId37"/>
          <w:pgSz w:w="11906" w:h="16838"/>
          <w:pgMar w:top="1440" w:right="1440" w:bottom="1440" w:left="1440" w:header="0" w:footer="0" w:gutter="0"/>
          <w:pgNumType w:start="1"/>
          <w:cols w:space="720"/>
        </w:sectPr>
      </w:pPr>
    </w:p>
    <w:p w14:paraId="61419F36" w14:textId="77777777" w:rsidR="007C6854" w:rsidRDefault="00E0219E" w:rsidP="00894763">
      <w:pPr>
        <w:pStyle w:val="Heading1"/>
        <w:spacing w:line="240" w:lineRule="auto"/>
        <w:jc w:val="center"/>
        <w:rPr>
          <w:rFonts w:eastAsia="Arial" w:cs="Arial"/>
          <w:sz w:val="24"/>
          <w:szCs w:val="24"/>
        </w:rPr>
      </w:pPr>
      <w:bookmarkStart w:id="1" w:name="_heading=h.30j0zll" w:colFirst="0" w:colLast="0"/>
      <w:bookmarkEnd w:id="1"/>
      <w:r>
        <w:rPr>
          <w:rFonts w:eastAsia="Arial" w:cs="Arial"/>
          <w:sz w:val="24"/>
          <w:szCs w:val="24"/>
        </w:rPr>
        <w:lastRenderedPageBreak/>
        <w:t>Chapter I</w:t>
      </w:r>
    </w:p>
    <w:p w14:paraId="2D85B97A" w14:textId="77777777" w:rsidR="007C6854" w:rsidRDefault="00E0219E" w:rsidP="00894763">
      <w:pPr>
        <w:pStyle w:val="Heading1"/>
        <w:spacing w:line="480" w:lineRule="auto"/>
        <w:jc w:val="center"/>
        <w:rPr>
          <w:rFonts w:eastAsia="Arial" w:cs="Arial"/>
          <w:sz w:val="24"/>
          <w:szCs w:val="24"/>
        </w:rPr>
      </w:pPr>
      <w:bookmarkStart w:id="2" w:name="_heading=h.3znysh7" w:colFirst="0" w:colLast="0"/>
      <w:bookmarkEnd w:id="2"/>
      <w:r>
        <w:rPr>
          <w:rFonts w:eastAsia="Arial" w:cs="Arial"/>
          <w:sz w:val="24"/>
          <w:szCs w:val="24"/>
        </w:rPr>
        <w:t>THE RESEARCH PROBLEM</w:t>
      </w:r>
    </w:p>
    <w:p w14:paraId="12C2546A" w14:textId="7FBB3ED3" w:rsidR="007C6854" w:rsidRPr="00894763" w:rsidRDefault="00E0219E" w:rsidP="00894763">
      <w:pPr>
        <w:pStyle w:val="Heading2"/>
        <w:spacing w:line="480" w:lineRule="auto"/>
        <w:jc w:val="center"/>
        <w:rPr>
          <w:rFonts w:eastAsia="Arial" w:cs="Arial"/>
          <w:sz w:val="24"/>
          <w:szCs w:val="24"/>
        </w:rPr>
      </w:pPr>
      <w:bookmarkStart w:id="3" w:name="_heading=h.3dy6vkm" w:colFirst="0" w:colLast="0"/>
      <w:bookmarkEnd w:id="3"/>
      <w:r>
        <w:rPr>
          <w:rFonts w:eastAsia="Arial" w:cs="Arial"/>
          <w:sz w:val="24"/>
          <w:szCs w:val="24"/>
        </w:rPr>
        <w:t>Background of the Study</w:t>
      </w:r>
    </w:p>
    <w:p w14:paraId="3F90CB07" w14:textId="77777777" w:rsidR="00E95D0C" w:rsidRDefault="00930910" w:rsidP="00E95D0C">
      <w:pPr>
        <w:pBdr>
          <w:top w:val="nil"/>
          <w:left w:val="nil"/>
          <w:bottom w:val="nil"/>
          <w:right w:val="nil"/>
          <w:between w:val="nil"/>
        </w:pBdr>
        <w:spacing w:after="160" w:line="480" w:lineRule="auto"/>
        <w:ind w:firstLine="720"/>
        <w:jc w:val="both"/>
        <w:rPr>
          <w:rFonts w:eastAsia="Arial" w:cs="Arial"/>
          <w:szCs w:val="24"/>
        </w:rPr>
      </w:pPr>
      <w:r w:rsidRPr="00930910">
        <w:rPr>
          <w:rFonts w:eastAsia="Arial" w:cs="Arial"/>
          <w:color w:val="000000"/>
          <w:szCs w:val="24"/>
        </w:rPr>
        <w:t>Noncommunicable diseases (NCDs) are widely recognized as a significant global health risk, posing a threat to the achievement of the 2030 Agenda for Sustainable Development (WHO, 2021). Among these NCDs, hypertension stands out as a leading cause of premature death worldwide (WHO, 2021). In fact, the WHO (2021) has set a global target to reduce the prevalence of hypertension by 33% between 2010 and 2030.</w:t>
      </w:r>
      <w:r>
        <w:rPr>
          <w:rFonts w:eastAsia="Arial" w:cs="Arial"/>
          <w:color w:val="000000"/>
          <w:szCs w:val="24"/>
        </w:rPr>
        <w:t xml:space="preserve"> </w:t>
      </w:r>
      <w:r w:rsidRPr="00930910">
        <w:rPr>
          <w:rFonts w:eastAsia="Arial" w:cs="Arial"/>
          <w:szCs w:val="24"/>
        </w:rPr>
        <w:t>Hypertension is a severe medical condition that wreaks havoc on vital organs such as the heart, brain, and others. If left undetected and untreated, it can result in lifelong disability or even death (WHO, 2021). This disease knows no boundaries, affecting individuals of all ages, ethnicities, and races. Shockingly, it is estimated that a staggering 1.28 billion adults aged 30 to 79 are affected by hypertension, with a significant concentration in low- and middle-income countries. Adding to the concern, a substantial 46% of adults with hypertension are unaware of their condition (WHO, 2021).</w:t>
      </w:r>
      <w:r w:rsidR="00E0219E">
        <w:rPr>
          <w:rFonts w:eastAsia="Arial" w:cs="Arial"/>
          <w:szCs w:val="24"/>
        </w:rPr>
        <w:t xml:space="preserve"> The modifiable risk factors caused by rapid unplanned urbanization, globalization of unhealthy lifestyles, and population aging exacerbate hypertension. These risk factors are u</w:t>
      </w:r>
      <w:r w:rsidR="00E0219E">
        <w:rPr>
          <w:rFonts w:eastAsia="Arial" w:cs="Arial"/>
          <w:color w:val="000000"/>
          <w:szCs w:val="24"/>
        </w:rPr>
        <w:t>nhealthy diets, physical inactivity, exposure to tobacco smoke, and harmful intake of alcohol (WHO, 2021).</w:t>
      </w:r>
      <w:r w:rsidR="00E0219E">
        <w:rPr>
          <w:rFonts w:eastAsia="Arial" w:cs="Arial"/>
          <w:szCs w:val="24"/>
        </w:rPr>
        <w:t xml:space="preserve"> In the United States alone, hypertension costs $131 to $198 billion annually. The total cost includes healthcare services, medications, and loss of productivity from premature death (CDC, 2022). In the study of </w:t>
      </w:r>
      <w:r w:rsidR="00E0219E">
        <w:rPr>
          <w:rFonts w:eastAsia="Arial" w:cs="Arial"/>
          <w:i/>
          <w:szCs w:val="24"/>
        </w:rPr>
        <w:t>Wang, G. et al. (2017)</w:t>
      </w:r>
      <w:r w:rsidR="00E0219E">
        <w:rPr>
          <w:rFonts w:eastAsia="Arial" w:cs="Arial"/>
          <w:szCs w:val="24"/>
        </w:rPr>
        <w:t xml:space="preserve"> concluded that hypertension has a substantial health and economic burden and is a growing public health priority. Also, </w:t>
      </w:r>
      <w:r w:rsidR="00E0219E">
        <w:rPr>
          <w:rFonts w:eastAsia="Arial" w:cs="Arial"/>
          <w:szCs w:val="24"/>
        </w:rPr>
        <w:lastRenderedPageBreak/>
        <w:t>hospitalization services alone account for 56% of hypertension-associated expenditures.</w:t>
      </w:r>
    </w:p>
    <w:p w14:paraId="53D09AC5" w14:textId="31DE7DE7" w:rsidR="00E95D0C" w:rsidRDefault="007F1B1E" w:rsidP="00E95D0C">
      <w:pPr>
        <w:pBdr>
          <w:top w:val="nil"/>
          <w:left w:val="nil"/>
          <w:bottom w:val="nil"/>
          <w:right w:val="nil"/>
          <w:between w:val="nil"/>
        </w:pBdr>
        <w:spacing w:after="160" w:line="480" w:lineRule="auto"/>
        <w:ind w:firstLine="720"/>
        <w:jc w:val="both"/>
        <w:rPr>
          <w:rFonts w:eastAsia="Arial" w:cs="Arial"/>
          <w:szCs w:val="24"/>
        </w:rPr>
      </w:pPr>
      <w:r w:rsidRPr="007F1B1E">
        <w:rPr>
          <w:rFonts w:eastAsia="Arial" w:cs="Arial"/>
          <w:szCs w:val="24"/>
        </w:rPr>
        <w:t>In the context of hypertension and urban poverty, urbanization presents both opportunities and risks. However, it is important to note that rapid urbanization can exacerbate poverty, resulting in a burden of non-communicable diseases (NCDs), including hypertension (World Health Organization [WHO], n.d.). Between 1960 and 2014, there was a significant surge in the urban population, and this trend continues to this day. The increase can be attributed to factors such as longer life expectancy, higher birth rates, and migration rates. The challenge lies in the fact that the number of people residing in urban areas is projected to rise until 2030, with an estimated 6.5 billion individuals expected to be living in cities by 2050 (WHO, n.d.; UNDP, n.d.).</w:t>
      </w:r>
      <w:r>
        <w:rPr>
          <w:rFonts w:eastAsia="Arial" w:cs="Arial"/>
          <w:szCs w:val="24"/>
        </w:rPr>
        <w:t xml:space="preserve"> </w:t>
      </w:r>
      <w:r w:rsidRPr="007F1B1E">
        <w:rPr>
          <w:rFonts w:eastAsia="Arial" w:cs="Arial"/>
          <w:szCs w:val="24"/>
        </w:rPr>
        <w:t>According to WHO (2014), nearly half of the global population, or 48.8%, resided in urban areas in 2014. Research conducted by Low et al. (2015) suggests that globalization, urbanization, sedentary lifestyles, obesity, and hypertension are all interconnected, contributing to the underlying risk faced by individuals.</w:t>
      </w:r>
      <w:r>
        <w:rPr>
          <w:rFonts w:eastAsia="Arial" w:cs="Arial"/>
          <w:szCs w:val="24"/>
        </w:rPr>
        <w:t xml:space="preserve"> </w:t>
      </w:r>
    </w:p>
    <w:p w14:paraId="3C77912F" w14:textId="04CE49EB" w:rsidR="00E95D0C" w:rsidRDefault="00E95D0C" w:rsidP="00E95D0C">
      <w:pPr>
        <w:pBdr>
          <w:top w:val="nil"/>
          <w:left w:val="nil"/>
          <w:bottom w:val="nil"/>
          <w:right w:val="nil"/>
          <w:between w:val="nil"/>
        </w:pBdr>
        <w:spacing w:after="160" w:line="480" w:lineRule="auto"/>
        <w:ind w:firstLine="420"/>
        <w:jc w:val="both"/>
        <w:rPr>
          <w:rFonts w:eastAsia="Arial" w:cs="Arial"/>
          <w:szCs w:val="24"/>
        </w:rPr>
      </w:pPr>
      <w:r>
        <w:rPr>
          <w:rFonts w:eastAsia="Arial" w:cs="Arial"/>
          <w:szCs w:val="24"/>
        </w:rPr>
        <w:tab/>
      </w:r>
      <w:r w:rsidR="007F1B1E" w:rsidRPr="007F1B1E">
        <w:rPr>
          <w:rFonts w:eastAsia="Arial" w:cs="Arial"/>
          <w:szCs w:val="24"/>
        </w:rPr>
        <w:t>In low- and middle-income countries, urbanization has been found to be associated with an increased risk of heart diseases, diabetes, and chronic respiratory diseases, particularly among children (</w:t>
      </w:r>
      <w:proofErr w:type="spellStart"/>
      <w:r w:rsidR="007F1B1E" w:rsidRPr="007F1B1E">
        <w:rPr>
          <w:rFonts w:eastAsia="Arial" w:cs="Arial"/>
          <w:szCs w:val="24"/>
        </w:rPr>
        <w:t>Angkurawaranon</w:t>
      </w:r>
      <w:proofErr w:type="spellEnd"/>
      <w:r w:rsidR="007F1B1E" w:rsidRPr="007F1B1E">
        <w:rPr>
          <w:rFonts w:eastAsia="Arial" w:cs="Arial"/>
          <w:szCs w:val="24"/>
        </w:rPr>
        <w:t xml:space="preserve"> et al., 2014). Low et al. (2015) have reported that stroke and heart disease are prevalent among individuals belonging to the poor socioeconomic group. This can be attributed to their limited access to healthcare services, lack of understanding of legislation and regulation, and poor access to health policies. A study conducted by the Asian Development Bank in Indonesia has revealed that hypertension is more prevalent among the wealthier group, which is paradoxically associated with their inadequate access to medical care and treatment. However, it is important to note that in some areas, there is no disparity </w:t>
      </w:r>
      <w:r w:rsidR="007F1B1E" w:rsidRPr="007F1B1E">
        <w:rPr>
          <w:rFonts w:eastAsia="Arial" w:cs="Arial"/>
          <w:szCs w:val="24"/>
        </w:rPr>
        <w:lastRenderedPageBreak/>
        <w:t>between the wealthier and poorer groups, indicating that both groups face a higher risk of hypertension (Aizawa, T., &amp; Helble, M., 2016)</w:t>
      </w:r>
      <w:r w:rsidR="007F1B1E">
        <w:rPr>
          <w:rFonts w:eastAsia="Arial" w:cs="Arial"/>
          <w:szCs w:val="24"/>
        </w:rPr>
        <w:t>.</w:t>
      </w:r>
    </w:p>
    <w:p w14:paraId="55AA301E" w14:textId="52097DAF" w:rsidR="007F1B1E" w:rsidRDefault="00E95D0C" w:rsidP="00E95D0C">
      <w:pPr>
        <w:pBdr>
          <w:top w:val="nil"/>
          <w:left w:val="nil"/>
          <w:bottom w:val="nil"/>
          <w:right w:val="nil"/>
          <w:between w:val="nil"/>
        </w:pBdr>
        <w:spacing w:after="160" w:line="480" w:lineRule="auto"/>
        <w:ind w:firstLine="420"/>
        <w:jc w:val="both"/>
        <w:rPr>
          <w:rFonts w:eastAsia="Arial" w:cs="Arial"/>
          <w:szCs w:val="24"/>
        </w:rPr>
      </w:pPr>
      <w:r>
        <w:rPr>
          <w:rFonts w:eastAsia="Arial" w:cs="Arial"/>
          <w:szCs w:val="24"/>
        </w:rPr>
        <w:tab/>
      </w:r>
      <w:r w:rsidR="007F1B1E" w:rsidRPr="007F1B1E">
        <w:rPr>
          <w:rFonts w:eastAsia="Arial" w:cs="Arial"/>
          <w:szCs w:val="24"/>
        </w:rPr>
        <w:t xml:space="preserve">The Philippines recognizes the significant threat posed by hypertension and has implemented the Package of Essential Noncommunicable Diseases (PEN) Intervention in Primary Health Care Facilities. This comprehensive program aims to detect, manage, and treat hypertension and diabetes. The adoption of this package was made official through the Department of Health Administrative Order, known as the </w:t>
      </w:r>
      <w:proofErr w:type="spellStart"/>
      <w:r w:rsidR="007F1B1E" w:rsidRPr="007F1B1E">
        <w:rPr>
          <w:rFonts w:eastAsia="Arial" w:cs="Arial"/>
          <w:szCs w:val="24"/>
        </w:rPr>
        <w:t>PhilPEN</w:t>
      </w:r>
      <w:proofErr w:type="spellEnd"/>
      <w:r w:rsidR="007F1B1E" w:rsidRPr="007F1B1E">
        <w:rPr>
          <w:rFonts w:eastAsia="Arial" w:cs="Arial"/>
          <w:szCs w:val="24"/>
        </w:rPr>
        <w:t>, or Philippine Package of Essential NCD Intervention on the Integrated Management of Hypertension and Diabetes for Primary Health Care Facilities (DOH, 2012).</w:t>
      </w:r>
      <w:r w:rsidR="007F1B1E">
        <w:rPr>
          <w:rFonts w:eastAsia="Arial" w:cs="Arial"/>
          <w:szCs w:val="24"/>
        </w:rPr>
        <w:t xml:space="preserve"> </w:t>
      </w:r>
      <w:r w:rsidR="007F1B1E" w:rsidRPr="007F1B1E">
        <w:rPr>
          <w:rFonts w:eastAsia="Arial" w:cs="Arial"/>
          <w:szCs w:val="24"/>
        </w:rPr>
        <w:t>The initial pilot of PEN took place in Pateros in 2011, as reported by the World Health Organization (WHO, 2011). Despite these efforts, the Field Health Services Information System (2018) report consistently indicates that hypertension remains the country's second leading cause of morbidity from 2016 to 2018. Furthermore, the same report reveals that hypertension is also the second leading cause of morbidity in the National Capital Region (FHSIS, 2018).</w:t>
      </w:r>
      <w:r w:rsidR="007F1B1E">
        <w:rPr>
          <w:rFonts w:eastAsia="Arial" w:cs="Arial"/>
          <w:szCs w:val="24"/>
        </w:rPr>
        <w:t xml:space="preserve"> </w:t>
      </w:r>
      <w:r w:rsidR="007F1B1E" w:rsidRPr="007F1B1E">
        <w:rPr>
          <w:rFonts w:eastAsia="Arial" w:cs="Arial"/>
          <w:szCs w:val="24"/>
        </w:rPr>
        <w:t>In contrast, the Philippine Health Statistics (2016) identify heart diseases as the country's top leading cause of mortality, followed by malignant neoplasms and diseases of the cerebrovascular system. Notably, the prevalence of heart diseases has shown an upward trend from 1966 to 2016 (PHS, 2016). The mortality report of Pateros in 2018 highlights cancer, hypertension, stroke, heart attack, and pneumonia as the five leading causes of death (PHD, 2018).</w:t>
      </w:r>
    </w:p>
    <w:p w14:paraId="1A197748" w14:textId="1DA22406" w:rsidR="007F1B1E" w:rsidRDefault="00E95D0C" w:rsidP="00E95D0C">
      <w:pPr>
        <w:pBdr>
          <w:top w:val="nil"/>
          <w:left w:val="nil"/>
          <w:bottom w:val="nil"/>
          <w:right w:val="nil"/>
          <w:between w:val="nil"/>
        </w:pBdr>
        <w:spacing w:after="160" w:line="480" w:lineRule="auto"/>
        <w:jc w:val="both"/>
        <w:rPr>
          <w:rFonts w:eastAsia="Arial" w:cs="Arial"/>
          <w:szCs w:val="24"/>
        </w:rPr>
      </w:pPr>
      <w:r>
        <w:rPr>
          <w:rFonts w:eastAsia="Arial" w:cs="Arial"/>
          <w:szCs w:val="24"/>
        </w:rPr>
        <w:tab/>
      </w:r>
      <w:r w:rsidR="007F1B1E" w:rsidRPr="007F1B1E">
        <w:rPr>
          <w:rFonts w:eastAsia="Arial" w:cs="Arial"/>
          <w:szCs w:val="24"/>
        </w:rPr>
        <w:t xml:space="preserve">In addition to socio-ecological factors exacerbating hypertension, health literacy also plays a significant role in its impact. The World Health Organization (1998) defines health literacy as the cognitive and social skills that determine an individual's motivation and ability to access, understand, and utilize information in ways that </w:t>
      </w:r>
      <w:r w:rsidR="007F1B1E" w:rsidRPr="007F1B1E">
        <w:rPr>
          <w:rFonts w:eastAsia="Arial" w:cs="Arial"/>
          <w:szCs w:val="24"/>
        </w:rPr>
        <w:lastRenderedPageBreak/>
        <w:t>promote and maintain good health. Health literacy is crucial in assessing individual health and identifying gaps in healthcare access.</w:t>
      </w:r>
      <w:r w:rsidR="007F1B1E">
        <w:rPr>
          <w:rFonts w:eastAsia="Arial" w:cs="Arial"/>
          <w:szCs w:val="24"/>
        </w:rPr>
        <w:t xml:space="preserve"> </w:t>
      </w:r>
      <w:r w:rsidR="007F1B1E" w:rsidRPr="007F1B1E">
        <w:rPr>
          <w:rFonts w:eastAsia="Arial" w:cs="Arial"/>
          <w:szCs w:val="24"/>
        </w:rPr>
        <w:t>According to Osborne et al. (2013), low health literacy is associated with a range of adverse outcomes. These include increased mortality rates, higher hospitalization rates, reduced utilization of preventive healthcare services, poor adherence to prescribed medications, difficulties in communicating with healthcare professionals, and limited knowledge about disease processes and self-management skills among individuals with chronic conditions like diabetes and heart disease. Furthermore, low health literacy has been linked to escalating healthcare costs.</w:t>
      </w:r>
    </w:p>
    <w:p w14:paraId="69567240" w14:textId="205FFE0E" w:rsidR="00B200BA" w:rsidRDefault="00E95D0C" w:rsidP="00E95D0C">
      <w:pPr>
        <w:pBdr>
          <w:top w:val="nil"/>
          <w:left w:val="nil"/>
          <w:bottom w:val="nil"/>
          <w:right w:val="nil"/>
          <w:between w:val="nil"/>
        </w:pBdr>
        <w:spacing w:after="160" w:line="480" w:lineRule="auto"/>
        <w:jc w:val="both"/>
        <w:rPr>
          <w:rFonts w:eastAsia="Arial" w:cs="Arial"/>
          <w:szCs w:val="24"/>
        </w:rPr>
      </w:pPr>
      <w:r>
        <w:rPr>
          <w:rFonts w:eastAsia="Arial" w:cs="Arial"/>
          <w:szCs w:val="24"/>
        </w:rPr>
        <w:tab/>
      </w:r>
      <w:r w:rsidR="00B200BA" w:rsidRPr="00B200BA">
        <w:rPr>
          <w:rFonts w:eastAsia="Arial" w:cs="Arial"/>
          <w:szCs w:val="24"/>
        </w:rPr>
        <w:t xml:space="preserve">Health literacy plays a crucial role in public health, as it directly impacts our society's ability to address health inequities (Paasche-Orlow, 2017). However, it is disheartening to note that there is a scarcity of published journals on this subject. Qi, S. et al. (2021) have highlighted the limited availability of publications on health literacy. To combat this issue, various initiatives have been introduced to support and encourage researchers to publish their findings on health literacy research and practices (Paasche-Orlow, 2017). In their meta-analysis, Qi, S. et al. (2021) observed a significant increase in the number of published articles on health literacy in 2019. However, it is worth noting that there is currently no definitive established tool for measuring health literacy. Instead, multiple validated tools are used to measure one or more domains of health literacy (Qi, S., et al., 2021; Altin, S.V., Finke, I., Kautz-Freimuth, S., et al., 2014). When it comes to health literacy and hypertension, the available studies are limited. Mohd. Isa, D. et al. (2021) found that out of the 1,960 articles reviewed for inclusion in their study on the association between health literacy and hypertension, only 39 full texts met the criteria. This scarcity of research highlights the need for further investigation in this area. The importance of health literacy cannot </w:t>
      </w:r>
      <w:r w:rsidR="00B200BA" w:rsidRPr="00B200BA">
        <w:rPr>
          <w:rFonts w:eastAsia="Arial" w:cs="Arial"/>
          <w:szCs w:val="24"/>
        </w:rPr>
        <w:lastRenderedPageBreak/>
        <w:t>be overstated. Health literacy responsiveness refers to how services, environments, and products make health information and support accessible to individuals with varying levels of health literacy (Dodson et al., 2014). According to Dodson et al. (2014), four factors significantly influence individual decision-making: information, environment, resources, and support. By effectively addressing health literacy issues, we can improve health outcomes and reduce health inequities.</w:t>
      </w:r>
    </w:p>
    <w:p w14:paraId="574CE607" w14:textId="316C979F" w:rsidR="007C6854" w:rsidRDefault="00E95D0C" w:rsidP="00E95D0C">
      <w:pPr>
        <w:pBdr>
          <w:top w:val="nil"/>
          <w:left w:val="nil"/>
          <w:bottom w:val="nil"/>
          <w:right w:val="nil"/>
          <w:between w:val="nil"/>
        </w:pBdr>
        <w:spacing w:after="160" w:line="480" w:lineRule="auto"/>
        <w:jc w:val="both"/>
        <w:rPr>
          <w:rFonts w:eastAsia="Arial" w:cs="Arial"/>
          <w:color w:val="000000"/>
          <w:szCs w:val="24"/>
        </w:rPr>
      </w:pPr>
      <w:r>
        <w:rPr>
          <w:rFonts w:eastAsia="Arial" w:cs="Arial"/>
          <w:color w:val="000000"/>
          <w:szCs w:val="24"/>
        </w:rPr>
        <w:tab/>
      </w:r>
      <w:r w:rsidR="00B200BA" w:rsidRPr="00B200BA">
        <w:rPr>
          <w:rFonts w:eastAsia="Arial" w:cs="Arial"/>
          <w:color w:val="000000"/>
          <w:szCs w:val="24"/>
        </w:rPr>
        <w:t xml:space="preserve">In this regard, the research aims to </w:t>
      </w:r>
      <w:r w:rsidRPr="00E95D0C">
        <w:rPr>
          <w:rFonts w:eastAsia="Arial" w:cs="Arial"/>
          <w:color w:val="000000"/>
          <w:szCs w:val="24"/>
        </w:rPr>
        <w:t>provide an understanding of health literacy</w:t>
      </w:r>
      <w:r w:rsidR="00B200BA" w:rsidRPr="00B200BA">
        <w:rPr>
          <w:rFonts w:eastAsia="Arial" w:cs="Arial"/>
          <w:color w:val="000000"/>
          <w:szCs w:val="24"/>
        </w:rPr>
        <w:t xml:space="preserve"> and various factors that contribute to the heightened susceptibility of urban poor settlers to hypertension</w:t>
      </w:r>
      <w:r w:rsidR="00E0219E">
        <w:rPr>
          <w:rFonts w:eastAsia="Arial" w:cs="Arial"/>
          <w:color w:val="000000"/>
          <w:szCs w:val="24"/>
        </w:rPr>
        <w:t>.</w:t>
      </w:r>
    </w:p>
    <w:p w14:paraId="3C21858B" w14:textId="77777777" w:rsidR="007C6854" w:rsidRDefault="00E0219E">
      <w:pPr>
        <w:pStyle w:val="Heading2"/>
        <w:jc w:val="center"/>
        <w:rPr>
          <w:rFonts w:eastAsia="Arial" w:cs="Arial"/>
          <w:sz w:val="24"/>
          <w:szCs w:val="24"/>
        </w:rPr>
      </w:pPr>
      <w:r>
        <w:rPr>
          <w:rFonts w:eastAsia="Arial" w:cs="Arial"/>
          <w:sz w:val="24"/>
          <w:szCs w:val="24"/>
        </w:rPr>
        <w:t>Objectives of the Study</w:t>
      </w:r>
    </w:p>
    <w:p w14:paraId="6D0CE7A8" w14:textId="77777777" w:rsidR="007C6854" w:rsidRDefault="007C6854"/>
    <w:p w14:paraId="232000C8" w14:textId="77777777" w:rsidR="007C6854" w:rsidRDefault="00E0219E" w:rsidP="00894763">
      <w:pPr>
        <w:pBdr>
          <w:top w:val="nil"/>
          <w:left w:val="nil"/>
          <w:bottom w:val="nil"/>
          <w:right w:val="nil"/>
          <w:between w:val="nil"/>
        </w:pBdr>
        <w:spacing w:after="160" w:line="360" w:lineRule="auto"/>
        <w:ind w:firstLine="720"/>
        <w:jc w:val="both"/>
        <w:rPr>
          <w:rFonts w:eastAsia="Arial" w:cs="Arial"/>
          <w:b/>
          <w:color w:val="000000"/>
          <w:szCs w:val="24"/>
        </w:rPr>
      </w:pPr>
      <w:r>
        <w:rPr>
          <w:rFonts w:eastAsia="Arial" w:cs="Arial"/>
          <w:color w:val="000000"/>
          <w:szCs w:val="24"/>
        </w:rPr>
        <w:t xml:space="preserve">The study aims to find the association </w:t>
      </w:r>
      <w:r>
        <w:rPr>
          <w:rFonts w:eastAsia="Arial" w:cs="Arial"/>
          <w:szCs w:val="24"/>
        </w:rPr>
        <w:t>between</w:t>
      </w:r>
      <w:r>
        <w:rPr>
          <w:rFonts w:eastAsia="Arial" w:cs="Arial"/>
          <w:color w:val="000000"/>
          <w:szCs w:val="24"/>
        </w:rPr>
        <w:t xml:space="preserve"> health literacy </w:t>
      </w:r>
      <w:r>
        <w:rPr>
          <w:rFonts w:eastAsia="Arial" w:cs="Arial"/>
          <w:szCs w:val="24"/>
        </w:rPr>
        <w:t>and</w:t>
      </w:r>
      <w:r>
        <w:rPr>
          <w:rFonts w:eastAsia="Arial" w:cs="Arial"/>
          <w:color w:val="000000"/>
          <w:szCs w:val="24"/>
        </w:rPr>
        <w:t xml:space="preserve"> other factors influencing urban poor settlers with hypertension. This was explored by looking at the following specific objectives:</w:t>
      </w:r>
    </w:p>
    <w:p w14:paraId="1DCAD01A" w14:textId="77777777" w:rsidR="007C6854" w:rsidRDefault="00E0219E" w:rsidP="00894763">
      <w:pPr>
        <w:numPr>
          <w:ilvl w:val="0"/>
          <w:numId w:val="20"/>
        </w:numPr>
        <w:pBdr>
          <w:top w:val="nil"/>
          <w:left w:val="nil"/>
          <w:bottom w:val="nil"/>
          <w:right w:val="nil"/>
          <w:between w:val="nil"/>
        </w:pBdr>
        <w:spacing w:after="160" w:line="360" w:lineRule="auto"/>
        <w:ind w:left="1134"/>
        <w:jc w:val="both"/>
        <w:rPr>
          <w:rFonts w:eastAsia="Arial" w:cs="Arial"/>
          <w:color w:val="000000"/>
          <w:szCs w:val="24"/>
        </w:rPr>
      </w:pPr>
      <w:r>
        <w:rPr>
          <w:rFonts w:eastAsia="Arial" w:cs="Arial"/>
          <w:color w:val="000000"/>
          <w:szCs w:val="24"/>
        </w:rPr>
        <w:t>To describe the socio-demographic profile of urban poor settlers in terms of:</w:t>
      </w:r>
    </w:p>
    <w:p w14:paraId="089E27F3"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Age</w:t>
      </w:r>
    </w:p>
    <w:p w14:paraId="366F5917"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Sex</w:t>
      </w:r>
    </w:p>
    <w:p w14:paraId="68B98997"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Marital Status</w:t>
      </w:r>
    </w:p>
    <w:p w14:paraId="30E05593"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Educational Status</w:t>
      </w:r>
    </w:p>
    <w:p w14:paraId="293FBB93"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Nature of work in the past 12 months</w:t>
      </w:r>
    </w:p>
    <w:p w14:paraId="0D0BC1B5"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Ethnic or Cultural Sub-group</w:t>
      </w:r>
    </w:p>
    <w:p w14:paraId="1713054A"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PhilHealth Status</w:t>
      </w:r>
    </w:p>
    <w:p w14:paraId="4FBE94C4" w14:textId="77777777" w:rsidR="007C6854" w:rsidRDefault="00E0219E" w:rsidP="00894763">
      <w:pPr>
        <w:numPr>
          <w:ilvl w:val="0"/>
          <w:numId w:val="24"/>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Income or Wealth Status</w:t>
      </w:r>
    </w:p>
    <w:p w14:paraId="5D5DF579" w14:textId="77777777" w:rsidR="007C6854" w:rsidRDefault="00E0219E" w:rsidP="00894763">
      <w:pPr>
        <w:numPr>
          <w:ilvl w:val="0"/>
          <w:numId w:val="20"/>
        </w:numPr>
        <w:pBdr>
          <w:top w:val="nil"/>
          <w:left w:val="nil"/>
          <w:bottom w:val="nil"/>
          <w:right w:val="nil"/>
          <w:between w:val="nil"/>
        </w:pBdr>
        <w:spacing w:after="160" w:line="360" w:lineRule="auto"/>
        <w:ind w:left="1134"/>
        <w:jc w:val="both"/>
        <w:rPr>
          <w:rFonts w:eastAsia="Arial" w:cs="Arial"/>
          <w:color w:val="000000"/>
          <w:szCs w:val="24"/>
        </w:rPr>
      </w:pPr>
      <w:r>
        <w:rPr>
          <w:rFonts w:eastAsia="Arial" w:cs="Arial"/>
          <w:color w:val="000000"/>
          <w:szCs w:val="24"/>
        </w:rPr>
        <w:t>To determine the prevalence of hypertension among urban poor settlers in</w:t>
      </w:r>
      <w:r>
        <w:rPr>
          <w:rFonts w:eastAsia="Arial" w:cs="Arial"/>
          <w:szCs w:val="24"/>
        </w:rPr>
        <w:t xml:space="preserve"> terms of:</w:t>
      </w:r>
    </w:p>
    <w:p w14:paraId="789F0DBA" w14:textId="77777777" w:rsidR="007C6854" w:rsidRDefault="00E0219E" w:rsidP="00894763">
      <w:pPr>
        <w:numPr>
          <w:ilvl w:val="0"/>
          <w:numId w:val="1"/>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The proportion of individuals with or without hypertension</w:t>
      </w:r>
    </w:p>
    <w:p w14:paraId="08DE928F" w14:textId="77777777" w:rsidR="007C6854" w:rsidRDefault="00E0219E" w:rsidP="00894763">
      <w:pPr>
        <w:numPr>
          <w:ilvl w:val="0"/>
          <w:numId w:val="1"/>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lastRenderedPageBreak/>
        <w:t>The proportion of hypertension by classification according to the International Society of Hypertension</w:t>
      </w:r>
    </w:p>
    <w:p w14:paraId="5DA92056" w14:textId="77777777" w:rsidR="007C6854" w:rsidRDefault="00E0219E" w:rsidP="00894763">
      <w:pPr>
        <w:numPr>
          <w:ilvl w:val="0"/>
          <w:numId w:val="20"/>
        </w:numPr>
        <w:pBdr>
          <w:top w:val="nil"/>
          <w:left w:val="nil"/>
          <w:bottom w:val="nil"/>
          <w:right w:val="nil"/>
          <w:between w:val="nil"/>
        </w:pBdr>
        <w:spacing w:after="160" w:line="360" w:lineRule="auto"/>
        <w:ind w:left="1134"/>
        <w:jc w:val="both"/>
        <w:rPr>
          <w:rFonts w:eastAsia="Arial" w:cs="Arial"/>
          <w:color w:val="000000"/>
          <w:szCs w:val="24"/>
        </w:rPr>
      </w:pPr>
      <w:r>
        <w:rPr>
          <w:rFonts w:eastAsia="Arial" w:cs="Arial"/>
          <w:color w:val="000000"/>
          <w:szCs w:val="24"/>
        </w:rPr>
        <w:t>To determine the health literacy</w:t>
      </w:r>
      <w:r>
        <w:rPr>
          <w:rFonts w:eastAsia="Arial" w:cs="Arial"/>
          <w:szCs w:val="24"/>
        </w:rPr>
        <w:t xml:space="preserve"> score</w:t>
      </w:r>
      <w:r>
        <w:rPr>
          <w:rFonts w:eastAsia="Arial" w:cs="Arial"/>
          <w:color w:val="000000"/>
          <w:szCs w:val="24"/>
        </w:rPr>
        <w:t xml:space="preserve"> of urban poor settlers accor</w:t>
      </w:r>
      <w:r>
        <w:rPr>
          <w:rFonts w:eastAsia="Arial" w:cs="Arial"/>
          <w:szCs w:val="24"/>
        </w:rPr>
        <w:t>ding to the health literacy domain, namely</w:t>
      </w:r>
    </w:p>
    <w:p w14:paraId="3C4A5969" w14:textId="77777777" w:rsidR="007C6854" w:rsidRDefault="00E0219E" w:rsidP="00894763">
      <w:pPr>
        <w:numPr>
          <w:ilvl w:val="0"/>
          <w:numId w:val="12"/>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Basic or Functional Health Literacy</w:t>
      </w:r>
    </w:p>
    <w:p w14:paraId="0B54E6A4" w14:textId="77777777" w:rsidR="007C6854" w:rsidRDefault="00E0219E" w:rsidP="00894763">
      <w:pPr>
        <w:numPr>
          <w:ilvl w:val="0"/>
          <w:numId w:val="12"/>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Communicative or Interactive Health Literacy</w:t>
      </w:r>
    </w:p>
    <w:p w14:paraId="5320DEB8" w14:textId="77777777" w:rsidR="007C6854" w:rsidRDefault="00E0219E" w:rsidP="00894763">
      <w:pPr>
        <w:numPr>
          <w:ilvl w:val="0"/>
          <w:numId w:val="12"/>
        </w:numPr>
        <w:pBdr>
          <w:top w:val="nil"/>
          <w:left w:val="nil"/>
          <w:bottom w:val="nil"/>
          <w:right w:val="nil"/>
          <w:between w:val="nil"/>
        </w:pBdr>
        <w:spacing w:after="160" w:line="360" w:lineRule="auto"/>
        <w:ind w:left="1701"/>
        <w:jc w:val="both"/>
        <w:rPr>
          <w:rFonts w:eastAsia="Arial" w:cs="Arial"/>
          <w:szCs w:val="24"/>
        </w:rPr>
      </w:pPr>
      <w:r>
        <w:rPr>
          <w:rFonts w:eastAsia="Arial" w:cs="Arial"/>
          <w:szCs w:val="24"/>
        </w:rPr>
        <w:t>Critical Health Literacy</w:t>
      </w:r>
    </w:p>
    <w:p w14:paraId="2F0D1B13" w14:textId="77777777" w:rsidR="007C6854" w:rsidRDefault="00E0219E" w:rsidP="00894763">
      <w:pPr>
        <w:numPr>
          <w:ilvl w:val="0"/>
          <w:numId w:val="20"/>
        </w:numPr>
        <w:pBdr>
          <w:top w:val="nil"/>
          <w:left w:val="nil"/>
          <w:bottom w:val="nil"/>
          <w:right w:val="nil"/>
          <w:between w:val="nil"/>
        </w:pBdr>
        <w:spacing w:after="160" w:line="360" w:lineRule="auto"/>
        <w:ind w:left="1134"/>
        <w:jc w:val="both"/>
        <w:rPr>
          <w:rFonts w:eastAsia="Arial" w:cs="Arial"/>
          <w:color w:val="000000"/>
          <w:szCs w:val="24"/>
        </w:rPr>
      </w:pPr>
      <w:r>
        <w:rPr>
          <w:rFonts w:eastAsia="Arial" w:cs="Arial"/>
          <w:color w:val="000000"/>
          <w:szCs w:val="24"/>
        </w:rPr>
        <w:t xml:space="preserve">To determine the </w:t>
      </w:r>
      <w:r>
        <w:rPr>
          <w:rFonts w:eastAsia="Arial" w:cs="Arial"/>
          <w:szCs w:val="24"/>
        </w:rPr>
        <w:t>association</w:t>
      </w:r>
      <w:r>
        <w:rPr>
          <w:rFonts w:eastAsia="Arial" w:cs="Arial"/>
          <w:color w:val="000000"/>
          <w:szCs w:val="24"/>
        </w:rPr>
        <w:t xml:space="preserve"> of </w:t>
      </w:r>
      <w:r>
        <w:rPr>
          <w:rFonts w:eastAsia="Arial" w:cs="Arial"/>
          <w:szCs w:val="24"/>
        </w:rPr>
        <w:t xml:space="preserve">health literacy and </w:t>
      </w:r>
      <w:r>
        <w:rPr>
          <w:rFonts w:eastAsia="Arial" w:cs="Arial"/>
          <w:color w:val="000000"/>
          <w:szCs w:val="24"/>
        </w:rPr>
        <w:t xml:space="preserve">socio-demographic variables of urban poor settlers with hypertension </w:t>
      </w:r>
      <w:r>
        <w:rPr>
          <w:rFonts w:eastAsia="Arial" w:cs="Arial"/>
          <w:szCs w:val="24"/>
        </w:rPr>
        <w:t>in terms of:</w:t>
      </w:r>
    </w:p>
    <w:p w14:paraId="24D486C3"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Age</w:t>
      </w:r>
    </w:p>
    <w:p w14:paraId="0842BF09"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Sex</w:t>
      </w:r>
    </w:p>
    <w:p w14:paraId="03A767BB"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Educational Status</w:t>
      </w:r>
    </w:p>
    <w:p w14:paraId="484331E5"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Employment status</w:t>
      </w:r>
    </w:p>
    <w:p w14:paraId="54DE0A89"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PhilHealth Status</w:t>
      </w:r>
    </w:p>
    <w:p w14:paraId="65471CA2" w14:textId="77777777" w:rsidR="007C6854" w:rsidRDefault="00E0219E" w:rsidP="00894763">
      <w:pPr>
        <w:numPr>
          <w:ilvl w:val="0"/>
          <w:numId w:val="30"/>
        </w:numPr>
        <w:pBdr>
          <w:top w:val="nil"/>
          <w:left w:val="nil"/>
          <w:bottom w:val="nil"/>
          <w:right w:val="nil"/>
          <w:between w:val="nil"/>
        </w:pBdr>
        <w:spacing w:after="0" w:line="360" w:lineRule="auto"/>
        <w:ind w:left="1701"/>
        <w:jc w:val="both"/>
        <w:rPr>
          <w:rFonts w:eastAsia="Arial" w:cs="Arial"/>
          <w:szCs w:val="24"/>
        </w:rPr>
      </w:pPr>
      <w:r>
        <w:rPr>
          <w:rFonts w:eastAsia="Arial" w:cs="Arial"/>
          <w:szCs w:val="24"/>
        </w:rPr>
        <w:t>Income or Wealth Status</w:t>
      </w:r>
    </w:p>
    <w:p w14:paraId="74225E25" w14:textId="77777777" w:rsidR="007C6854" w:rsidRDefault="007C6854">
      <w:pPr>
        <w:pStyle w:val="Heading2"/>
        <w:jc w:val="center"/>
        <w:rPr>
          <w:rFonts w:eastAsia="Arial" w:cs="Arial"/>
          <w:sz w:val="24"/>
          <w:szCs w:val="24"/>
        </w:rPr>
      </w:pPr>
      <w:bookmarkStart w:id="4" w:name="_heading=h.4d34og8" w:colFirst="0" w:colLast="0"/>
      <w:bookmarkEnd w:id="4"/>
    </w:p>
    <w:p w14:paraId="6582B5D6" w14:textId="77777777" w:rsidR="007C6854" w:rsidRDefault="00E0219E">
      <w:pPr>
        <w:rPr>
          <w:rFonts w:eastAsia="Arial" w:cs="Arial"/>
          <w:b/>
          <w:szCs w:val="24"/>
        </w:rPr>
      </w:pPr>
      <w:r>
        <w:br w:type="page"/>
      </w:r>
    </w:p>
    <w:p w14:paraId="6286D172" w14:textId="77777777" w:rsidR="007C6854" w:rsidRDefault="00E0219E">
      <w:pPr>
        <w:pStyle w:val="Heading2"/>
        <w:jc w:val="center"/>
        <w:rPr>
          <w:rFonts w:eastAsia="Arial" w:cs="Arial"/>
          <w:sz w:val="24"/>
          <w:szCs w:val="24"/>
        </w:rPr>
      </w:pPr>
      <w:bookmarkStart w:id="5" w:name="_heading=h.3rdcrjn" w:colFirst="0" w:colLast="0"/>
      <w:bookmarkEnd w:id="5"/>
      <w:r>
        <w:rPr>
          <w:rFonts w:eastAsia="Arial" w:cs="Arial"/>
          <w:sz w:val="24"/>
          <w:szCs w:val="24"/>
        </w:rPr>
        <w:lastRenderedPageBreak/>
        <w:t>Significance of the Study</w:t>
      </w:r>
    </w:p>
    <w:p w14:paraId="691DE22C" w14:textId="77777777" w:rsidR="007C6854" w:rsidRDefault="007C6854"/>
    <w:p w14:paraId="3A7A9112" w14:textId="77777777" w:rsidR="007C6854" w:rsidRDefault="00E0219E" w:rsidP="00113E43">
      <w:pPr>
        <w:pBdr>
          <w:top w:val="nil"/>
          <w:left w:val="nil"/>
          <w:bottom w:val="nil"/>
          <w:right w:val="nil"/>
          <w:between w:val="nil"/>
        </w:pBdr>
        <w:spacing w:after="160" w:line="480" w:lineRule="auto"/>
        <w:ind w:firstLine="720"/>
        <w:jc w:val="both"/>
        <w:rPr>
          <w:rFonts w:eastAsia="Arial" w:cs="Arial"/>
          <w:b/>
          <w:szCs w:val="24"/>
        </w:rPr>
      </w:pPr>
      <w:r>
        <w:rPr>
          <w:rFonts w:eastAsia="Arial" w:cs="Arial"/>
          <w:color w:val="000000"/>
          <w:szCs w:val="24"/>
        </w:rPr>
        <w:t xml:space="preserve">The result of the study </w:t>
      </w:r>
      <w:r>
        <w:rPr>
          <w:rFonts w:eastAsia="Arial" w:cs="Arial"/>
          <w:szCs w:val="24"/>
        </w:rPr>
        <w:t xml:space="preserve">has </w:t>
      </w:r>
      <w:r>
        <w:rPr>
          <w:rFonts w:eastAsia="Arial" w:cs="Arial"/>
          <w:color w:val="000000"/>
          <w:szCs w:val="24"/>
        </w:rPr>
        <w:t xml:space="preserve">excellent benefits </w:t>
      </w:r>
      <w:r>
        <w:rPr>
          <w:rFonts w:eastAsia="Arial" w:cs="Arial"/>
          <w:szCs w:val="24"/>
        </w:rPr>
        <w:t>for</w:t>
      </w:r>
      <w:r>
        <w:rPr>
          <w:rFonts w:eastAsia="Arial" w:cs="Arial"/>
          <w:color w:val="000000"/>
          <w:szCs w:val="24"/>
        </w:rPr>
        <w:t xml:space="preserve"> the following:</w:t>
      </w:r>
    </w:p>
    <w:p w14:paraId="41F2F762" w14:textId="77777777" w:rsidR="00E95D0C"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b/>
          <w:szCs w:val="24"/>
        </w:rPr>
        <w:t>The Department of Health (DOH):</w:t>
      </w:r>
      <w:r>
        <w:rPr>
          <w:rFonts w:eastAsia="Arial" w:cs="Arial"/>
          <w:szCs w:val="24"/>
        </w:rPr>
        <w:t xml:space="preserve"> The result of the study can be used by the </w:t>
      </w:r>
      <w:r>
        <w:rPr>
          <w:rFonts w:eastAsia="Arial" w:cs="Arial"/>
          <w:i/>
          <w:szCs w:val="24"/>
        </w:rPr>
        <w:t xml:space="preserve">Disease Prevention and Control Bureau </w:t>
      </w:r>
      <w:r>
        <w:rPr>
          <w:rFonts w:eastAsia="Arial" w:cs="Arial"/>
          <w:szCs w:val="24"/>
        </w:rPr>
        <w:t xml:space="preserve">of the Department of Health (DOH) to revisit the strategy for a healthy lifestyle about the WHO Package of Essential Noncommunicable Diseases, which is indicated in the DOH AO 2012-0029, as well as by </w:t>
      </w:r>
      <w:r>
        <w:rPr>
          <w:rFonts w:eastAsia="Arial" w:cs="Arial"/>
          <w:i/>
          <w:szCs w:val="24"/>
        </w:rPr>
        <w:t>Philippine Health Insurance Inc. (PhilHealth)</w:t>
      </w:r>
      <w:r>
        <w:rPr>
          <w:rFonts w:eastAsia="Arial" w:cs="Arial"/>
          <w:szCs w:val="24"/>
        </w:rPr>
        <w:t xml:space="preserve"> in revisiting the service delivery package of our Primary Health Care, specifically on health education and promotion services provided to their clients. Similarly, the study can be used by the Health Promotion Bureau as a research method to estimate the national prevalence of health literacy. The study results could be used similarly in the same population settings; thus, they could be used as baseline data to develop a much more culture-sensitive health promotion strategy to address healthcare and health system gaps that can be beneficial in achieving universal healthcare in the Philippines, focusing on reducing hypertension prevalence and community-based health promotion on healthy lifestyles as directed under the Universal Health Care (UHC) Act. Also, through this research, the Health Promotion Bureau could identify gaps and short- and long-term solutions to address social determinants of health contributing to the burden of hypertension in the Philippines.</w:t>
      </w:r>
    </w:p>
    <w:p w14:paraId="51F510E3" w14:textId="2D6CCCA1" w:rsidR="007C6854" w:rsidRPr="00E95D0C"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szCs w:val="24"/>
        </w:rPr>
        <w:t xml:space="preserve">For the </w:t>
      </w:r>
      <w:r>
        <w:rPr>
          <w:rFonts w:eastAsia="Arial" w:cs="Arial"/>
          <w:i/>
          <w:szCs w:val="24"/>
        </w:rPr>
        <w:t xml:space="preserve">Center of Health Development </w:t>
      </w:r>
      <w:r>
        <w:rPr>
          <w:rFonts w:eastAsia="Arial" w:cs="Arial"/>
          <w:szCs w:val="24"/>
        </w:rPr>
        <w:t xml:space="preserve">under the </w:t>
      </w:r>
      <w:r>
        <w:rPr>
          <w:rFonts w:eastAsia="Arial" w:cs="Arial"/>
          <w:i/>
          <w:szCs w:val="24"/>
        </w:rPr>
        <w:t>Field Implementation Cluster Team</w:t>
      </w:r>
      <w:r>
        <w:rPr>
          <w:rFonts w:eastAsia="Arial" w:cs="Arial"/>
          <w:szCs w:val="24"/>
        </w:rPr>
        <w:t>, the research result can be of value in designing a more adaptable tool for NCD risk assessment, primarily in reducing the burden of hypertension at the sub-national level—likewise, lobby for advancing health risk assessment activity in the region.</w:t>
      </w:r>
    </w:p>
    <w:p w14:paraId="4195BCEA" w14:textId="77777777" w:rsidR="007C6854"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b/>
          <w:szCs w:val="24"/>
        </w:rPr>
        <w:lastRenderedPageBreak/>
        <w:t>The Department of Education (DepEd):</w:t>
      </w:r>
      <w:r>
        <w:rPr>
          <w:rFonts w:eastAsia="Arial" w:cs="Arial"/>
          <w:szCs w:val="24"/>
        </w:rPr>
        <w:t xml:space="preserve"> This research is of great value in revisiting the curriculum on healthy lifestyle education, targeting K–12 students, and increasing health literacy, primarily by increasing awareness of healthy lifestyles.</w:t>
      </w:r>
    </w:p>
    <w:p w14:paraId="287D3ECA" w14:textId="77777777" w:rsidR="007C6854" w:rsidRDefault="00E0219E" w:rsidP="00113E43">
      <w:pPr>
        <w:pBdr>
          <w:top w:val="nil"/>
          <w:left w:val="nil"/>
          <w:bottom w:val="nil"/>
          <w:right w:val="nil"/>
          <w:between w:val="nil"/>
        </w:pBdr>
        <w:spacing w:after="160" w:line="480" w:lineRule="auto"/>
        <w:jc w:val="both"/>
        <w:rPr>
          <w:rFonts w:eastAsia="Arial" w:cs="Arial"/>
          <w:b/>
          <w:szCs w:val="24"/>
        </w:rPr>
      </w:pPr>
      <w:r>
        <w:rPr>
          <w:rFonts w:eastAsia="Arial" w:cs="Arial"/>
          <w:b/>
          <w:szCs w:val="24"/>
        </w:rPr>
        <w:t>The Commission on Higher Education (CHED):</w:t>
      </w:r>
      <w:r>
        <w:rPr>
          <w:rFonts w:eastAsia="Arial" w:cs="Arial"/>
          <w:szCs w:val="24"/>
        </w:rPr>
        <w:t xml:space="preserve"> The study's result could help improve short-course modules for interprofessional education (IPE) on community-based teaching methods and approaches, particularly in preventing and controlling hypertension. </w:t>
      </w:r>
    </w:p>
    <w:p w14:paraId="67DEA6CB" w14:textId="00ACA758" w:rsidR="007C6854" w:rsidRDefault="00E0219E" w:rsidP="00113E43">
      <w:pPr>
        <w:pBdr>
          <w:top w:val="nil"/>
          <w:left w:val="nil"/>
          <w:bottom w:val="nil"/>
          <w:right w:val="nil"/>
          <w:between w:val="nil"/>
        </w:pBdr>
        <w:spacing w:after="160" w:line="480" w:lineRule="auto"/>
        <w:jc w:val="both"/>
        <w:rPr>
          <w:rFonts w:eastAsia="Arial" w:cs="Arial"/>
          <w:b/>
          <w:szCs w:val="24"/>
        </w:rPr>
      </w:pPr>
      <w:r>
        <w:rPr>
          <w:rFonts w:eastAsia="Arial" w:cs="Arial"/>
          <w:b/>
          <w:szCs w:val="24"/>
        </w:rPr>
        <w:t xml:space="preserve">The Municipality of Pateros Health Department and the Barangay Officials of Barangay Santa Ana: </w:t>
      </w:r>
      <w:r>
        <w:rPr>
          <w:rFonts w:eastAsia="Arial" w:cs="Arial"/>
          <w:szCs w:val="24"/>
        </w:rPr>
        <w:t xml:space="preserve">The research data will be disseminated to the Pateros Health Department and the Barangay Officials of Barangay Santa Ana with information on the estimated prevalence of hypertension and health literacy, particularly in the community of </w:t>
      </w:r>
      <w:proofErr w:type="spellStart"/>
      <w:r>
        <w:rPr>
          <w:rFonts w:eastAsia="Arial" w:cs="Arial"/>
          <w:szCs w:val="24"/>
        </w:rPr>
        <w:t>Bukuhan</w:t>
      </w:r>
      <w:proofErr w:type="spellEnd"/>
      <w:r>
        <w:rPr>
          <w:rFonts w:eastAsia="Arial" w:cs="Arial"/>
          <w:szCs w:val="24"/>
        </w:rPr>
        <w:t>, Brgy.</w:t>
      </w:r>
      <w:r>
        <w:rPr>
          <w:rFonts w:eastAsia="Arial" w:cs="Arial"/>
          <w:b/>
          <w:szCs w:val="24"/>
        </w:rPr>
        <w:t xml:space="preserve"> </w:t>
      </w:r>
      <w:r>
        <w:rPr>
          <w:rFonts w:eastAsia="Arial" w:cs="Arial"/>
          <w:color w:val="000000"/>
          <w:szCs w:val="24"/>
        </w:rPr>
        <w:t xml:space="preserve">Santa Ana. </w:t>
      </w:r>
      <w:r w:rsidR="00E13500" w:rsidRPr="00E13500">
        <w:rPr>
          <w:rFonts w:eastAsia="Arial" w:cs="Arial"/>
          <w:color w:val="000000"/>
          <w:szCs w:val="24"/>
        </w:rPr>
        <w:t>By providing this data, we aim to equip these organizations with a solid foundation upon which they can develop effective health promotion and education materials. These materials will be crucial in addressing the gaps identified in our research</w:t>
      </w:r>
      <w:r>
        <w:rPr>
          <w:rFonts w:eastAsia="Arial" w:cs="Arial"/>
          <w:color w:val="000000"/>
          <w:szCs w:val="24"/>
        </w:rPr>
        <w:t xml:space="preserve">. </w:t>
      </w:r>
      <w:r>
        <w:rPr>
          <w:rFonts w:eastAsia="Arial" w:cs="Arial"/>
          <w:szCs w:val="24"/>
        </w:rPr>
        <w:t>The</w:t>
      </w:r>
      <w:r>
        <w:rPr>
          <w:rFonts w:eastAsia="Arial" w:cs="Arial"/>
          <w:color w:val="000000"/>
          <w:szCs w:val="24"/>
        </w:rPr>
        <w:t xml:space="preserve"> </w:t>
      </w:r>
      <w:r>
        <w:rPr>
          <w:rFonts w:eastAsia="Arial" w:cs="Arial"/>
          <w:i/>
          <w:szCs w:val="24"/>
        </w:rPr>
        <w:t>Municipal Social Work and Development Department</w:t>
      </w:r>
      <w:r>
        <w:rPr>
          <w:rFonts w:eastAsia="Arial" w:cs="Arial"/>
          <w:szCs w:val="24"/>
        </w:rPr>
        <w:t xml:space="preserve">, the </w:t>
      </w:r>
      <w:r>
        <w:rPr>
          <w:rFonts w:eastAsia="Arial" w:cs="Arial"/>
          <w:i/>
          <w:szCs w:val="24"/>
        </w:rPr>
        <w:t>Urban Poor Sector President</w:t>
      </w:r>
      <w:r>
        <w:rPr>
          <w:rFonts w:eastAsia="Arial" w:cs="Arial"/>
          <w:szCs w:val="24"/>
        </w:rPr>
        <w:t xml:space="preserve">, and the </w:t>
      </w:r>
      <w:r>
        <w:rPr>
          <w:rFonts w:eastAsia="Arial" w:cs="Arial"/>
          <w:i/>
          <w:szCs w:val="24"/>
        </w:rPr>
        <w:t>Planning Office</w:t>
      </w:r>
      <w:r>
        <w:rPr>
          <w:rFonts w:eastAsia="Arial" w:cs="Arial"/>
          <w:szCs w:val="24"/>
        </w:rPr>
        <w:t xml:space="preserve"> of the Municipality can </w:t>
      </w:r>
      <w:r w:rsidR="00E13500" w:rsidRPr="00E13500">
        <w:rPr>
          <w:rFonts w:eastAsia="Arial" w:cs="Arial"/>
          <w:szCs w:val="24"/>
        </w:rPr>
        <w:t>enhance their planning and implementation strategies with the insights gained from our study, they will be better equipped to mitigate the risks and reduce the exposure faced by the urban poor population</w:t>
      </w:r>
      <w:r>
        <w:rPr>
          <w:rFonts w:eastAsia="Arial" w:cs="Arial"/>
          <w:szCs w:val="24"/>
        </w:rPr>
        <w:t>.</w:t>
      </w:r>
    </w:p>
    <w:p w14:paraId="63B1AAA9" w14:textId="36375252" w:rsidR="007C6854" w:rsidRDefault="00E0219E" w:rsidP="00113E43">
      <w:pPr>
        <w:pBdr>
          <w:top w:val="nil"/>
          <w:left w:val="nil"/>
          <w:bottom w:val="nil"/>
          <w:right w:val="nil"/>
          <w:between w:val="nil"/>
        </w:pBdr>
        <w:spacing w:after="160" w:line="480" w:lineRule="auto"/>
        <w:jc w:val="both"/>
        <w:rPr>
          <w:rFonts w:eastAsia="Arial" w:cs="Arial"/>
          <w:color w:val="000000"/>
          <w:szCs w:val="24"/>
        </w:rPr>
      </w:pPr>
      <w:r>
        <w:rPr>
          <w:rFonts w:eastAsia="Arial" w:cs="Arial"/>
          <w:b/>
          <w:color w:val="000000"/>
          <w:szCs w:val="24"/>
        </w:rPr>
        <w:t xml:space="preserve">Community of </w:t>
      </w:r>
      <w:proofErr w:type="spellStart"/>
      <w:r>
        <w:rPr>
          <w:rFonts w:eastAsia="Arial" w:cs="Arial"/>
          <w:b/>
          <w:color w:val="000000"/>
          <w:szCs w:val="24"/>
        </w:rPr>
        <w:t>Bukuhan</w:t>
      </w:r>
      <w:proofErr w:type="spellEnd"/>
      <w:r>
        <w:rPr>
          <w:rFonts w:eastAsia="Arial" w:cs="Arial"/>
          <w:b/>
          <w:color w:val="000000"/>
          <w:szCs w:val="24"/>
        </w:rPr>
        <w:t xml:space="preserve">, </w:t>
      </w:r>
      <w:r>
        <w:rPr>
          <w:rFonts w:eastAsia="Arial" w:cs="Arial"/>
          <w:b/>
          <w:szCs w:val="24"/>
        </w:rPr>
        <w:t>Brgy.</w:t>
      </w:r>
      <w:r>
        <w:rPr>
          <w:rFonts w:eastAsia="Arial" w:cs="Arial"/>
          <w:b/>
          <w:color w:val="000000"/>
          <w:szCs w:val="24"/>
        </w:rPr>
        <w:t xml:space="preserve"> Santa Ana.</w:t>
      </w:r>
      <w:r>
        <w:rPr>
          <w:rFonts w:eastAsia="Arial" w:cs="Arial"/>
          <w:color w:val="000000"/>
          <w:szCs w:val="24"/>
        </w:rPr>
        <w:t xml:space="preserve"> </w:t>
      </w:r>
      <w:r w:rsidR="00E95D0C" w:rsidRPr="00E95D0C">
        <w:rPr>
          <w:rFonts w:eastAsia="Arial" w:cs="Arial"/>
          <w:color w:val="000000"/>
          <w:szCs w:val="24"/>
        </w:rPr>
        <w:t xml:space="preserve">The findings of this study have the potential to catalyze the formulation of an all-encompassing action plan for promoting health, specifically targeting the prevention and control of hypertension, while simultaneously enhancing health literacy within the community. Given the significant impact of urban health on public well-being, this study also presents an opportunity to </w:t>
      </w:r>
      <w:r w:rsidR="00E95D0C" w:rsidRPr="00E95D0C">
        <w:rPr>
          <w:rFonts w:eastAsia="Arial" w:cs="Arial"/>
          <w:color w:val="000000"/>
          <w:szCs w:val="24"/>
        </w:rPr>
        <w:lastRenderedPageBreak/>
        <w:t>actively involve the community in conceptualizing a grassroots-driven and community-led approach to addressing the health challenges faced by the urban underprivileged population.</w:t>
      </w:r>
    </w:p>
    <w:p w14:paraId="31ED0B55" w14:textId="53B7EDE0" w:rsidR="007C6854" w:rsidRDefault="00E0219E" w:rsidP="00113E43">
      <w:pPr>
        <w:pBdr>
          <w:top w:val="nil"/>
          <w:left w:val="nil"/>
          <w:bottom w:val="nil"/>
          <w:right w:val="nil"/>
          <w:between w:val="nil"/>
        </w:pBdr>
        <w:spacing w:after="160" w:line="480" w:lineRule="auto"/>
        <w:jc w:val="both"/>
        <w:rPr>
          <w:rFonts w:eastAsia="Arial" w:cs="Arial"/>
          <w:color w:val="000000"/>
          <w:szCs w:val="24"/>
        </w:rPr>
      </w:pPr>
      <w:r>
        <w:rPr>
          <w:rFonts w:eastAsia="Arial" w:cs="Arial"/>
          <w:b/>
          <w:color w:val="000000"/>
          <w:szCs w:val="24"/>
        </w:rPr>
        <w:t xml:space="preserve">Other Researchers in the </w:t>
      </w:r>
      <w:r>
        <w:rPr>
          <w:rFonts w:eastAsia="Arial" w:cs="Arial"/>
          <w:b/>
          <w:szCs w:val="24"/>
        </w:rPr>
        <w:t>Fields</w:t>
      </w:r>
      <w:r>
        <w:rPr>
          <w:rFonts w:eastAsia="Arial" w:cs="Arial"/>
          <w:b/>
          <w:color w:val="000000"/>
          <w:szCs w:val="24"/>
        </w:rPr>
        <w:t xml:space="preserve"> of Public Health and Social </w:t>
      </w:r>
      <w:r>
        <w:rPr>
          <w:rFonts w:eastAsia="Arial" w:cs="Arial"/>
          <w:b/>
          <w:szCs w:val="24"/>
        </w:rPr>
        <w:t>Science:</w:t>
      </w:r>
      <w:r>
        <w:rPr>
          <w:rFonts w:eastAsia="Arial" w:cs="Arial"/>
          <w:color w:val="000000"/>
          <w:szCs w:val="24"/>
        </w:rPr>
        <w:t xml:space="preserve"> </w:t>
      </w:r>
      <w:r w:rsidR="00E13500" w:rsidRPr="00E13500">
        <w:rPr>
          <w:rFonts w:eastAsia="Arial" w:cs="Arial"/>
          <w:color w:val="000000"/>
          <w:szCs w:val="24"/>
        </w:rPr>
        <w:t xml:space="preserve">This study </w:t>
      </w:r>
      <w:r w:rsidR="00E13500">
        <w:rPr>
          <w:rFonts w:eastAsia="Arial" w:cs="Arial"/>
          <w:color w:val="000000"/>
          <w:szCs w:val="24"/>
        </w:rPr>
        <w:t xml:space="preserve">will provide </w:t>
      </w:r>
      <w:r w:rsidR="00E13500" w:rsidRPr="00E13500">
        <w:rPr>
          <w:rFonts w:eastAsia="Arial" w:cs="Arial"/>
          <w:color w:val="000000"/>
          <w:szCs w:val="24"/>
        </w:rPr>
        <w:t>a baseline and reference point for evaluating the health literacy of the community. By doing so, it will contribute to a better understanding of the health literacy levels within the community. Furthermore, the findings of this research can serve as a catalyst for conducting a population-based study to assess the risk of hypertension among urban poor settlers, specifically in relation to their health literacy. This study holds significant potential for shedding light on the impact of health literacy on the prevalence of hypertension within this population.</w:t>
      </w:r>
    </w:p>
    <w:p w14:paraId="6DD891F8" w14:textId="77777777" w:rsidR="007C6854" w:rsidRDefault="00E0219E">
      <w:pPr>
        <w:pBdr>
          <w:top w:val="nil"/>
          <w:left w:val="nil"/>
          <w:bottom w:val="nil"/>
          <w:right w:val="nil"/>
          <w:between w:val="nil"/>
        </w:pBdr>
        <w:spacing w:after="160" w:line="360" w:lineRule="auto"/>
        <w:jc w:val="center"/>
        <w:rPr>
          <w:rFonts w:eastAsia="Arial" w:cs="Arial"/>
          <w:b/>
          <w:szCs w:val="24"/>
        </w:rPr>
      </w:pPr>
      <w:r>
        <w:br w:type="page"/>
      </w:r>
    </w:p>
    <w:p w14:paraId="2864CBFC" w14:textId="77777777" w:rsidR="007C6854" w:rsidRDefault="00E0219E">
      <w:pPr>
        <w:pStyle w:val="Heading2"/>
        <w:jc w:val="center"/>
        <w:rPr>
          <w:rFonts w:eastAsia="Arial" w:cs="Arial"/>
          <w:sz w:val="24"/>
          <w:szCs w:val="24"/>
        </w:rPr>
      </w:pPr>
      <w:bookmarkStart w:id="6" w:name="_heading=h.26in1rg" w:colFirst="0" w:colLast="0"/>
      <w:bookmarkEnd w:id="6"/>
      <w:r>
        <w:rPr>
          <w:rFonts w:eastAsia="Arial" w:cs="Arial"/>
          <w:sz w:val="24"/>
          <w:szCs w:val="24"/>
        </w:rPr>
        <w:lastRenderedPageBreak/>
        <w:t>Scope and Limitations of the Study</w:t>
      </w:r>
    </w:p>
    <w:p w14:paraId="3DF243CF" w14:textId="77777777" w:rsidR="007C6854" w:rsidRDefault="007C6854"/>
    <w:p w14:paraId="1E8DCF33" w14:textId="77777777" w:rsidR="006A7D6C" w:rsidRDefault="00E0219E" w:rsidP="006A7D6C">
      <w:pPr>
        <w:pBdr>
          <w:top w:val="nil"/>
          <w:left w:val="nil"/>
          <w:bottom w:val="nil"/>
          <w:right w:val="nil"/>
          <w:between w:val="nil"/>
        </w:pBdr>
        <w:spacing w:after="160" w:line="480" w:lineRule="auto"/>
        <w:ind w:firstLine="720"/>
        <w:jc w:val="both"/>
        <w:rPr>
          <w:rFonts w:eastAsia="Arial" w:cs="Arial"/>
          <w:szCs w:val="24"/>
        </w:rPr>
      </w:pPr>
      <w:r>
        <w:rPr>
          <w:rFonts w:eastAsia="Arial" w:cs="Arial"/>
          <w:color w:val="000000"/>
          <w:szCs w:val="24"/>
        </w:rPr>
        <w:t xml:space="preserve">This study assesses the association </w:t>
      </w:r>
      <w:r>
        <w:rPr>
          <w:rFonts w:eastAsia="Arial" w:cs="Arial"/>
          <w:szCs w:val="24"/>
        </w:rPr>
        <w:t>between</w:t>
      </w:r>
      <w:r>
        <w:rPr>
          <w:rFonts w:eastAsia="Arial" w:cs="Arial"/>
          <w:color w:val="000000"/>
          <w:szCs w:val="24"/>
        </w:rPr>
        <w:t xml:space="preserve"> health literacy and hypertension </w:t>
      </w:r>
      <w:r>
        <w:rPr>
          <w:rFonts w:eastAsia="Arial" w:cs="Arial"/>
          <w:szCs w:val="24"/>
        </w:rPr>
        <w:t xml:space="preserve">among 20-year-old and older urban poor settlers. The study excluded those who were 19 years old or younger. </w:t>
      </w:r>
      <w:r w:rsidR="006A7D6C">
        <w:rPr>
          <w:rFonts w:eastAsia="Arial" w:cs="Arial"/>
          <w:szCs w:val="24"/>
        </w:rPr>
        <w:t>Further</w:t>
      </w:r>
      <w:r>
        <w:rPr>
          <w:rFonts w:eastAsia="Arial" w:cs="Arial"/>
          <w:szCs w:val="24"/>
        </w:rPr>
        <w:t>, the study only covers an urban poor community in Pateros, Metro Manila</w:t>
      </w:r>
      <w:r w:rsidR="006A7D6C">
        <w:rPr>
          <w:rFonts w:eastAsia="Arial" w:cs="Arial"/>
          <w:szCs w:val="24"/>
        </w:rPr>
        <w:t xml:space="preserve"> particularly </w:t>
      </w:r>
      <w:r w:rsidR="006A7D6C">
        <w:rPr>
          <w:rFonts w:eastAsia="Arial" w:cs="Arial"/>
          <w:szCs w:val="24"/>
        </w:rPr>
        <w:t>Barangay Santa Ana</w:t>
      </w:r>
      <w:r>
        <w:rPr>
          <w:rFonts w:eastAsia="Arial" w:cs="Arial"/>
          <w:szCs w:val="24"/>
        </w:rPr>
        <w:t xml:space="preserve">. The researcher intends to conduct this research within one year after signing the memorandum of agreement with the researcher's partner, the Pateros Municipal Health Office. </w:t>
      </w:r>
    </w:p>
    <w:p w14:paraId="79F98177" w14:textId="6E4A6E5B" w:rsidR="007C6854" w:rsidRPr="006A7D6C" w:rsidRDefault="00E0219E" w:rsidP="006A7D6C">
      <w:pPr>
        <w:pBdr>
          <w:top w:val="nil"/>
          <w:left w:val="nil"/>
          <w:bottom w:val="nil"/>
          <w:right w:val="nil"/>
          <w:between w:val="nil"/>
        </w:pBdr>
        <w:spacing w:after="160" w:line="480" w:lineRule="auto"/>
        <w:ind w:firstLine="720"/>
        <w:jc w:val="both"/>
        <w:rPr>
          <w:rFonts w:eastAsia="Arial" w:cs="Arial"/>
          <w:szCs w:val="24"/>
        </w:rPr>
      </w:pPr>
      <w:r>
        <w:rPr>
          <w:rFonts w:eastAsia="Arial" w:cs="Arial"/>
          <w:szCs w:val="24"/>
        </w:rPr>
        <w:t xml:space="preserve">The study design was limited to a quantitative study, and qualitative data utilized a scale parameter to weigh the respondents' scores. Only variables on socio-demographic information, information on health literacy, and information on hypertension were collected among target participants. Socio-demographic variables such as sex, age, marital status, ethnic and cultural sub-groups, PhilHealth status, and income class were gathered. The information was gathered during the day while keeping age and gender variance in mind. However, </w:t>
      </w:r>
      <w:r w:rsidR="006A7D6C">
        <w:rPr>
          <w:rFonts w:eastAsia="Arial" w:cs="Arial"/>
          <w:szCs w:val="24"/>
        </w:rPr>
        <w:t>since</w:t>
      </w:r>
      <w:r>
        <w:rPr>
          <w:rFonts w:eastAsia="Arial" w:cs="Arial"/>
          <w:szCs w:val="24"/>
        </w:rPr>
        <w:t xml:space="preserve"> study participants were chosen based on convenience or respondent availability, </w:t>
      </w:r>
      <w:r w:rsidR="006A7D6C">
        <w:rPr>
          <w:rFonts w:eastAsia="Arial" w:cs="Arial"/>
          <w:szCs w:val="24"/>
        </w:rPr>
        <w:t>most</w:t>
      </w:r>
      <w:r>
        <w:rPr>
          <w:rFonts w:eastAsia="Arial" w:cs="Arial"/>
          <w:szCs w:val="24"/>
        </w:rPr>
        <w:t xml:space="preserve"> </w:t>
      </w:r>
      <w:r w:rsidR="006A7D6C">
        <w:rPr>
          <w:rFonts w:eastAsia="Arial" w:cs="Arial"/>
          <w:szCs w:val="24"/>
        </w:rPr>
        <w:t xml:space="preserve">of the </w:t>
      </w:r>
      <w:r>
        <w:rPr>
          <w:rFonts w:eastAsia="Arial" w:cs="Arial"/>
          <w:szCs w:val="24"/>
        </w:rPr>
        <w:t xml:space="preserve">recruited </w:t>
      </w:r>
      <w:r w:rsidR="006A7D6C">
        <w:rPr>
          <w:rFonts w:eastAsia="Arial" w:cs="Arial"/>
          <w:szCs w:val="24"/>
        </w:rPr>
        <w:t xml:space="preserve">respondents </w:t>
      </w:r>
      <w:r>
        <w:rPr>
          <w:rFonts w:eastAsia="Arial" w:cs="Arial"/>
          <w:szCs w:val="24"/>
        </w:rPr>
        <w:t xml:space="preserve">are older and female. The researcher did not take the study subject's blood pressure; instead, the researcher used a proxy question from a population-based study guide. The researcher limits the operational definition of hypertension to two proxy indicators of hypertension used by the WHO </w:t>
      </w:r>
      <w:proofErr w:type="spellStart"/>
      <w:r>
        <w:rPr>
          <w:rFonts w:eastAsia="Arial" w:cs="Arial"/>
          <w:szCs w:val="24"/>
        </w:rPr>
        <w:t>STEPwise</w:t>
      </w:r>
      <w:proofErr w:type="spellEnd"/>
      <w:r>
        <w:rPr>
          <w:rFonts w:eastAsia="Arial" w:cs="Arial"/>
          <w:szCs w:val="24"/>
        </w:rPr>
        <w:t xml:space="preserve"> Approach in NCD risk factor surveillance to classify the hypertension level using the International Society of Hypertension guidelines. This was decided due to the risk of COVID-19 infection and the anticipation of non-response issues among the subject population. In addition, health literacy questions were limited to nine questions based on the </w:t>
      </w:r>
      <w:proofErr w:type="spellStart"/>
      <w:r>
        <w:rPr>
          <w:rFonts w:eastAsia="Arial" w:cs="Arial"/>
          <w:szCs w:val="24"/>
        </w:rPr>
        <w:t>Nutbeam</w:t>
      </w:r>
      <w:proofErr w:type="spellEnd"/>
      <w:r>
        <w:rPr>
          <w:rFonts w:eastAsia="Arial" w:cs="Arial"/>
          <w:szCs w:val="24"/>
        </w:rPr>
        <w:t xml:space="preserve"> Schema adopted by Osborne, </w:t>
      </w:r>
      <w:proofErr w:type="spellStart"/>
      <w:r>
        <w:rPr>
          <w:rFonts w:eastAsia="Arial" w:cs="Arial"/>
          <w:szCs w:val="24"/>
        </w:rPr>
        <w:t>Batterham</w:t>
      </w:r>
      <w:proofErr w:type="spellEnd"/>
      <w:r>
        <w:rPr>
          <w:rFonts w:eastAsia="Arial" w:cs="Arial"/>
          <w:szCs w:val="24"/>
        </w:rPr>
        <w:t xml:space="preserve">, Elsworth, Hawkins, &amp; Buchbinder (2013). </w:t>
      </w:r>
      <w:r>
        <w:rPr>
          <w:rFonts w:eastAsia="Arial" w:cs="Arial"/>
          <w:szCs w:val="24"/>
        </w:rPr>
        <w:lastRenderedPageBreak/>
        <w:t xml:space="preserve">Each domain's questions were not explored. The study's generalizability is also in question since it utilized a non-probability sampling method. However, the generalization of its result only applies to the community under study, which could reflect hypertension and health literacy prevalence among 20-year-olds and older in the </w:t>
      </w:r>
      <w:proofErr w:type="spellStart"/>
      <w:r>
        <w:rPr>
          <w:rFonts w:eastAsia="Arial" w:cs="Arial"/>
          <w:szCs w:val="24"/>
        </w:rPr>
        <w:t>Bukuhan</w:t>
      </w:r>
      <w:proofErr w:type="spellEnd"/>
      <w:r>
        <w:rPr>
          <w:rFonts w:eastAsia="Arial" w:cs="Arial"/>
          <w:szCs w:val="24"/>
        </w:rPr>
        <w:t xml:space="preserve"> community. </w:t>
      </w:r>
      <w:r>
        <w:br w:type="page"/>
      </w:r>
    </w:p>
    <w:p w14:paraId="73E89F06" w14:textId="77777777" w:rsidR="007C6854" w:rsidRDefault="00E0219E" w:rsidP="00CA0720">
      <w:pPr>
        <w:pStyle w:val="Heading1"/>
        <w:spacing w:line="240" w:lineRule="auto"/>
        <w:jc w:val="center"/>
        <w:rPr>
          <w:rFonts w:eastAsia="Arial" w:cs="Arial"/>
          <w:sz w:val="24"/>
          <w:szCs w:val="24"/>
        </w:rPr>
      </w:pPr>
      <w:bookmarkStart w:id="7" w:name="_heading=h.lnxbz9" w:colFirst="0" w:colLast="0"/>
      <w:bookmarkEnd w:id="7"/>
      <w:r>
        <w:rPr>
          <w:rFonts w:eastAsia="Arial" w:cs="Arial"/>
          <w:sz w:val="24"/>
          <w:szCs w:val="24"/>
        </w:rPr>
        <w:lastRenderedPageBreak/>
        <w:t>Chapter II:</w:t>
      </w:r>
    </w:p>
    <w:p w14:paraId="202EC151" w14:textId="4A083082" w:rsidR="00CA0720" w:rsidRDefault="00E0219E" w:rsidP="00CA0720">
      <w:pPr>
        <w:pStyle w:val="Heading1"/>
        <w:spacing w:line="480" w:lineRule="auto"/>
        <w:jc w:val="center"/>
        <w:rPr>
          <w:rFonts w:eastAsia="Arial" w:cs="Arial"/>
          <w:sz w:val="24"/>
          <w:szCs w:val="24"/>
        </w:rPr>
      </w:pPr>
      <w:bookmarkStart w:id="8" w:name="_heading=h.35nkun2" w:colFirst="0" w:colLast="0"/>
      <w:bookmarkEnd w:id="8"/>
      <w:r>
        <w:rPr>
          <w:rFonts w:eastAsia="Arial" w:cs="Arial"/>
          <w:sz w:val="24"/>
          <w:szCs w:val="24"/>
        </w:rPr>
        <w:t>THEORETICAL BACKGROUND</w:t>
      </w:r>
      <w:bookmarkStart w:id="9" w:name="_heading=h.1ksv4uv" w:colFirst="0" w:colLast="0"/>
      <w:bookmarkEnd w:id="9"/>
    </w:p>
    <w:p w14:paraId="5DD8776B" w14:textId="08E6FAC3" w:rsidR="007C6854" w:rsidRDefault="00E0219E" w:rsidP="00CA0720">
      <w:pPr>
        <w:pStyle w:val="Heading2"/>
        <w:spacing w:line="480" w:lineRule="auto"/>
        <w:jc w:val="center"/>
        <w:rPr>
          <w:rFonts w:eastAsia="Arial" w:cs="Arial"/>
          <w:sz w:val="24"/>
          <w:szCs w:val="24"/>
        </w:rPr>
      </w:pPr>
      <w:r>
        <w:rPr>
          <w:rFonts w:eastAsia="Arial" w:cs="Arial"/>
          <w:sz w:val="24"/>
          <w:szCs w:val="24"/>
        </w:rPr>
        <w:t>A Review of Literature</w:t>
      </w:r>
    </w:p>
    <w:p w14:paraId="546A2B1F" w14:textId="77777777" w:rsidR="007C6854" w:rsidRDefault="007C6854"/>
    <w:p w14:paraId="080529A5" w14:textId="77777777" w:rsidR="007C6854" w:rsidRDefault="00E0219E">
      <w:pPr>
        <w:pStyle w:val="Heading3"/>
        <w:rPr>
          <w:rFonts w:eastAsia="Arial" w:cs="Arial"/>
          <w:sz w:val="24"/>
          <w:szCs w:val="24"/>
        </w:rPr>
      </w:pPr>
      <w:bookmarkStart w:id="10" w:name="_heading=h.44sinio" w:colFirst="0" w:colLast="0"/>
      <w:bookmarkEnd w:id="10"/>
      <w:r>
        <w:rPr>
          <w:rFonts w:eastAsia="Arial" w:cs="Arial"/>
          <w:sz w:val="24"/>
          <w:szCs w:val="24"/>
        </w:rPr>
        <w:t>Socio-demographic Factors</w:t>
      </w:r>
    </w:p>
    <w:p w14:paraId="491B4933" w14:textId="77777777" w:rsidR="007C6854" w:rsidRDefault="007C6854"/>
    <w:p w14:paraId="36D41473" w14:textId="77777777" w:rsidR="007C6854"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szCs w:val="24"/>
        </w:rPr>
        <w:tab/>
        <w:t xml:space="preserve">The United Nations Urbanization Prospects 2018 report reported that millions of people live in urban communities. By 2025, around 4.7 billion people will live in urban areas, compared to a baseline of 3.9 billion in 2015 at the end of the Millennium Development Goals (MDG) (UN, n.d.; Ritch, H., &amp; Roser, M., 2018). The Southeast Asian Region, where the Philippines belongs, shows a rapid increase in population from 2015 to 2025, while the Philippines alone shows 6% growth from 2010 to 2015 (UN, n.d.; UN-HABITAT, n.d.). However, the effect of urbanization has not changed in a decade. The Philippine Statistics Authority (PSA) reported that the level of urbanization, particularly in the National Capital Region, had not changed since 2015 compared to the 2020 census (PSA, 2022; O’Neil, 2023). The age population pyramid in the Philippines has not changed over the past few years or since the 2020 census. However, the last 2020 census revealed a 7.20 million-person increase in the population of urban barangay settlers. More so, from 1950 to 2020, the median age of Filipinos changed over time, but ages 15–64 remained the predominant age group (PSA, 2022; Statista, 2023). On sex distribution, it shows that males are more than females; the PSA reported that in 2020, the ratio was 103 males to 100 females (PSA, 2022). The Philippines is becoming more urbanized due to migration, and it is estimated that 20% of the urban population is poor (WHO, 2008). More informal </w:t>
      </w:r>
      <w:r>
        <w:rPr>
          <w:rFonts w:eastAsia="Arial" w:cs="Arial"/>
          <w:szCs w:val="24"/>
        </w:rPr>
        <w:lastRenderedPageBreak/>
        <w:t>settlers have no permanent houses; this is one primary effect of urbanization. It is estimated that 5 out of 10 Filipinos will be living in urban areas, and by the end of 2050, 84% of Filipinos are expected to reside in urban communities. (UN-HABITAT, n.d.) On the other hand, the study by Parker et al. (2018) showed that racial and ethnic diversity are significantly increasing in the US, with migration among the older population. However, the trend seems to vary across rural and urban communities. In the same report, urban communities reported growing in 2000 compared to rural populations (Parke et al.,2018). The effects of urbanization and population density include overcrowding and poverty. In Asia alone, urban slum populations make up 60% of the total world slum population (ADB, 2014; IIED, 2014). The Asian Development Bank (2014) cited that urban poverty in Asia is multidimensional, extending beyond income, including health and educational aspects, and a social security system that includes health insurance. In the same report, it was cited that a high proportion of those who live in slum areas are underpaid and are living in extreme poverty. Among urban communities, it was seen that female labor force participation increased, and most of the time, women were primarily employed in family enterprises or as piecemeal workers, street vendors, and domestic helpers. Further, those who are living in poverty lack access to health and education (ADB, 2014).</w:t>
      </w:r>
    </w:p>
    <w:p w14:paraId="789FE6BF" w14:textId="362EABA1" w:rsidR="007C6854" w:rsidRPr="008B7903" w:rsidRDefault="00E0219E" w:rsidP="008B7903">
      <w:pPr>
        <w:pStyle w:val="Heading3"/>
        <w:spacing w:line="480" w:lineRule="auto"/>
        <w:rPr>
          <w:rFonts w:eastAsia="Arial" w:cs="Arial"/>
          <w:sz w:val="24"/>
          <w:szCs w:val="24"/>
        </w:rPr>
      </w:pPr>
      <w:bookmarkStart w:id="11" w:name="_heading=h.2jxsxqh" w:colFirst="0" w:colLast="0"/>
      <w:bookmarkEnd w:id="11"/>
      <w:r>
        <w:rPr>
          <w:rFonts w:eastAsia="Arial" w:cs="Arial"/>
          <w:sz w:val="24"/>
          <w:szCs w:val="24"/>
        </w:rPr>
        <w:t>Hypertension</w:t>
      </w:r>
    </w:p>
    <w:p w14:paraId="29642AAB" w14:textId="0CB6D9B1" w:rsidR="007C6854" w:rsidRDefault="008B7903" w:rsidP="00113E43">
      <w:pPr>
        <w:pBdr>
          <w:top w:val="nil"/>
          <w:left w:val="nil"/>
          <w:bottom w:val="nil"/>
          <w:right w:val="nil"/>
          <w:between w:val="nil"/>
        </w:pBdr>
        <w:spacing w:after="160" w:line="480" w:lineRule="auto"/>
        <w:ind w:firstLine="420"/>
        <w:jc w:val="both"/>
        <w:rPr>
          <w:rFonts w:eastAsia="Arial" w:cs="Arial"/>
          <w:color w:val="000000"/>
          <w:szCs w:val="24"/>
        </w:rPr>
      </w:pPr>
      <w:r>
        <w:rPr>
          <w:rFonts w:eastAsia="Arial" w:cs="Arial"/>
          <w:szCs w:val="24"/>
        </w:rPr>
        <w:tab/>
      </w:r>
      <w:r w:rsidR="00E0219E">
        <w:rPr>
          <w:rFonts w:eastAsia="Arial" w:cs="Arial"/>
          <w:color w:val="000000"/>
          <w:szCs w:val="24"/>
        </w:rPr>
        <w:t xml:space="preserve">Hypertension, also known as high or raised blood pressure, is a condition in which the blood vessels have persistently raised pressure. Around 1.13 billion people globally have the disease globally (WHO, n.d.). Hypertension changes the structure of the </w:t>
      </w:r>
      <w:r w:rsidR="00E0219E">
        <w:rPr>
          <w:rFonts w:eastAsia="Arial" w:cs="Arial"/>
          <w:szCs w:val="24"/>
        </w:rPr>
        <w:t>arteries,</w:t>
      </w:r>
      <w:r w:rsidR="00E0219E">
        <w:rPr>
          <w:rFonts w:eastAsia="Arial" w:cs="Arial"/>
          <w:color w:val="000000"/>
          <w:szCs w:val="24"/>
        </w:rPr>
        <w:t xml:space="preserve"> resulting </w:t>
      </w:r>
      <w:r w:rsidR="00E0219E">
        <w:rPr>
          <w:rFonts w:eastAsia="Arial" w:cs="Arial"/>
          <w:szCs w:val="24"/>
        </w:rPr>
        <w:t>in an</w:t>
      </w:r>
      <w:r w:rsidR="00E0219E">
        <w:rPr>
          <w:rFonts w:eastAsia="Arial" w:cs="Arial"/>
          <w:color w:val="000000"/>
          <w:szCs w:val="24"/>
        </w:rPr>
        <w:t xml:space="preserve"> episode of stroke, heart disease, kidney failure, and other diseases. Globally, 51% of </w:t>
      </w:r>
      <w:r w:rsidR="00E0219E">
        <w:rPr>
          <w:rFonts w:eastAsia="Arial" w:cs="Arial"/>
          <w:szCs w:val="24"/>
        </w:rPr>
        <w:t>strokes</w:t>
      </w:r>
      <w:r w:rsidR="00E0219E">
        <w:rPr>
          <w:rFonts w:eastAsia="Arial" w:cs="Arial"/>
          <w:color w:val="000000"/>
          <w:szCs w:val="24"/>
        </w:rPr>
        <w:t xml:space="preserve"> and 45% of ischemic heart diseases are attributable to raised systolic blood pressure (WHO, 2009, p. 16). WHO (2011) stated </w:t>
      </w:r>
      <w:r w:rsidR="00E0219E">
        <w:rPr>
          <w:rFonts w:eastAsia="Arial" w:cs="Arial"/>
          <w:szCs w:val="24"/>
        </w:rPr>
        <w:lastRenderedPageBreak/>
        <w:t>that the worldwide</w:t>
      </w:r>
      <w:r w:rsidR="00E0219E">
        <w:rPr>
          <w:rFonts w:eastAsia="Arial" w:cs="Arial"/>
          <w:color w:val="000000"/>
          <w:szCs w:val="24"/>
        </w:rPr>
        <w:t xml:space="preserve"> death toll </w:t>
      </w:r>
      <w:r w:rsidR="00E0219E">
        <w:rPr>
          <w:rFonts w:eastAsia="Arial" w:cs="Arial"/>
          <w:szCs w:val="24"/>
        </w:rPr>
        <w:t>from</w:t>
      </w:r>
      <w:r w:rsidR="00E0219E">
        <w:rPr>
          <w:rFonts w:eastAsia="Arial" w:cs="Arial"/>
          <w:color w:val="000000"/>
          <w:szCs w:val="24"/>
        </w:rPr>
        <w:t xml:space="preserve"> raised blood pressure is 7.5 </w:t>
      </w:r>
      <w:r w:rsidR="00E0219E">
        <w:rPr>
          <w:rFonts w:eastAsia="Arial" w:cs="Arial"/>
          <w:szCs w:val="24"/>
        </w:rPr>
        <w:t>million, or</w:t>
      </w:r>
      <w:r w:rsidR="00E0219E">
        <w:rPr>
          <w:rFonts w:eastAsia="Arial" w:cs="Arial"/>
          <w:color w:val="000000"/>
          <w:szCs w:val="24"/>
        </w:rPr>
        <w:t xml:space="preserve"> about 12.5% of the total deaths. Mills, K. T. </w:t>
      </w:r>
      <w:r w:rsidR="00E0219E">
        <w:rPr>
          <w:rFonts w:eastAsia="Arial" w:cs="Arial"/>
          <w:szCs w:val="24"/>
        </w:rPr>
        <w:t>et al</w:t>
      </w:r>
      <w:r w:rsidR="00E0219E">
        <w:rPr>
          <w:rFonts w:eastAsia="Arial" w:cs="Arial"/>
          <w:color w:val="000000"/>
          <w:szCs w:val="24"/>
        </w:rPr>
        <w:t>. (2016) reported a disparity in hypertension prevalence globally. In 2010, the adult hypertension prevalence was 31.1%. The World Health Organiz</w:t>
      </w:r>
      <w:r w:rsidR="00E0219E">
        <w:rPr>
          <w:rFonts w:eastAsia="Arial" w:cs="Arial"/>
          <w:szCs w:val="24"/>
        </w:rPr>
        <w:t>ation (WHO, 2021) stated, “The prevalence of hypertension varies across regions and country income groups. The WHO African Region has the highest prevalence of hypertension (27%) while the WHO Region of the Americas has the lowest prevalence of hypertension (18%).” In the same report, the prevalence of hypertension increased from 1975 to 2015, with the most significant number of adults with hypertension seen in low- and middle-income countries. Other articles agree with this report. For example, Mills, K.T. et al. (2016) noted that the prevalence of hypertension in high-income countries was</w:t>
      </w:r>
      <w:r w:rsidR="00E0219E">
        <w:rPr>
          <w:rFonts w:eastAsia="Arial" w:cs="Arial"/>
          <w:color w:val="000000"/>
          <w:szCs w:val="24"/>
        </w:rPr>
        <w:t xml:space="preserve"> 28.5% and 31.5% in low- and middle-income </w:t>
      </w:r>
      <w:r w:rsidR="00E0219E">
        <w:rPr>
          <w:rFonts w:eastAsia="Arial" w:cs="Arial"/>
          <w:szCs w:val="24"/>
        </w:rPr>
        <w:t>countries, respectively</w:t>
      </w:r>
      <w:r w:rsidR="00E0219E">
        <w:rPr>
          <w:rFonts w:eastAsia="Arial" w:cs="Arial"/>
          <w:color w:val="000000"/>
          <w:szCs w:val="24"/>
        </w:rPr>
        <w:t xml:space="preserve">. The study of Sarki, A.M. </w:t>
      </w:r>
      <w:r w:rsidR="00E0219E">
        <w:rPr>
          <w:rFonts w:eastAsia="Arial" w:cs="Arial"/>
          <w:i/>
          <w:color w:val="000000"/>
          <w:szCs w:val="24"/>
        </w:rPr>
        <w:t xml:space="preserve">et al. </w:t>
      </w:r>
      <w:r w:rsidR="00E0219E">
        <w:rPr>
          <w:rFonts w:eastAsia="Arial" w:cs="Arial"/>
          <w:color w:val="000000"/>
          <w:szCs w:val="24"/>
        </w:rPr>
        <w:t xml:space="preserve">(2015) on the prevalence of </w:t>
      </w:r>
      <w:r w:rsidR="00E0219E">
        <w:rPr>
          <w:rFonts w:eastAsia="Arial" w:cs="Arial"/>
          <w:szCs w:val="24"/>
        </w:rPr>
        <w:t>Hypertension</w:t>
      </w:r>
      <w:r w:rsidR="00E0219E">
        <w:rPr>
          <w:rFonts w:eastAsia="Arial" w:cs="Arial"/>
          <w:color w:val="000000"/>
          <w:szCs w:val="24"/>
        </w:rPr>
        <w:t xml:space="preserve"> in low- and middle-income countries </w:t>
      </w:r>
      <w:r w:rsidR="00E0219E">
        <w:rPr>
          <w:rFonts w:eastAsia="Arial" w:cs="Arial"/>
          <w:szCs w:val="24"/>
        </w:rPr>
        <w:t>showed a</w:t>
      </w:r>
      <w:r w:rsidR="00E0219E">
        <w:rPr>
          <w:rFonts w:eastAsia="Arial" w:cs="Arial"/>
          <w:color w:val="000000"/>
          <w:szCs w:val="24"/>
        </w:rPr>
        <w:t xml:space="preserve"> 32.3% </w:t>
      </w:r>
      <w:r w:rsidR="00E0219E">
        <w:rPr>
          <w:rFonts w:eastAsia="Arial" w:cs="Arial"/>
          <w:szCs w:val="24"/>
        </w:rPr>
        <w:t>overall</w:t>
      </w:r>
      <w:r w:rsidR="00E0219E">
        <w:rPr>
          <w:rFonts w:eastAsia="Arial" w:cs="Arial"/>
          <w:color w:val="000000"/>
          <w:szCs w:val="24"/>
        </w:rPr>
        <w:t xml:space="preserve"> prevalence. It also revealed that the highest estimate was seen in Latin America and the Caribbean (39.1%), while in middle-income </w:t>
      </w:r>
      <w:r w:rsidR="00E0219E">
        <w:rPr>
          <w:rFonts w:eastAsia="Arial" w:cs="Arial"/>
          <w:szCs w:val="24"/>
        </w:rPr>
        <w:t>countries the result</w:t>
      </w:r>
      <w:r w:rsidR="00E0219E">
        <w:rPr>
          <w:rFonts w:eastAsia="Arial" w:cs="Arial"/>
          <w:color w:val="000000"/>
          <w:szCs w:val="24"/>
        </w:rPr>
        <w:t xml:space="preserve"> was 37.8%.</w:t>
      </w:r>
      <w:r w:rsidR="00E0219E">
        <w:rPr>
          <w:rFonts w:eastAsia="Arial" w:cs="Arial"/>
          <w:szCs w:val="24"/>
        </w:rPr>
        <w:t xml:space="preserve"> </w:t>
      </w:r>
      <w:r w:rsidR="00E0219E">
        <w:rPr>
          <w:rFonts w:eastAsia="Arial" w:cs="Arial"/>
          <w:color w:val="000000"/>
          <w:szCs w:val="24"/>
        </w:rPr>
        <w:t xml:space="preserve">Low-income countries showed the lowest prevalence (23.1%). </w:t>
      </w:r>
      <w:r w:rsidR="00E0219E">
        <w:rPr>
          <w:rFonts w:eastAsia="Arial" w:cs="Arial"/>
          <w:szCs w:val="24"/>
        </w:rPr>
        <w:t xml:space="preserve">Min H. </w:t>
      </w:r>
      <w:r w:rsidR="00E0219E">
        <w:rPr>
          <w:rFonts w:eastAsia="Arial" w:cs="Arial"/>
          <w:i/>
          <w:szCs w:val="24"/>
        </w:rPr>
        <w:t>et al. (</w:t>
      </w:r>
      <w:r w:rsidR="00E0219E">
        <w:rPr>
          <w:rFonts w:eastAsia="Arial" w:cs="Arial"/>
          <w:szCs w:val="24"/>
        </w:rPr>
        <w:t xml:space="preserve">2010) cited that the prevalence of hypertension in the Republic of Korea was about 28%, while their study showed a decrease of about 11.9%. Between urban and rural populations, the prevalence of hypertension was significantly higher among urban settlers, with an estimated prevalence of 32.7% compared to rural settlers 24.9% (Sarki A.M. </w:t>
      </w:r>
      <w:r w:rsidR="00E0219E">
        <w:rPr>
          <w:rFonts w:eastAsia="Arial" w:cs="Arial"/>
          <w:i/>
          <w:szCs w:val="24"/>
        </w:rPr>
        <w:t>et al. (2015);</w:t>
      </w:r>
      <w:r w:rsidR="00E0219E">
        <w:rPr>
          <w:rFonts w:eastAsia="Arial" w:cs="Arial"/>
          <w:szCs w:val="24"/>
        </w:rPr>
        <w:t xml:space="preserve"> Wang J. et al. (2018) reported a high prevalence of hypertension in rural areas compared to urban areas (25.93% versus 22.73%, respectively).</w:t>
      </w:r>
      <w:r w:rsidR="00E0219E">
        <w:rPr>
          <w:rFonts w:eastAsia="Arial" w:cs="Arial"/>
          <w:i/>
          <w:szCs w:val="24"/>
        </w:rPr>
        <w:t xml:space="preserve"> </w:t>
      </w:r>
      <w:r w:rsidR="00E0219E">
        <w:rPr>
          <w:rFonts w:eastAsia="Arial" w:cs="Arial"/>
          <w:szCs w:val="24"/>
        </w:rPr>
        <w:t xml:space="preserve">A study by Rush K. L. et al. (2018) reported a high prevalence of hypertension among Zambian rural areas (46.9%) compared to Zambian urban areas (22.9%). More so, Xing L. et al. (2019) reported a high prevalence among rural areas in northeastern China compared to </w:t>
      </w:r>
      <w:r w:rsidR="00E0219E">
        <w:rPr>
          <w:rFonts w:eastAsia="Arial" w:cs="Arial"/>
          <w:szCs w:val="24"/>
        </w:rPr>
        <w:lastRenderedPageBreak/>
        <w:t xml:space="preserve">urban areas (52.5% versus 43.5%). In addition, </w:t>
      </w:r>
      <w:proofErr w:type="spellStart"/>
      <w:r w:rsidR="00E0219E">
        <w:rPr>
          <w:rFonts w:eastAsia="Arial" w:cs="Arial"/>
          <w:szCs w:val="24"/>
        </w:rPr>
        <w:t>Bâ</w:t>
      </w:r>
      <w:proofErr w:type="spellEnd"/>
      <w:r w:rsidR="00E0219E">
        <w:rPr>
          <w:rFonts w:eastAsia="Arial" w:cs="Arial"/>
          <w:szCs w:val="24"/>
        </w:rPr>
        <w:t xml:space="preserve"> HO et al. (2018) cited an African community-based prevalence study that showed a higher prevalence ranging from 25% to 54%. The study by Dastan I. et al. (2017) discussed that the hypertension prevalence in urban settings in Turkey was 23.9%. Across demographic data, globally b</w:t>
      </w:r>
      <w:r w:rsidR="00E0219E">
        <w:rPr>
          <w:rFonts w:eastAsia="Arial" w:cs="Arial"/>
          <w:color w:val="000000"/>
          <w:szCs w:val="24"/>
        </w:rPr>
        <w:t xml:space="preserve">y age-specific, the overall prevalence in 2008 was 40% </w:t>
      </w:r>
      <w:r w:rsidR="00E0219E">
        <w:rPr>
          <w:rFonts w:eastAsia="Arial" w:cs="Arial"/>
          <w:szCs w:val="24"/>
        </w:rPr>
        <w:t>among those</w:t>
      </w:r>
      <w:r w:rsidR="00E0219E">
        <w:rPr>
          <w:rFonts w:eastAsia="Arial" w:cs="Arial"/>
          <w:color w:val="000000"/>
          <w:szCs w:val="24"/>
        </w:rPr>
        <w:t xml:space="preserve"> 25 and </w:t>
      </w:r>
      <w:r w:rsidR="00E0219E">
        <w:rPr>
          <w:rFonts w:eastAsia="Arial" w:cs="Arial"/>
          <w:szCs w:val="24"/>
        </w:rPr>
        <w:t>older</w:t>
      </w:r>
      <w:r w:rsidR="00E0219E">
        <w:rPr>
          <w:rFonts w:eastAsia="Arial" w:cs="Arial"/>
          <w:color w:val="000000"/>
          <w:szCs w:val="24"/>
        </w:rPr>
        <w:t xml:space="preserve"> (WHO, 2011). In 2010, Mills, K. T. et al. (2016) reported that people above 40 </w:t>
      </w:r>
      <w:r w:rsidR="00E0219E">
        <w:rPr>
          <w:rFonts w:eastAsia="Arial" w:cs="Arial"/>
          <w:szCs w:val="24"/>
        </w:rPr>
        <w:t>show</w:t>
      </w:r>
      <w:r w:rsidR="00E0219E">
        <w:rPr>
          <w:rFonts w:eastAsia="Arial" w:cs="Arial"/>
          <w:color w:val="000000"/>
          <w:szCs w:val="24"/>
        </w:rPr>
        <w:t xml:space="preserve"> high hypertension prevalence in all countries (see Table 1 below). </w:t>
      </w:r>
      <w:proofErr w:type="spellStart"/>
      <w:r w:rsidR="00E0219E">
        <w:rPr>
          <w:rFonts w:eastAsia="Arial" w:cs="Arial"/>
          <w:color w:val="000000"/>
          <w:szCs w:val="24"/>
        </w:rPr>
        <w:t>Khajedaluee</w:t>
      </w:r>
      <w:proofErr w:type="spellEnd"/>
      <w:r w:rsidR="00E0219E">
        <w:rPr>
          <w:rFonts w:eastAsia="Arial" w:cs="Arial"/>
          <w:color w:val="000000"/>
          <w:szCs w:val="24"/>
        </w:rPr>
        <w:t xml:space="preserve">, M. et al. (2016) observed that hypertension is high among elderly </w:t>
      </w:r>
      <w:r w:rsidR="00E0219E">
        <w:rPr>
          <w:rFonts w:eastAsia="Arial" w:cs="Arial"/>
          <w:szCs w:val="24"/>
        </w:rPr>
        <w:t>males,</w:t>
      </w:r>
      <w:r w:rsidR="00E0219E">
        <w:rPr>
          <w:rFonts w:eastAsia="Arial" w:cs="Arial"/>
          <w:color w:val="000000"/>
          <w:szCs w:val="24"/>
        </w:rPr>
        <w:t xml:space="preserve"> with </w:t>
      </w:r>
      <w:r w:rsidR="00E0219E">
        <w:rPr>
          <w:rFonts w:eastAsia="Arial" w:cs="Arial"/>
          <w:szCs w:val="24"/>
        </w:rPr>
        <w:t>a</w:t>
      </w:r>
      <w:r w:rsidR="00E0219E">
        <w:rPr>
          <w:rFonts w:eastAsia="Arial" w:cs="Arial"/>
          <w:color w:val="000000"/>
          <w:szCs w:val="24"/>
        </w:rPr>
        <w:t xml:space="preserve"> mean age of 46.10 years and an overall average age of 43.52 years. In the same study, </w:t>
      </w:r>
      <w:r w:rsidR="00E0219E">
        <w:rPr>
          <w:rFonts w:eastAsia="Arial" w:cs="Arial"/>
          <w:szCs w:val="24"/>
        </w:rPr>
        <w:t>it was</w:t>
      </w:r>
      <w:r w:rsidR="00E0219E">
        <w:rPr>
          <w:rFonts w:eastAsia="Arial" w:cs="Arial"/>
          <w:color w:val="000000"/>
          <w:szCs w:val="24"/>
        </w:rPr>
        <w:t xml:space="preserve"> also revealed that marital status and employment status were associated with hypertension. </w:t>
      </w:r>
      <w:r w:rsidR="00E0219E">
        <w:rPr>
          <w:rFonts w:eastAsia="Arial" w:cs="Arial"/>
          <w:szCs w:val="24"/>
        </w:rPr>
        <w:t>The</w:t>
      </w:r>
      <w:r w:rsidR="00E0219E">
        <w:rPr>
          <w:rFonts w:eastAsia="Arial" w:cs="Arial"/>
          <w:color w:val="000000"/>
          <w:szCs w:val="24"/>
        </w:rPr>
        <w:t xml:space="preserve"> study by Dogan, N. et al. (2012) showed that women were more at risk of having hypertension. Also, gender and income levels were</w:t>
      </w:r>
      <w:r w:rsidR="00E0219E">
        <w:rPr>
          <w:rFonts w:eastAsia="Arial" w:cs="Arial"/>
          <w:szCs w:val="24"/>
        </w:rPr>
        <w:t xml:space="preserve"> </w:t>
      </w:r>
      <w:r w:rsidR="00E0219E">
        <w:rPr>
          <w:rFonts w:eastAsia="Arial" w:cs="Arial"/>
          <w:color w:val="000000"/>
          <w:szCs w:val="24"/>
        </w:rPr>
        <w:t xml:space="preserve">significant risk factors </w:t>
      </w:r>
      <w:r w:rsidR="00E0219E">
        <w:rPr>
          <w:rFonts w:eastAsia="Arial" w:cs="Arial"/>
          <w:szCs w:val="24"/>
        </w:rPr>
        <w:t>for</w:t>
      </w:r>
      <w:r w:rsidR="00E0219E">
        <w:rPr>
          <w:rFonts w:eastAsia="Arial" w:cs="Arial"/>
          <w:color w:val="000000"/>
          <w:szCs w:val="24"/>
        </w:rPr>
        <w:t xml:space="preserve"> hypertension (Dogan, </w:t>
      </w:r>
      <w:r w:rsidR="00E0219E">
        <w:rPr>
          <w:rFonts w:eastAsia="Arial" w:cs="Arial"/>
          <w:szCs w:val="24"/>
        </w:rPr>
        <w:t>N.</w:t>
      </w:r>
      <w:r w:rsidR="00E0219E">
        <w:rPr>
          <w:rFonts w:eastAsia="Arial" w:cs="Arial"/>
          <w:color w:val="000000"/>
          <w:szCs w:val="24"/>
        </w:rPr>
        <w:t xml:space="preserve"> et al., 2016). On the other hand, the study by </w:t>
      </w:r>
      <w:r w:rsidR="00E0219E">
        <w:rPr>
          <w:rFonts w:eastAsia="Arial" w:cs="Arial"/>
          <w:szCs w:val="24"/>
          <w:highlight w:val="white"/>
        </w:rPr>
        <w:t>Matsuzaki, M., Sherr, K., and Augusto, O. </w:t>
      </w:r>
      <w:r w:rsidR="00E0219E">
        <w:rPr>
          <w:rFonts w:eastAsia="Arial" w:cs="Arial"/>
          <w:i/>
          <w:szCs w:val="24"/>
          <w:highlight w:val="white"/>
        </w:rPr>
        <w:t>et al.</w:t>
      </w:r>
      <w:r w:rsidR="00E0219E">
        <w:rPr>
          <w:rFonts w:eastAsia="Arial" w:cs="Arial"/>
          <w:szCs w:val="24"/>
        </w:rPr>
        <w:t xml:space="preserve"> </w:t>
      </w:r>
      <w:r w:rsidR="00E0219E">
        <w:rPr>
          <w:rFonts w:eastAsia="Arial" w:cs="Arial"/>
          <w:color w:val="000000"/>
          <w:szCs w:val="24"/>
        </w:rPr>
        <w:t xml:space="preserve">(2020) showed no significant difference </w:t>
      </w:r>
      <w:r w:rsidR="00E0219E">
        <w:rPr>
          <w:rFonts w:eastAsia="Arial" w:cs="Arial"/>
          <w:szCs w:val="24"/>
        </w:rPr>
        <w:t>i</w:t>
      </w:r>
      <w:r w:rsidR="00E0219E">
        <w:rPr>
          <w:rFonts w:eastAsia="Arial" w:cs="Arial"/>
          <w:color w:val="000000"/>
          <w:szCs w:val="24"/>
        </w:rPr>
        <w:t xml:space="preserve">n hypertension </w:t>
      </w:r>
      <w:r w:rsidR="00E0219E">
        <w:rPr>
          <w:rFonts w:eastAsia="Arial" w:cs="Arial"/>
          <w:szCs w:val="24"/>
        </w:rPr>
        <w:t>results</w:t>
      </w:r>
      <w:r w:rsidR="00E0219E">
        <w:rPr>
          <w:rFonts w:eastAsia="Arial" w:cs="Arial"/>
          <w:color w:val="000000"/>
          <w:szCs w:val="24"/>
        </w:rPr>
        <w:t xml:space="preserve"> between </w:t>
      </w:r>
      <w:r w:rsidR="00E0219E">
        <w:rPr>
          <w:rFonts w:eastAsia="Arial" w:cs="Arial"/>
          <w:szCs w:val="24"/>
        </w:rPr>
        <w:t>genders</w:t>
      </w:r>
      <w:r w:rsidR="00E0219E">
        <w:rPr>
          <w:rFonts w:eastAsia="Arial" w:cs="Arial"/>
          <w:color w:val="000000"/>
          <w:szCs w:val="24"/>
        </w:rPr>
        <w:t xml:space="preserve"> (Female = 15.7%, Male = 16.1%). However, in the same study</w:t>
      </w:r>
      <w:r w:rsidR="00E0219E">
        <w:rPr>
          <w:rFonts w:eastAsia="Arial" w:cs="Arial"/>
          <w:szCs w:val="24"/>
        </w:rPr>
        <w:t>,</w:t>
      </w:r>
      <w:r w:rsidR="00E0219E">
        <w:rPr>
          <w:rFonts w:eastAsia="Arial" w:cs="Arial"/>
          <w:color w:val="000000"/>
          <w:szCs w:val="24"/>
        </w:rPr>
        <w:t xml:space="preserve"> </w:t>
      </w:r>
      <w:r w:rsidR="00E0219E">
        <w:rPr>
          <w:rFonts w:eastAsia="Arial" w:cs="Arial"/>
          <w:szCs w:val="24"/>
        </w:rPr>
        <w:t>a</w:t>
      </w:r>
      <w:r w:rsidR="00E0219E">
        <w:rPr>
          <w:rFonts w:eastAsia="Arial" w:cs="Arial"/>
          <w:color w:val="000000"/>
          <w:szCs w:val="24"/>
        </w:rPr>
        <w:t xml:space="preserve"> positive association between wealth and blood </w:t>
      </w:r>
      <w:r w:rsidR="00E0219E">
        <w:rPr>
          <w:rFonts w:eastAsia="Arial" w:cs="Arial"/>
          <w:szCs w:val="24"/>
        </w:rPr>
        <w:t>pressure was noted</w:t>
      </w:r>
      <w:r w:rsidR="00E0219E">
        <w:rPr>
          <w:rFonts w:eastAsia="Arial" w:cs="Arial"/>
          <w:color w:val="000000"/>
          <w:szCs w:val="24"/>
        </w:rPr>
        <w:t xml:space="preserve"> (</w:t>
      </w:r>
      <w:r w:rsidR="00E0219E">
        <w:rPr>
          <w:rFonts w:eastAsia="Arial" w:cs="Arial"/>
          <w:szCs w:val="24"/>
          <w:highlight w:val="white"/>
        </w:rPr>
        <w:t>Matsuzaki, M., Sherr, K., Augusto, O., </w:t>
      </w:r>
      <w:r w:rsidR="00E0219E">
        <w:rPr>
          <w:rFonts w:eastAsia="Arial" w:cs="Arial"/>
          <w:i/>
          <w:szCs w:val="24"/>
          <w:highlight w:val="white"/>
        </w:rPr>
        <w:t>et al.</w:t>
      </w:r>
      <w:r w:rsidR="00E0219E">
        <w:rPr>
          <w:rFonts w:eastAsia="Arial" w:cs="Arial"/>
          <w:szCs w:val="24"/>
        </w:rPr>
        <w:t xml:space="preserve">, </w:t>
      </w:r>
      <w:r w:rsidR="00E0219E">
        <w:rPr>
          <w:rFonts w:eastAsia="Arial" w:cs="Arial"/>
          <w:color w:val="000000"/>
          <w:szCs w:val="24"/>
        </w:rPr>
        <w:t xml:space="preserve">2020). It was also reported that a 4.9% increase in global prevalence was noted, </w:t>
      </w:r>
      <w:r w:rsidR="00E0219E">
        <w:rPr>
          <w:rFonts w:eastAsia="Arial" w:cs="Arial"/>
          <w:szCs w:val="24"/>
        </w:rPr>
        <w:t>with</w:t>
      </w:r>
      <w:r w:rsidR="00E0219E">
        <w:rPr>
          <w:rFonts w:eastAsia="Arial" w:cs="Arial"/>
          <w:color w:val="000000"/>
          <w:szCs w:val="24"/>
        </w:rPr>
        <w:t xml:space="preserve"> a 5.3% decrease in high-income countries and an 8.1% increase in low- and middle-income countries between 2000 and 2010 (Mills, </w:t>
      </w:r>
      <w:r w:rsidR="00E0219E">
        <w:rPr>
          <w:rFonts w:eastAsia="Arial" w:cs="Arial"/>
          <w:szCs w:val="24"/>
        </w:rPr>
        <w:t>K.T.</w:t>
      </w:r>
      <w:r w:rsidR="00E0219E">
        <w:rPr>
          <w:rFonts w:eastAsia="Arial" w:cs="Arial"/>
          <w:color w:val="000000"/>
          <w:szCs w:val="24"/>
        </w:rPr>
        <w:t xml:space="preserve">, et </w:t>
      </w:r>
      <w:r w:rsidR="00E0219E">
        <w:rPr>
          <w:rFonts w:eastAsia="Arial" w:cs="Arial"/>
          <w:szCs w:val="24"/>
        </w:rPr>
        <w:t>al.</w:t>
      </w:r>
      <w:r w:rsidR="00E0219E">
        <w:rPr>
          <w:rFonts w:eastAsia="Arial" w:cs="Arial"/>
          <w:color w:val="000000"/>
          <w:szCs w:val="24"/>
        </w:rPr>
        <w:t>, 2016).</w:t>
      </w:r>
    </w:p>
    <w:p w14:paraId="2B60BD12" w14:textId="77777777" w:rsidR="008B7903" w:rsidRDefault="008B7903">
      <w:pPr>
        <w:rPr>
          <w:rFonts w:eastAsia="Arial" w:cs="Arial"/>
          <w:b/>
          <w:szCs w:val="24"/>
        </w:rPr>
      </w:pPr>
      <w:r>
        <w:rPr>
          <w:rFonts w:eastAsia="Arial" w:cs="Arial"/>
          <w:b/>
          <w:szCs w:val="24"/>
        </w:rPr>
        <w:br w:type="page"/>
      </w:r>
    </w:p>
    <w:p w14:paraId="02C5BC1D" w14:textId="5DCA0CFA" w:rsidR="007C6854" w:rsidRDefault="00E0219E">
      <w:pPr>
        <w:spacing w:after="160" w:line="360" w:lineRule="auto"/>
        <w:rPr>
          <w:rFonts w:eastAsia="Arial" w:cs="Arial"/>
          <w:b/>
          <w:szCs w:val="24"/>
        </w:rPr>
      </w:pPr>
      <w:r>
        <w:rPr>
          <w:rFonts w:eastAsia="Arial" w:cs="Arial"/>
          <w:b/>
          <w:szCs w:val="24"/>
        </w:rPr>
        <w:lastRenderedPageBreak/>
        <w:t>Table 1</w:t>
      </w:r>
    </w:p>
    <w:p w14:paraId="76CE5DC7" w14:textId="77777777" w:rsidR="007C6854" w:rsidRDefault="00E0219E">
      <w:pPr>
        <w:spacing w:after="160" w:line="360" w:lineRule="auto"/>
        <w:jc w:val="both"/>
        <w:rPr>
          <w:rFonts w:eastAsia="Arial" w:cs="Arial"/>
          <w:i/>
          <w:szCs w:val="24"/>
        </w:rPr>
      </w:pPr>
      <w:r>
        <w:rPr>
          <w:rFonts w:eastAsia="Arial" w:cs="Arial"/>
          <w:i/>
          <w:szCs w:val="24"/>
        </w:rPr>
        <w:t xml:space="preserve">Age-specific hypertension prevalence in high-income and low- and middle-income countries, 2010 </w:t>
      </w:r>
    </w:p>
    <w:tbl>
      <w:tblPr>
        <w:tblStyle w:val="afff1"/>
        <w:tblW w:w="8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1661"/>
        <w:gridCol w:w="1661"/>
        <w:gridCol w:w="1661"/>
        <w:gridCol w:w="1661"/>
      </w:tblGrid>
      <w:tr w:rsidR="007C6854" w14:paraId="2AE521FF" w14:textId="77777777" w:rsidTr="008B7903">
        <w:tc>
          <w:tcPr>
            <w:tcW w:w="1662" w:type="dxa"/>
            <w:vMerge w:val="restart"/>
            <w:tcBorders>
              <w:top w:val="single" w:sz="4" w:space="0" w:color="auto"/>
              <w:left w:val="nil"/>
              <w:bottom w:val="nil"/>
              <w:right w:val="nil"/>
            </w:tcBorders>
            <w:shd w:val="clear" w:color="auto" w:fill="auto"/>
            <w:vAlign w:val="center"/>
          </w:tcPr>
          <w:p w14:paraId="65F092CE" w14:textId="77777777" w:rsidR="007C6854" w:rsidRDefault="00E0219E" w:rsidP="00FF6BF7">
            <w:pPr>
              <w:widowControl w:val="0"/>
              <w:pBdr>
                <w:top w:val="nil"/>
                <w:left w:val="nil"/>
                <w:bottom w:val="nil"/>
                <w:right w:val="nil"/>
                <w:between w:val="nil"/>
              </w:pBdr>
              <w:rPr>
                <w:rFonts w:eastAsia="Arial" w:cs="Arial"/>
                <w:color w:val="000000"/>
                <w:szCs w:val="24"/>
              </w:rPr>
            </w:pPr>
            <w:r>
              <w:rPr>
                <w:rFonts w:eastAsia="Arial" w:cs="Arial"/>
                <w:color w:val="000000"/>
                <w:szCs w:val="24"/>
              </w:rPr>
              <w:t>Age Group</w:t>
            </w:r>
          </w:p>
        </w:tc>
        <w:tc>
          <w:tcPr>
            <w:tcW w:w="3322" w:type="dxa"/>
            <w:gridSpan w:val="2"/>
            <w:tcBorders>
              <w:top w:val="single" w:sz="4" w:space="0" w:color="auto"/>
              <w:left w:val="nil"/>
              <w:bottom w:val="nil"/>
              <w:right w:val="nil"/>
            </w:tcBorders>
            <w:shd w:val="clear" w:color="auto" w:fill="auto"/>
            <w:vAlign w:val="center"/>
          </w:tcPr>
          <w:p w14:paraId="593CCED0"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High-income</w:t>
            </w:r>
          </w:p>
        </w:tc>
        <w:tc>
          <w:tcPr>
            <w:tcW w:w="3322" w:type="dxa"/>
            <w:gridSpan w:val="2"/>
            <w:tcBorders>
              <w:top w:val="single" w:sz="4" w:space="0" w:color="auto"/>
              <w:left w:val="nil"/>
              <w:bottom w:val="nil"/>
              <w:right w:val="nil"/>
            </w:tcBorders>
            <w:shd w:val="clear" w:color="auto" w:fill="auto"/>
            <w:vAlign w:val="center"/>
          </w:tcPr>
          <w:p w14:paraId="0CD6E392"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Low- and Middle-income</w:t>
            </w:r>
          </w:p>
        </w:tc>
      </w:tr>
      <w:tr w:rsidR="007C6854" w14:paraId="60E40EC5" w14:textId="77777777" w:rsidTr="008B7903">
        <w:tc>
          <w:tcPr>
            <w:tcW w:w="1662" w:type="dxa"/>
            <w:vMerge/>
            <w:tcBorders>
              <w:top w:val="nil"/>
              <w:left w:val="nil"/>
              <w:bottom w:val="single" w:sz="4" w:space="0" w:color="auto"/>
              <w:right w:val="nil"/>
            </w:tcBorders>
            <w:shd w:val="clear" w:color="auto" w:fill="auto"/>
            <w:vAlign w:val="center"/>
          </w:tcPr>
          <w:p w14:paraId="3355F1D4" w14:textId="77777777" w:rsidR="007C6854" w:rsidRDefault="007C6854" w:rsidP="00FF6BF7">
            <w:pPr>
              <w:widowControl w:val="0"/>
              <w:pBdr>
                <w:top w:val="nil"/>
                <w:left w:val="nil"/>
                <w:bottom w:val="nil"/>
                <w:right w:val="nil"/>
                <w:between w:val="nil"/>
              </w:pBdr>
              <w:rPr>
                <w:rFonts w:eastAsia="Arial" w:cs="Arial"/>
                <w:color w:val="000000"/>
                <w:szCs w:val="24"/>
              </w:rPr>
            </w:pPr>
          </w:p>
        </w:tc>
        <w:tc>
          <w:tcPr>
            <w:tcW w:w="1661" w:type="dxa"/>
            <w:tcBorders>
              <w:top w:val="nil"/>
              <w:left w:val="nil"/>
              <w:bottom w:val="single" w:sz="4" w:space="0" w:color="auto"/>
              <w:right w:val="nil"/>
            </w:tcBorders>
            <w:shd w:val="clear" w:color="auto" w:fill="auto"/>
            <w:vAlign w:val="center"/>
          </w:tcPr>
          <w:p w14:paraId="032B22B8"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Male</w:t>
            </w:r>
          </w:p>
        </w:tc>
        <w:tc>
          <w:tcPr>
            <w:tcW w:w="1661" w:type="dxa"/>
            <w:tcBorders>
              <w:top w:val="nil"/>
              <w:left w:val="nil"/>
              <w:bottom w:val="single" w:sz="4" w:space="0" w:color="auto"/>
              <w:right w:val="nil"/>
            </w:tcBorders>
            <w:shd w:val="clear" w:color="auto" w:fill="auto"/>
            <w:vAlign w:val="center"/>
          </w:tcPr>
          <w:p w14:paraId="28DF9203"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Female</w:t>
            </w:r>
          </w:p>
        </w:tc>
        <w:tc>
          <w:tcPr>
            <w:tcW w:w="1661" w:type="dxa"/>
            <w:tcBorders>
              <w:top w:val="nil"/>
              <w:left w:val="nil"/>
              <w:bottom w:val="single" w:sz="4" w:space="0" w:color="auto"/>
              <w:right w:val="nil"/>
            </w:tcBorders>
            <w:shd w:val="clear" w:color="auto" w:fill="auto"/>
            <w:vAlign w:val="center"/>
          </w:tcPr>
          <w:p w14:paraId="23F1342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Male</w:t>
            </w:r>
          </w:p>
        </w:tc>
        <w:tc>
          <w:tcPr>
            <w:tcW w:w="1661" w:type="dxa"/>
            <w:tcBorders>
              <w:top w:val="nil"/>
              <w:left w:val="nil"/>
              <w:bottom w:val="single" w:sz="4" w:space="0" w:color="auto"/>
              <w:right w:val="nil"/>
            </w:tcBorders>
            <w:shd w:val="clear" w:color="auto" w:fill="auto"/>
            <w:vAlign w:val="center"/>
          </w:tcPr>
          <w:p w14:paraId="776B0D24"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Female</w:t>
            </w:r>
          </w:p>
        </w:tc>
      </w:tr>
      <w:tr w:rsidR="007C6854" w14:paraId="10551D4F" w14:textId="77777777" w:rsidTr="008B7903">
        <w:tc>
          <w:tcPr>
            <w:tcW w:w="1662" w:type="dxa"/>
            <w:tcBorders>
              <w:top w:val="single" w:sz="4" w:space="0" w:color="auto"/>
              <w:left w:val="nil"/>
              <w:bottom w:val="nil"/>
              <w:right w:val="nil"/>
            </w:tcBorders>
            <w:shd w:val="clear" w:color="auto" w:fill="auto"/>
            <w:vAlign w:val="center"/>
          </w:tcPr>
          <w:p w14:paraId="28177C9A"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20-29</w:t>
            </w:r>
          </w:p>
        </w:tc>
        <w:tc>
          <w:tcPr>
            <w:tcW w:w="1661" w:type="dxa"/>
            <w:tcBorders>
              <w:top w:val="single" w:sz="4" w:space="0" w:color="auto"/>
              <w:left w:val="nil"/>
              <w:bottom w:val="nil"/>
              <w:right w:val="nil"/>
            </w:tcBorders>
            <w:shd w:val="clear" w:color="auto" w:fill="auto"/>
            <w:vAlign w:val="center"/>
          </w:tcPr>
          <w:p w14:paraId="2813DC0A"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10.7</w:t>
            </w:r>
          </w:p>
        </w:tc>
        <w:tc>
          <w:tcPr>
            <w:tcW w:w="1661" w:type="dxa"/>
            <w:tcBorders>
              <w:top w:val="single" w:sz="4" w:space="0" w:color="auto"/>
              <w:left w:val="nil"/>
              <w:bottom w:val="nil"/>
              <w:right w:val="nil"/>
            </w:tcBorders>
            <w:shd w:val="clear" w:color="auto" w:fill="auto"/>
            <w:vAlign w:val="center"/>
          </w:tcPr>
          <w:p w14:paraId="1CED3909"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4.3</w:t>
            </w:r>
          </w:p>
        </w:tc>
        <w:tc>
          <w:tcPr>
            <w:tcW w:w="1661" w:type="dxa"/>
            <w:tcBorders>
              <w:top w:val="single" w:sz="4" w:space="0" w:color="auto"/>
              <w:left w:val="nil"/>
              <w:bottom w:val="nil"/>
              <w:right w:val="nil"/>
            </w:tcBorders>
            <w:shd w:val="clear" w:color="auto" w:fill="auto"/>
            <w:vAlign w:val="center"/>
          </w:tcPr>
          <w:p w14:paraId="53B1DA19"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15.2</w:t>
            </w:r>
          </w:p>
        </w:tc>
        <w:tc>
          <w:tcPr>
            <w:tcW w:w="1661" w:type="dxa"/>
            <w:tcBorders>
              <w:top w:val="single" w:sz="4" w:space="0" w:color="auto"/>
              <w:left w:val="nil"/>
              <w:bottom w:val="nil"/>
              <w:right w:val="nil"/>
            </w:tcBorders>
            <w:shd w:val="clear" w:color="auto" w:fill="auto"/>
            <w:vAlign w:val="center"/>
          </w:tcPr>
          <w:p w14:paraId="6908C407"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10.4</w:t>
            </w:r>
          </w:p>
        </w:tc>
      </w:tr>
      <w:tr w:rsidR="007C6854" w14:paraId="76AB4194" w14:textId="77777777" w:rsidTr="008B7903">
        <w:tc>
          <w:tcPr>
            <w:tcW w:w="1662" w:type="dxa"/>
            <w:tcBorders>
              <w:top w:val="nil"/>
              <w:left w:val="nil"/>
              <w:bottom w:val="nil"/>
              <w:right w:val="nil"/>
            </w:tcBorders>
            <w:shd w:val="clear" w:color="auto" w:fill="auto"/>
            <w:vAlign w:val="center"/>
          </w:tcPr>
          <w:p w14:paraId="2C520E3B"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30-39</w:t>
            </w:r>
          </w:p>
        </w:tc>
        <w:tc>
          <w:tcPr>
            <w:tcW w:w="1661" w:type="dxa"/>
            <w:tcBorders>
              <w:top w:val="nil"/>
              <w:left w:val="nil"/>
              <w:bottom w:val="nil"/>
              <w:right w:val="nil"/>
            </w:tcBorders>
            <w:shd w:val="clear" w:color="auto" w:fill="auto"/>
            <w:vAlign w:val="center"/>
          </w:tcPr>
          <w:p w14:paraId="62F8BF8E"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18.5</w:t>
            </w:r>
          </w:p>
        </w:tc>
        <w:tc>
          <w:tcPr>
            <w:tcW w:w="1661" w:type="dxa"/>
            <w:tcBorders>
              <w:top w:val="nil"/>
              <w:left w:val="nil"/>
              <w:bottom w:val="nil"/>
              <w:right w:val="nil"/>
            </w:tcBorders>
            <w:shd w:val="clear" w:color="auto" w:fill="auto"/>
            <w:vAlign w:val="center"/>
          </w:tcPr>
          <w:p w14:paraId="7BD9876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9.1</w:t>
            </w:r>
          </w:p>
        </w:tc>
        <w:tc>
          <w:tcPr>
            <w:tcW w:w="1661" w:type="dxa"/>
            <w:tcBorders>
              <w:top w:val="nil"/>
              <w:left w:val="nil"/>
              <w:bottom w:val="nil"/>
              <w:right w:val="nil"/>
            </w:tcBorders>
            <w:shd w:val="clear" w:color="auto" w:fill="auto"/>
            <w:vAlign w:val="center"/>
          </w:tcPr>
          <w:p w14:paraId="632D1618"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22.1</w:t>
            </w:r>
          </w:p>
        </w:tc>
        <w:tc>
          <w:tcPr>
            <w:tcW w:w="1661" w:type="dxa"/>
            <w:tcBorders>
              <w:top w:val="nil"/>
              <w:left w:val="nil"/>
              <w:bottom w:val="nil"/>
              <w:right w:val="nil"/>
            </w:tcBorders>
            <w:shd w:val="clear" w:color="auto" w:fill="auto"/>
            <w:vAlign w:val="center"/>
          </w:tcPr>
          <w:p w14:paraId="53B58B3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17.4</w:t>
            </w:r>
          </w:p>
        </w:tc>
      </w:tr>
      <w:tr w:rsidR="007C6854" w14:paraId="4C7EBA00" w14:textId="77777777" w:rsidTr="008B7903">
        <w:tc>
          <w:tcPr>
            <w:tcW w:w="1662" w:type="dxa"/>
            <w:tcBorders>
              <w:top w:val="nil"/>
              <w:left w:val="nil"/>
              <w:bottom w:val="nil"/>
              <w:right w:val="nil"/>
            </w:tcBorders>
            <w:shd w:val="clear" w:color="auto" w:fill="auto"/>
            <w:vAlign w:val="center"/>
          </w:tcPr>
          <w:p w14:paraId="22FFC13B"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40-49</w:t>
            </w:r>
          </w:p>
        </w:tc>
        <w:tc>
          <w:tcPr>
            <w:tcW w:w="1661" w:type="dxa"/>
            <w:tcBorders>
              <w:top w:val="nil"/>
              <w:left w:val="nil"/>
              <w:bottom w:val="nil"/>
              <w:right w:val="nil"/>
            </w:tcBorders>
            <w:shd w:val="clear" w:color="auto" w:fill="auto"/>
            <w:vAlign w:val="center"/>
          </w:tcPr>
          <w:p w14:paraId="48A4AEA7"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31.0</w:t>
            </w:r>
          </w:p>
        </w:tc>
        <w:tc>
          <w:tcPr>
            <w:tcW w:w="1661" w:type="dxa"/>
            <w:tcBorders>
              <w:top w:val="nil"/>
              <w:left w:val="nil"/>
              <w:bottom w:val="nil"/>
              <w:right w:val="nil"/>
            </w:tcBorders>
            <w:shd w:val="clear" w:color="auto" w:fill="auto"/>
            <w:vAlign w:val="center"/>
          </w:tcPr>
          <w:p w14:paraId="70CD1BAD"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22.0</w:t>
            </w:r>
          </w:p>
        </w:tc>
        <w:tc>
          <w:tcPr>
            <w:tcW w:w="1661" w:type="dxa"/>
            <w:tcBorders>
              <w:top w:val="nil"/>
              <w:left w:val="nil"/>
              <w:bottom w:val="nil"/>
              <w:right w:val="nil"/>
            </w:tcBorders>
            <w:shd w:val="clear" w:color="auto" w:fill="auto"/>
            <w:vAlign w:val="center"/>
          </w:tcPr>
          <w:p w14:paraId="07ABA1F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31.2</w:t>
            </w:r>
          </w:p>
        </w:tc>
        <w:tc>
          <w:tcPr>
            <w:tcW w:w="1661" w:type="dxa"/>
            <w:tcBorders>
              <w:top w:val="nil"/>
              <w:left w:val="nil"/>
              <w:bottom w:val="nil"/>
              <w:right w:val="nil"/>
            </w:tcBorders>
            <w:shd w:val="clear" w:color="auto" w:fill="auto"/>
            <w:vAlign w:val="center"/>
          </w:tcPr>
          <w:p w14:paraId="5E71BD79"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30.6</w:t>
            </w:r>
          </w:p>
        </w:tc>
      </w:tr>
      <w:tr w:rsidR="007C6854" w14:paraId="48034BF4" w14:textId="77777777" w:rsidTr="008B7903">
        <w:tc>
          <w:tcPr>
            <w:tcW w:w="1662" w:type="dxa"/>
            <w:tcBorders>
              <w:top w:val="nil"/>
              <w:left w:val="nil"/>
              <w:bottom w:val="nil"/>
              <w:right w:val="nil"/>
            </w:tcBorders>
            <w:shd w:val="clear" w:color="auto" w:fill="auto"/>
            <w:vAlign w:val="center"/>
          </w:tcPr>
          <w:p w14:paraId="34B2732F"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50-59</w:t>
            </w:r>
          </w:p>
        </w:tc>
        <w:tc>
          <w:tcPr>
            <w:tcW w:w="1661" w:type="dxa"/>
            <w:tcBorders>
              <w:top w:val="nil"/>
              <w:left w:val="nil"/>
              <w:bottom w:val="nil"/>
              <w:right w:val="nil"/>
            </w:tcBorders>
            <w:shd w:val="clear" w:color="auto" w:fill="auto"/>
            <w:vAlign w:val="center"/>
          </w:tcPr>
          <w:p w14:paraId="3CF99C1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48.5</w:t>
            </w:r>
          </w:p>
        </w:tc>
        <w:tc>
          <w:tcPr>
            <w:tcW w:w="1661" w:type="dxa"/>
            <w:tcBorders>
              <w:top w:val="nil"/>
              <w:left w:val="nil"/>
              <w:bottom w:val="nil"/>
              <w:right w:val="nil"/>
            </w:tcBorders>
            <w:shd w:val="clear" w:color="auto" w:fill="auto"/>
            <w:vAlign w:val="center"/>
          </w:tcPr>
          <w:p w14:paraId="4EE67CF8"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41.0</w:t>
            </w:r>
          </w:p>
        </w:tc>
        <w:tc>
          <w:tcPr>
            <w:tcW w:w="1661" w:type="dxa"/>
            <w:tcBorders>
              <w:top w:val="nil"/>
              <w:left w:val="nil"/>
              <w:bottom w:val="nil"/>
              <w:right w:val="nil"/>
            </w:tcBorders>
            <w:shd w:val="clear" w:color="auto" w:fill="auto"/>
            <w:vAlign w:val="center"/>
          </w:tcPr>
          <w:p w14:paraId="7B5502AB"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43.0</w:t>
            </w:r>
          </w:p>
        </w:tc>
        <w:tc>
          <w:tcPr>
            <w:tcW w:w="1661" w:type="dxa"/>
            <w:tcBorders>
              <w:top w:val="nil"/>
              <w:left w:val="nil"/>
              <w:bottom w:val="nil"/>
              <w:right w:val="nil"/>
            </w:tcBorders>
            <w:shd w:val="clear" w:color="auto" w:fill="auto"/>
            <w:vAlign w:val="center"/>
          </w:tcPr>
          <w:p w14:paraId="07544C64"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47.2</w:t>
            </w:r>
          </w:p>
        </w:tc>
      </w:tr>
      <w:tr w:rsidR="007C6854" w14:paraId="61EF2F9E" w14:textId="77777777" w:rsidTr="008B7903">
        <w:tc>
          <w:tcPr>
            <w:tcW w:w="1662" w:type="dxa"/>
            <w:tcBorders>
              <w:top w:val="nil"/>
              <w:left w:val="nil"/>
              <w:bottom w:val="nil"/>
              <w:right w:val="nil"/>
            </w:tcBorders>
            <w:shd w:val="clear" w:color="auto" w:fill="auto"/>
            <w:vAlign w:val="center"/>
          </w:tcPr>
          <w:p w14:paraId="4185AF40"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60-69</w:t>
            </w:r>
          </w:p>
        </w:tc>
        <w:tc>
          <w:tcPr>
            <w:tcW w:w="1661" w:type="dxa"/>
            <w:tcBorders>
              <w:top w:val="nil"/>
              <w:left w:val="nil"/>
              <w:bottom w:val="nil"/>
              <w:right w:val="nil"/>
            </w:tcBorders>
            <w:shd w:val="clear" w:color="auto" w:fill="auto"/>
            <w:vAlign w:val="center"/>
          </w:tcPr>
          <w:p w14:paraId="40A0FB66"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60.8</w:t>
            </w:r>
          </w:p>
        </w:tc>
        <w:tc>
          <w:tcPr>
            <w:tcW w:w="1661" w:type="dxa"/>
            <w:tcBorders>
              <w:top w:val="nil"/>
              <w:left w:val="nil"/>
              <w:bottom w:val="nil"/>
              <w:right w:val="nil"/>
            </w:tcBorders>
            <w:shd w:val="clear" w:color="auto" w:fill="auto"/>
            <w:vAlign w:val="center"/>
          </w:tcPr>
          <w:p w14:paraId="7AD94707"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60.9</w:t>
            </w:r>
          </w:p>
        </w:tc>
        <w:tc>
          <w:tcPr>
            <w:tcW w:w="1661" w:type="dxa"/>
            <w:tcBorders>
              <w:top w:val="nil"/>
              <w:left w:val="nil"/>
              <w:bottom w:val="nil"/>
              <w:right w:val="nil"/>
            </w:tcBorders>
            <w:shd w:val="clear" w:color="auto" w:fill="auto"/>
            <w:vAlign w:val="center"/>
          </w:tcPr>
          <w:p w14:paraId="7C86C29D"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55.3</w:t>
            </w:r>
          </w:p>
        </w:tc>
        <w:tc>
          <w:tcPr>
            <w:tcW w:w="1661" w:type="dxa"/>
            <w:tcBorders>
              <w:top w:val="nil"/>
              <w:left w:val="nil"/>
              <w:bottom w:val="nil"/>
              <w:right w:val="nil"/>
            </w:tcBorders>
            <w:shd w:val="clear" w:color="auto" w:fill="auto"/>
            <w:vAlign w:val="center"/>
          </w:tcPr>
          <w:p w14:paraId="58E4F09A"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61.9</w:t>
            </w:r>
          </w:p>
        </w:tc>
      </w:tr>
      <w:tr w:rsidR="007C6854" w14:paraId="73A4B96A" w14:textId="77777777" w:rsidTr="008B7903">
        <w:tc>
          <w:tcPr>
            <w:tcW w:w="1662" w:type="dxa"/>
            <w:tcBorders>
              <w:top w:val="nil"/>
              <w:left w:val="nil"/>
              <w:bottom w:val="single" w:sz="4" w:space="0" w:color="auto"/>
              <w:right w:val="nil"/>
            </w:tcBorders>
            <w:shd w:val="clear" w:color="auto" w:fill="auto"/>
            <w:vAlign w:val="center"/>
          </w:tcPr>
          <w:p w14:paraId="30029AEA" w14:textId="77777777" w:rsidR="007C6854" w:rsidRDefault="00000000" w:rsidP="00FF6BF7">
            <w:pPr>
              <w:pBdr>
                <w:top w:val="nil"/>
                <w:left w:val="nil"/>
                <w:bottom w:val="nil"/>
                <w:right w:val="nil"/>
                <w:between w:val="nil"/>
              </w:pBdr>
              <w:spacing w:after="160"/>
              <w:rPr>
                <w:rFonts w:eastAsia="Arial" w:cs="Arial"/>
                <w:color w:val="000000"/>
                <w:szCs w:val="24"/>
              </w:rPr>
            </w:pPr>
            <w:sdt>
              <w:sdtPr>
                <w:tag w:val="goog_rdk_8"/>
                <w:id w:val="-225607944"/>
              </w:sdtPr>
              <w:sdtContent>
                <w:r w:rsidR="00E0219E">
                  <w:rPr>
                    <w:rFonts w:ascii="Arial Unicode MS" w:eastAsia="Arial Unicode MS" w:hAnsi="Arial Unicode MS" w:cs="Arial Unicode MS"/>
                    <w:color w:val="000000"/>
                    <w:szCs w:val="24"/>
                  </w:rPr>
                  <w:t>≥ 70</w:t>
                </w:r>
              </w:sdtContent>
            </w:sdt>
          </w:p>
        </w:tc>
        <w:tc>
          <w:tcPr>
            <w:tcW w:w="1661" w:type="dxa"/>
            <w:tcBorders>
              <w:top w:val="nil"/>
              <w:left w:val="nil"/>
              <w:bottom w:val="single" w:sz="4" w:space="0" w:color="auto"/>
              <w:right w:val="nil"/>
            </w:tcBorders>
            <w:shd w:val="clear" w:color="auto" w:fill="auto"/>
            <w:vAlign w:val="center"/>
          </w:tcPr>
          <w:p w14:paraId="6EFDC6AA"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73.6</w:t>
            </w:r>
          </w:p>
        </w:tc>
        <w:tc>
          <w:tcPr>
            <w:tcW w:w="1661" w:type="dxa"/>
            <w:tcBorders>
              <w:top w:val="nil"/>
              <w:left w:val="nil"/>
              <w:bottom w:val="single" w:sz="4" w:space="0" w:color="auto"/>
              <w:right w:val="nil"/>
            </w:tcBorders>
            <w:shd w:val="clear" w:color="auto" w:fill="auto"/>
            <w:vAlign w:val="center"/>
          </w:tcPr>
          <w:p w14:paraId="18BB68C9"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77.5</w:t>
            </w:r>
          </w:p>
        </w:tc>
        <w:tc>
          <w:tcPr>
            <w:tcW w:w="1661" w:type="dxa"/>
            <w:tcBorders>
              <w:top w:val="nil"/>
              <w:left w:val="nil"/>
              <w:bottom w:val="single" w:sz="4" w:space="0" w:color="auto"/>
              <w:right w:val="nil"/>
            </w:tcBorders>
            <w:shd w:val="clear" w:color="auto" w:fill="auto"/>
            <w:vAlign w:val="center"/>
          </w:tcPr>
          <w:p w14:paraId="68AFB8C4"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65.6</w:t>
            </w:r>
          </w:p>
        </w:tc>
        <w:tc>
          <w:tcPr>
            <w:tcW w:w="1661" w:type="dxa"/>
            <w:tcBorders>
              <w:top w:val="nil"/>
              <w:left w:val="nil"/>
              <w:bottom w:val="single" w:sz="4" w:space="0" w:color="auto"/>
              <w:right w:val="nil"/>
            </w:tcBorders>
            <w:shd w:val="clear" w:color="auto" w:fill="auto"/>
            <w:vAlign w:val="center"/>
          </w:tcPr>
          <w:p w14:paraId="38501790"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74.7</w:t>
            </w:r>
          </w:p>
        </w:tc>
      </w:tr>
      <w:tr w:rsidR="007C6854" w14:paraId="7897BC9D" w14:textId="77777777" w:rsidTr="008B7903">
        <w:tc>
          <w:tcPr>
            <w:tcW w:w="1662" w:type="dxa"/>
            <w:tcBorders>
              <w:top w:val="single" w:sz="4" w:space="0" w:color="auto"/>
              <w:left w:val="nil"/>
              <w:bottom w:val="single" w:sz="4" w:space="0" w:color="auto"/>
              <w:right w:val="nil"/>
            </w:tcBorders>
            <w:shd w:val="clear" w:color="auto" w:fill="auto"/>
            <w:vAlign w:val="center"/>
          </w:tcPr>
          <w:p w14:paraId="116A0A00" w14:textId="77777777" w:rsidR="007C6854" w:rsidRDefault="00E0219E" w:rsidP="00FF6BF7">
            <w:pPr>
              <w:pBdr>
                <w:top w:val="nil"/>
                <w:left w:val="nil"/>
                <w:bottom w:val="nil"/>
                <w:right w:val="nil"/>
                <w:between w:val="nil"/>
              </w:pBdr>
              <w:spacing w:after="160"/>
              <w:rPr>
                <w:rFonts w:eastAsia="Arial" w:cs="Arial"/>
                <w:color w:val="000000"/>
                <w:szCs w:val="24"/>
              </w:rPr>
            </w:pPr>
            <w:r>
              <w:rPr>
                <w:rFonts w:eastAsia="Arial" w:cs="Arial"/>
                <w:color w:val="000000"/>
                <w:szCs w:val="24"/>
              </w:rPr>
              <w:t>Over-all</w:t>
            </w:r>
          </w:p>
        </w:tc>
        <w:tc>
          <w:tcPr>
            <w:tcW w:w="1661" w:type="dxa"/>
            <w:tcBorders>
              <w:top w:val="single" w:sz="4" w:space="0" w:color="auto"/>
              <w:left w:val="nil"/>
              <w:bottom w:val="single" w:sz="4" w:space="0" w:color="auto"/>
              <w:right w:val="nil"/>
            </w:tcBorders>
            <w:shd w:val="clear" w:color="auto" w:fill="auto"/>
            <w:vAlign w:val="center"/>
          </w:tcPr>
          <w:p w14:paraId="2C0E6A75"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31.6</w:t>
            </w:r>
          </w:p>
        </w:tc>
        <w:tc>
          <w:tcPr>
            <w:tcW w:w="1661" w:type="dxa"/>
            <w:tcBorders>
              <w:top w:val="single" w:sz="4" w:space="0" w:color="auto"/>
              <w:left w:val="nil"/>
              <w:bottom w:val="single" w:sz="4" w:space="0" w:color="auto"/>
              <w:right w:val="nil"/>
            </w:tcBorders>
            <w:shd w:val="clear" w:color="auto" w:fill="auto"/>
            <w:vAlign w:val="center"/>
          </w:tcPr>
          <w:p w14:paraId="4016D6C8"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25.3</w:t>
            </w:r>
          </w:p>
        </w:tc>
        <w:tc>
          <w:tcPr>
            <w:tcW w:w="1661" w:type="dxa"/>
            <w:tcBorders>
              <w:top w:val="single" w:sz="4" w:space="0" w:color="auto"/>
              <w:left w:val="nil"/>
              <w:bottom w:val="single" w:sz="4" w:space="0" w:color="auto"/>
              <w:right w:val="nil"/>
            </w:tcBorders>
            <w:shd w:val="clear" w:color="auto" w:fill="auto"/>
            <w:vAlign w:val="center"/>
          </w:tcPr>
          <w:p w14:paraId="473A8D0C"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31.7</w:t>
            </w:r>
          </w:p>
        </w:tc>
        <w:tc>
          <w:tcPr>
            <w:tcW w:w="1661" w:type="dxa"/>
            <w:tcBorders>
              <w:top w:val="single" w:sz="4" w:space="0" w:color="auto"/>
              <w:left w:val="nil"/>
              <w:bottom w:val="single" w:sz="4" w:space="0" w:color="auto"/>
              <w:right w:val="nil"/>
            </w:tcBorders>
            <w:shd w:val="clear" w:color="auto" w:fill="auto"/>
            <w:vAlign w:val="center"/>
          </w:tcPr>
          <w:p w14:paraId="2C41EFC2" w14:textId="77777777" w:rsidR="007C6854" w:rsidRDefault="00E0219E" w:rsidP="00FF6BF7">
            <w:pPr>
              <w:pBdr>
                <w:top w:val="nil"/>
                <w:left w:val="nil"/>
                <w:bottom w:val="nil"/>
                <w:right w:val="nil"/>
                <w:between w:val="nil"/>
              </w:pBdr>
              <w:spacing w:after="160"/>
              <w:jc w:val="center"/>
              <w:rPr>
                <w:rFonts w:eastAsia="Arial" w:cs="Arial"/>
                <w:color w:val="000000"/>
                <w:szCs w:val="24"/>
              </w:rPr>
            </w:pPr>
            <w:r>
              <w:rPr>
                <w:rFonts w:eastAsia="Arial" w:cs="Arial"/>
                <w:color w:val="000000"/>
                <w:szCs w:val="24"/>
              </w:rPr>
              <w:t>31.2</w:t>
            </w:r>
          </w:p>
        </w:tc>
      </w:tr>
    </w:tbl>
    <w:p w14:paraId="3AC28132" w14:textId="063C8DF0" w:rsidR="007C6854" w:rsidRPr="00FF6BF7" w:rsidRDefault="00FF6BF7" w:rsidP="00C774CE">
      <w:pPr>
        <w:spacing w:after="0" w:line="480" w:lineRule="auto"/>
        <w:rPr>
          <w:rFonts w:eastAsia="Arial" w:cs="Arial"/>
          <w:szCs w:val="24"/>
        </w:rPr>
      </w:pPr>
      <w:r>
        <w:rPr>
          <w:rFonts w:eastAsia="Arial" w:cs="Arial"/>
          <w:szCs w:val="24"/>
        </w:rPr>
        <w:br/>
      </w:r>
      <w:r w:rsidR="008B7903" w:rsidRPr="008B7903">
        <w:rPr>
          <w:rFonts w:eastAsia="Arial" w:cs="Arial"/>
          <w:i/>
          <w:iCs/>
          <w:color w:val="000000"/>
          <w:szCs w:val="24"/>
        </w:rPr>
        <w:t>Source: Mills, K.T., et al., 2016</w:t>
      </w:r>
      <w:r w:rsidR="008B7903">
        <w:rPr>
          <w:rFonts w:eastAsia="Arial" w:cs="Arial"/>
          <w:color w:val="000000"/>
          <w:szCs w:val="24"/>
        </w:rPr>
        <w:br/>
      </w:r>
      <w:r w:rsidR="008B7903">
        <w:br/>
      </w:r>
      <w:r w:rsidR="008B7903">
        <w:tab/>
      </w:r>
      <w:r w:rsidR="00E0219E" w:rsidRPr="008B7903">
        <w:t>In the Philippines, the mortality rate due to hypertensive diseases (including primary or essential hypertension and secondary hypertension) was 32.3/100,000 in 2016, compared to the cerebrovascular disease rate of 54.9/100,000 in the population (PHS, 2016, p. 105). The World Health Organization (2014) reported that the country's prevalence of raised blood pressure was 22.6%. According to the Food Nutrition Research Institute (FNRI), national prevalence increased from 22.3% in 2013 to 23.9% in 2015 (National Nutrition Council [NNC], May 22</w:t>
      </w:r>
      <w:r w:rsidR="00E0219E">
        <w:rPr>
          <w:rFonts w:eastAsia="Arial" w:cs="Arial"/>
          <w:szCs w:val="24"/>
        </w:rPr>
        <w:t xml:space="preserve">, </w:t>
      </w:r>
      <w:r w:rsidR="00E0219E">
        <w:rPr>
          <w:rFonts w:eastAsia="Arial" w:cs="Arial"/>
          <w:color w:val="000000"/>
          <w:szCs w:val="24"/>
        </w:rPr>
        <w:t>2018). While the Expanded National Nutrition</w:t>
      </w:r>
      <w:r w:rsidR="00E0219E">
        <w:rPr>
          <w:rFonts w:eastAsia="Arial" w:cs="Arial"/>
          <w:szCs w:val="24"/>
        </w:rPr>
        <w:t xml:space="preserve"> </w:t>
      </w:r>
      <w:r w:rsidR="00E0219E">
        <w:rPr>
          <w:rFonts w:eastAsia="Arial" w:cs="Arial"/>
          <w:color w:val="000000"/>
          <w:szCs w:val="24"/>
        </w:rPr>
        <w:t xml:space="preserve">Survey showed a decrease in raised blood pressure among adults 20 years old and </w:t>
      </w:r>
      <w:r w:rsidR="00E0219E">
        <w:rPr>
          <w:rFonts w:eastAsia="Arial" w:cs="Arial"/>
          <w:szCs w:val="24"/>
        </w:rPr>
        <w:t>older</w:t>
      </w:r>
      <w:r w:rsidR="00E0219E">
        <w:rPr>
          <w:rFonts w:eastAsia="Arial" w:cs="Arial"/>
          <w:color w:val="000000"/>
          <w:szCs w:val="24"/>
        </w:rPr>
        <w:t xml:space="preserve"> to about 19.2% from 23.9% in 2015 (FNRI, </w:t>
      </w:r>
      <w:r w:rsidR="00E0219E">
        <w:rPr>
          <w:rFonts w:eastAsia="Arial" w:cs="Arial"/>
          <w:color w:val="000000"/>
          <w:szCs w:val="24"/>
        </w:rPr>
        <w:lastRenderedPageBreak/>
        <w:t>2018)</w:t>
      </w:r>
      <w:r w:rsidR="00E0219E">
        <w:rPr>
          <w:rFonts w:eastAsia="Arial" w:cs="Arial"/>
          <w:szCs w:val="24"/>
        </w:rPr>
        <w:t>,</w:t>
      </w:r>
      <w:r w:rsidR="00E0219E">
        <w:rPr>
          <w:rFonts w:eastAsia="Arial" w:cs="Arial"/>
          <w:color w:val="000000"/>
          <w:szCs w:val="24"/>
        </w:rPr>
        <w:t xml:space="preserve"> raised blood</w:t>
      </w:r>
      <w:r w:rsidR="00E0219E">
        <w:rPr>
          <w:rFonts w:eastAsia="Arial" w:cs="Arial"/>
          <w:szCs w:val="24"/>
        </w:rPr>
        <w:t xml:space="preserve"> pressure was still high among 50–59-year-olds (30%) in 2018, compared to 36.3% in 2015</w:t>
      </w:r>
      <w:r w:rsidR="00E0219E">
        <w:rPr>
          <w:rFonts w:eastAsia="Arial" w:cs="Arial"/>
          <w:color w:val="000000"/>
          <w:szCs w:val="24"/>
        </w:rPr>
        <w:t xml:space="preserve"> (FNRI, 2018). In the same study (FNRI, 2018), elevated blood pressure among the elderly was 35% in 2018 compared to 41.2% in 2015. The </w:t>
      </w:r>
      <w:r w:rsidR="00E0219E">
        <w:rPr>
          <w:rFonts w:eastAsia="Arial" w:cs="Arial"/>
          <w:szCs w:val="24"/>
        </w:rPr>
        <w:t>study was</w:t>
      </w:r>
      <w:r w:rsidR="00E0219E">
        <w:rPr>
          <w:rFonts w:eastAsia="Arial" w:cs="Arial"/>
          <w:color w:val="000000"/>
          <w:szCs w:val="24"/>
        </w:rPr>
        <w:t xml:space="preserve"> conducted by Reyes-Gibby, C.C. &amp; Aday, L.A. (2000) </w:t>
      </w:r>
      <w:r w:rsidR="00E0219E">
        <w:rPr>
          <w:rFonts w:eastAsia="Arial" w:cs="Arial"/>
          <w:szCs w:val="24"/>
        </w:rPr>
        <w:t>revealed that</w:t>
      </w:r>
      <w:r w:rsidR="00E0219E">
        <w:rPr>
          <w:rFonts w:eastAsia="Arial" w:cs="Arial"/>
          <w:color w:val="000000"/>
          <w:szCs w:val="24"/>
        </w:rPr>
        <w:t xml:space="preserve"> hypertension prevalence among </w:t>
      </w:r>
      <w:r w:rsidR="00E0219E">
        <w:rPr>
          <w:rFonts w:eastAsia="Arial" w:cs="Arial"/>
          <w:szCs w:val="24"/>
        </w:rPr>
        <w:t>30-year-olds</w:t>
      </w:r>
      <w:r w:rsidR="00E0219E">
        <w:rPr>
          <w:rFonts w:eastAsia="Arial" w:cs="Arial"/>
          <w:color w:val="000000"/>
          <w:szCs w:val="24"/>
        </w:rPr>
        <w:t xml:space="preserve"> and older rural residents in Nueva Ecija </w:t>
      </w:r>
      <w:r w:rsidR="00E0219E">
        <w:rPr>
          <w:rFonts w:eastAsia="Arial" w:cs="Arial"/>
          <w:szCs w:val="24"/>
        </w:rPr>
        <w:t>was</w:t>
      </w:r>
      <w:r w:rsidR="00E0219E">
        <w:rPr>
          <w:rFonts w:eastAsia="Arial" w:cs="Arial"/>
          <w:color w:val="000000"/>
          <w:szCs w:val="24"/>
        </w:rPr>
        <w:t xml:space="preserve"> 23%. The study by Sison, </w:t>
      </w:r>
      <w:r w:rsidR="00E0219E">
        <w:rPr>
          <w:rFonts w:eastAsia="Arial" w:cs="Arial"/>
          <w:szCs w:val="24"/>
        </w:rPr>
        <w:t>O. et al.</w:t>
      </w:r>
      <w:r w:rsidR="00E0219E">
        <w:rPr>
          <w:rFonts w:eastAsia="Arial" w:cs="Arial"/>
          <w:color w:val="000000"/>
          <w:szCs w:val="24"/>
        </w:rPr>
        <w:t xml:space="preserve"> (2019) resulted in a </w:t>
      </w:r>
      <w:r w:rsidR="00E0219E">
        <w:rPr>
          <w:rFonts w:eastAsia="Arial" w:cs="Arial"/>
          <w:szCs w:val="24"/>
        </w:rPr>
        <w:t>32.4% overall</w:t>
      </w:r>
      <w:r w:rsidR="00E0219E">
        <w:rPr>
          <w:rFonts w:eastAsia="Arial" w:cs="Arial"/>
          <w:color w:val="000000"/>
          <w:szCs w:val="24"/>
        </w:rPr>
        <w:t xml:space="preserve"> prevalence of hypertension among community health workers in selected villages in the Philippines. </w:t>
      </w:r>
      <w:r w:rsidR="008B7903">
        <w:rPr>
          <w:rFonts w:eastAsia="Arial" w:cs="Arial"/>
          <w:color w:val="000000"/>
          <w:szCs w:val="24"/>
        </w:rPr>
        <w:br/>
      </w:r>
      <w:r w:rsidR="008B7903">
        <w:rPr>
          <w:rFonts w:eastAsia="Arial" w:cs="Arial"/>
          <w:color w:val="000000"/>
          <w:szCs w:val="24"/>
        </w:rPr>
        <w:tab/>
      </w:r>
      <w:r w:rsidR="00E0219E">
        <w:rPr>
          <w:rFonts w:eastAsia="Arial" w:cs="Arial"/>
          <w:color w:val="000000"/>
          <w:szCs w:val="24"/>
        </w:rPr>
        <w:t xml:space="preserve">Compared to the national death rate due to heart disease, </w:t>
      </w:r>
      <w:r w:rsidR="00E0219E">
        <w:rPr>
          <w:rFonts w:eastAsia="Arial" w:cs="Arial"/>
          <w:szCs w:val="24"/>
        </w:rPr>
        <w:t>the National</w:t>
      </w:r>
      <w:r w:rsidR="00E0219E">
        <w:rPr>
          <w:rFonts w:eastAsia="Arial" w:cs="Arial"/>
          <w:color w:val="000000"/>
          <w:szCs w:val="24"/>
        </w:rPr>
        <w:t xml:space="preserve"> Capital Region (NCR) rate was </w:t>
      </w:r>
      <w:r w:rsidR="00E0219E">
        <w:rPr>
          <w:rFonts w:eastAsia="Arial" w:cs="Arial"/>
          <w:szCs w:val="24"/>
        </w:rPr>
        <w:t>155.3 per 100,000</w:t>
      </w:r>
      <w:r w:rsidR="00E0219E">
        <w:rPr>
          <w:rFonts w:eastAsia="Arial" w:cs="Arial"/>
          <w:color w:val="000000"/>
          <w:szCs w:val="24"/>
        </w:rPr>
        <w:t xml:space="preserve"> population. NCR </w:t>
      </w:r>
      <w:r w:rsidR="00E0219E">
        <w:rPr>
          <w:rFonts w:eastAsia="Arial" w:cs="Arial"/>
          <w:szCs w:val="24"/>
        </w:rPr>
        <w:t>was among</w:t>
      </w:r>
      <w:r w:rsidR="00E0219E">
        <w:rPr>
          <w:rFonts w:eastAsia="Arial" w:cs="Arial"/>
          <w:color w:val="000000"/>
          <w:szCs w:val="24"/>
        </w:rPr>
        <w:t xml:space="preserve"> the top three regions in the country with a high death rate due to diseases of the heart (PHS, 2016, pp. </w:t>
      </w:r>
      <w:r w:rsidR="00E0219E">
        <w:rPr>
          <w:rFonts w:eastAsia="Arial" w:cs="Arial"/>
          <w:szCs w:val="24"/>
        </w:rPr>
        <w:t>161–166</w:t>
      </w:r>
      <w:r w:rsidR="00E0219E">
        <w:rPr>
          <w:rFonts w:eastAsia="Arial" w:cs="Arial"/>
          <w:color w:val="000000"/>
          <w:szCs w:val="24"/>
        </w:rPr>
        <w:t xml:space="preserve">). Meanwhile, the Municipality of Pateros was </w:t>
      </w:r>
      <w:r w:rsidR="00E0219E">
        <w:rPr>
          <w:rFonts w:eastAsia="Arial" w:cs="Arial"/>
          <w:szCs w:val="24"/>
        </w:rPr>
        <w:t>in</w:t>
      </w:r>
      <w:r w:rsidR="00E0219E">
        <w:rPr>
          <w:rFonts w:eastAsia="Arial" w:cs="Arial"/>
          <w:color w:val="000000"/>
          <w:szCs w:val="24"/>
        </w:rPr>
        <w:t xml:space="preserve"> the top six among the cities and </w:t>
      </w:r>
      <w:r w:rsidR="00E0219E">
        <w:rPr>
          <w:rFonts w:eastAsia="Arial" w:cs="Arial"/>
          <w:szCs w:val="24"/>
        </w:rPr>
        <w:t>was the only</w:t>
      </w:r>
      <w:r w:rsidR="00E0219E">
        <w:rPr>
          <w:rFonts w:eastAsia="Arial" w:cs="Arial"/>
          <w:color w:val="000000"/>
          <w:szCs w:val="24"/>
        </w:rPr>
        <w:t xml:space="preserve"> municipality in the NCR, with a rate of </w:t>
      </w:r>
      <w:r w:rsidR="00E0219E">
        <w:rPr>
          <w:rFonts w:eastAsia="Arial" w:cs="Arial"/>
          <w:szCs w:val="24"/>
        </w:rPr>
        <w:t>187.9 per 100,000</w:t>
      </w:r>
      <w:r w:rsidR="00E0219E">
        <w:rPr>
          <w:rFonts w:eastAsia="Arial" w:cs="Arial"/>
          <w:color w:val="000000"/>
          <w:szCs w:val="24"/>
        </w:rPr>
        <w:t xml:space="preserve"> population. Table 2 shows that the Municipality of Pateros reported increased hypertension cases seen at the primary health facilities from 2015 to 2018 (PHD, 2018).</w:t>
      </w:r>
    </w:p>
    <w:p w14:paraId="1829A718" w14:textId="77777777" w:rsidR="00FF6BF7" w:rsidRDefault="00FF6BF7">
      <w:pPr>
        <w:rPr>
          <w:rFonts w:eastAsia="Arial" w:cs="Arial"/>
          <w:b/>
          <w:szCs w:val="24"/>
        </w:rPr>
      </w:pPr>
      <w:r>
        <w:rPr>
          <w:rFonts w:eastAsia="Arial" w:cs="Arial"/>
          <w:b/>
          <w:szCs w:val="24"/>
        </w:rPr>
        <w:br w:type="page"/>
      </w:r>
    </w:p>
    <w:p w14:paraId="52E330A8" w14:textId="5B0634EF" w:rsidR="007C6854" w:rsidRDefault="00E0219E">
      <w:pPr>
        <w:spacing w:before="200" w:after="0" w:line="360" w:lineRule="auto"/>
        <w:rPr>
          <w:rFonts w:eastAsia="Arial" w:cs="Arial"/>
          <w:b/>
          <w:szCs w:val="24"/>
        </w:rPr>
      </w:pPr>
      <w:r>
        <w:rPr>
          <w:rFonts w:eastAsia="Arial" w:cs="Arial"/>
          <w:b/>
          <w:szCs w:val="24"/>
        </w:rPr>
        <w:lastRenderedPageBreak/>
        <w:t>Table 2</w:t>
      </w:r>
    </w:p>
    <w:p w14:paraId="70CE8089" w14:textId="77777777" w:rsidR="007C6854" w:rsidRDefault="00E0219E">
      <w:pPr>
        <w:spacing w:before="200" w:after="0" w:line="480" w:lineRule="auto"/>
        <w:jc w:val="both"/>
        <w:rPr>
          <w:rFonts w:eastAsia="Arial" w:cs="Arial"/>
          <w:i/>
          <w:szCs w:val="24"/>
        </w:rPr>
      </w:pPr>
      <w:r>
        <w:rPr>
          <w:rFonts w:eastAsia="Arial" w:cs="Arial"/>
          <w:i/>
          <w:szCs w:val="24"/>
        </w:rPr>
        <w:t>Hypertension Cases Seen at the Primary Health Facilities, Pateros, 2015-2018</w:t>
      </w:r>
    </w:p>
    <w:tbl>
      <w:tblPr>
        <w:tblStyle w:val="afff2"/>
        <w:tblW w:w="9052" w:type="dxa"/>
        <w:jc w:val="center"/>
        <w:tblLayout w:type="fixed"/>
        <w:tblLook w:val="0600" w:firstRow="0" w:lastRow="0" w:firstColumn="0" w:lastColumn="0" w:noHBand="1" w:noVBand="1"/>
      </w:tblPr>
      <w:tblGrid>
        <w:gridCol w:w="2752"/>
        <w:gridCol w:w="1575"/>
        <w:gridCol w:w="1575"/>
        <w:gridCol w:w="1575"/>
        <w:gridCol w:w="1575"/>
      </w:tblGrid>
      <w:tr w:rsidR="007C6854" w14:paraId="4F1232F8" w14:textId="77777777" w:rsidTr="00FF6BF7">
        <w:trPr>
          <w:jc w:val="center"/>
        </w:trPr>
        <w:tc>
          <w:tcPr>
            <w:tcW w:w="275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3D25EA00"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Health Center (HC)</w:t>
            </w:r>
          </w:p>
        </w:tc>
        <w:tc>
          <w:tcPr>
            <w:tcW w:w="157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28EE0EE"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2018</w:t>
            </w:r>
          </w:p>
        </w:tc>
        <w:tc>
          <w:tcPr>
            <w:tcW w:w="157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E580FFB"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2017</w:t>
            </w:r>
          </w:p>
        </w:tc>
        <w:tc>
          <w:tcPr>
            <w:tcW w:w="157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36A0466"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2016</w:t>
            </w:r>
          </w:p>
        </w:tc>
        <w:tc>
          <w:tcPr>
            <w:tcW w:w="157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5378C67"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2015</w:t>
            </w:r>
          </w:p>
        </w:tc>
      </w:tr>
      <w:tr w:rsidR="007C6854" w14:paraId="11FDA7F6" w14:textId="77777777" w:rsidTr="00FF6BF7">
        <w:trPr>
          <w:jc w:val="center"/>
        </w:trPr>
        <w:tc>
          <w:tcPr>
            <w:tcW w:w="2752" w:type="dxa"/>
            <w:tcBorders>
              <w:top w:val="single" w:sz="4" w:space="0" w:color="auto"/>
            </w:tcBorders>
            <w:shd w:val="clear" w:color="auto" w:fill="auto"/>
            <w:tcMar>
              <w:top w:w="100" w:type="dxa"/>
              <w:left w:w="100" w:type="dxa"/>
              <w:bottom w:w="100" w:type="dxa"/>
              <w:right w:w="100" w:type="dxa"/>
            </w:tcMar>
            <w:vAlign w:val="center"/>
          </w:tcPr>
          <w:p w14:paraId="083A2EFC"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Juan R. Sanchez HC (Santa Ana)</w:t>
            </w:r>
          </w:p>
        </w:tc>
        <w:tc>
          <w:tcPr>
            <w:tcW w:w="1575" w:type="dxa"/>
            <w:tcBorders>
              <w:top w:val="single" w:sz="4" w:space="0" w:color="auto"/>
            </w:tcBorders>
            <w:shd w:val="clear" w:color="auto" w:fill="auto"/>
            <w:tcMar>
              <w:top w:w="100" w:type="dxa"/>
              <w:left w:w="100" w:type="dxa"/>
              <w:bottom w:w="100" w:type="dxa"/>
              <w:right w:w="100" w:type="dxa"/>
            </w:tcMar>
            <w:vAlign w:val="center"/>
          </w:tcPr>
          <w:p w14:paraId="3B2939B0"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43</w:t>
            </w:r>
          </w:p>
        </w:tc>
        <w:tc>
          <w:tcPr>
            <w:tcW w:w="1575" w:type="dxa"/>
            <w:tcBorders>
              <w:top w:val="single" w:sz="4" w:space="0" w:color="auto"/>
            </w:tcBorders>
            <w:shd w:val="clear" w:color="auto" w:fill="auto"/>
            <w:tcMar>
              <w:top w:w="100" w:type="dxa"/>
              <w:left w:w="100" w:type="dxa"/>
              <w:bottom w:w="100" w:type="dxa"/>
              <w:right w:w="100" w:type="dxa"/>
            </w:tcMar>
            <w:vAlign w:val="center"/>
          </w:tcPr>
          <w:p w14:paraId="3796DAFF"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31</w:t>
            </w:r>
          </w:p>
        </w:tc>
        <w:tc>
          <w:tcPr>
            <w:tcW w:w="1575" w:type="dxa"/>
            <w:tcBorders>
              <w:top w:val="single" w:sz="4" w:space="0" w:color="auto"/>
            </w:tcBorders>
            <w:shd w:val="clear" w:color="auto" w:fill="auto"/>
            <w:tcMar>
              <w:top w:w="100" w:type="dxa"/>
              <w:left w:w="100" w:type="dxa"/>
              <w:bottom w:w="100" w:type="dxa"/>
              <w:right w:w="100" w:type="dxa"/>
            </w:tcMar>
            <w:vAlign w:val="center"/>
          </w:tcPr>
          <w:p w14:paraId="315C3C1C"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w:t>
            </w:r>
          </w:p>
        </w:tc>
        <w:tc>
          <w:tcPr>
            <w:tcW w:w="1575" w:type="dxa"/>
            <w:tcBorders>
              <w:top w:val="single" w:sz="4" w:space="0" w:color="auto"/>
            </w:tcBorders>
            <w:shd w:val="clear" w:color="auto" w:fill="auto"/>
            <w:tcMar>
              <w:top w:w="100" w:type="dxa"/>
              <w:left w:w="100" w:type="dxa"/>
              <w:bottom w:w="100" w:type="dxa"/>
              <w:right w:w="100" w:type="dxa"/>
            </w:tcMar>
            <w:vAlign w:val="center"/>
          </w:tcPr>
          <w:p w14:paraId="3A7ABEFC"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55</w:t>
            </w:r>
          </w:p>
        </w:tc>
      </w:tr>
      <w:tr w:rsidR="007C6854" w14:paraId="1CB93657" w14:textId="77777777" w:rsidTr="00FF6BF7">
        <w:trPr>
          <w:jc w:val="center"/>
        </w:trPr>
        <w:tc>
          <w:tcPr>
            <w:tcW w:w="2752" w:type="dxa"/>
            <w:shd w:val="clear" w:color="auto" w:fill="auto"/>
            <w:tcMar>
              <w:top w:w="100" w:type="dxa"/>
              <w:left w:w="100" w:type="dxa"/>
              <w:bottom w:w="100" w:type="dxa"/>
              <w:right w:w="100" w:type="dxa"/>
            </w:tcMar>
            <w:vAlign w:val="center"/>
          </w:tcPr>
          <w:p w14:paraId="4B2136BF"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Delfin C. Salonga HC</w:t>
            </w:r>
          </w:p>
        </w:tc>
        <w:tc>
          <w:tcPr>
            <w:tcW w:w="1575" w:type="dxa"/>
            <w:shd w:val="clear" w:color="auto" w:fill="auto"/>
            <w:tcMar>
              <w:top w:w="100" w:type="dxa"/>
              <w:left w:w="100" w:type="dxa"/>
              <w:bottom w:w="100" w:type="dxa"/>
              <w:right w:w="100" w:type="dxa"/>
            </w:tcMar>
            <w:vAlign w:val="center"/>
          </w:tcPr>
          <w:p w14:paraId="543E27EF"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63</w:t>
            </w:r>
          </w:p>
        </w:tc>
        <w:tc>
          <w:tcPr>
            <w:tcW w:w="1575" w:type="dxa"/>
            <w:shd w:val="clear" w:color="auto" w:fill="auto"/>
            <w:tcMar>
              <w:top w:w="100" w:type="dxa"/>
              <w:left w:w="100" w:type="dxa"/>
              <w:bottom w:w="100" w:type="dxa"/>
              <w:right w:w="100" w:type="dxa"/>
            </w:tcMar>
            <w:vAlign w:val="center"/>
          </w:tcPr>
          <w:p w14:paraId="6F8EE0E6"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25</w:t>
            </w:r>
          </w:p>
        </w:tc>
        <w:tc>
          <w:tcPr>
            <w:tcW w:w="1575" w:type="dxa"/>
            <w:shd w:val="clear" w:color="auto" w:fill="auto"/>
            <w:tcMar>
              <w:top w:w="100" w:type="dxa"/>
              <w:left w:w="100" w:type="dxa"/>
              <w:bottom w:w="100" w:type="dxa"/>
              <w:right w:w="100" w:type="dxa"/>
            </w:tcMar>
            <w:vAlign w:val="center"/>
          </w:tcPr>
          <w:p w14:paraId="5756D908"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34</w:t>
            </w:r>
          </w:p>
        </w:tc>
        <w:tc>
          <w:tcPr>
            <w:tcW w:w="1575" w:type="dxa"/>
            <w:shd w:val="clear" w:color="auto" w:fill="auto"/>
            <w:tcMar>
              <w:top w:w="100" w:type="dxa"/>
              <w:left w:w="100" w:type="dxa"/>
              <w:bottom w:w="100" w:type="dxa"/>
              <w:right w:w="100" w:type="dxa"/>
            </w:tcMar>
            <w:vAlign w:val="center"/>
          </w:tcPr>
          <w:p w14:paraId="39D0DCF3"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27</w:t>
            </w:r>
          </w:p>
        </w:tc>
      </w:tr>
      <w:tr w:rsidR="007C6854" w14:paraId="405167FF" w14:textId="77777777" w:rsidTr="00FF6BF7">
        <w:trPr>
          <w:jc w:val="center"/>
        </w:trPr>
        <w:tc>
          <w:tcPr>
            <w:tcW w:w="2752" w:type="dxa"/>
            <w:shd w:val="clear" w:color="auto" w:fill="auto"/>
            <w:tcMar>
              <w:top w:w="100" w:type="dxa"/>
              <w:left w:w="100" w:type="dxa"/>
              <w:bottom w:w="100" w:type="dxa"/>
              <w:right w:w="100" w:type="dxa"/>
            </w:tcMar>
            <w:vAlign w:val="center"/>
          </w:tcPr>
          <w:p w14:paraId="086655D7"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Moises R. Flores HC</w:t>
            </w:r>
          </w:p>
        </w:tc>
        <w:tc>
          <w:tcPr>
            <w:tcW w:w="1575" w:type="dxa"/>
            <w:shd w:val="clear" w:color="auto" w:fill="auto"/>
            <w:tcMar>
              <w:top w:w="100" w:type="dxa"/>
              <w:left w:w="100" w:type="dxa"/>
              <w:bottom w:w="100" w:type="dxa"/>
              <w:right w:w="100" w:type="dxa"/>
            </w:tcMar>
            <w:vAlign w:val="center"/>
          </w:tcPr>
          <w:p w14:paraId="58F7CF5A"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14</w:t>
            </w:r>
          </w:p>
        </w:tc>
        <w:tc>
          <w:tcPr>
            <w:tcW w:w="1575" w:type="dxa"/>
            <w:shd w:val="clear" w:color="auto" w:fill="auto"/>
            <w:tcMar>
              <w:top w:w="100" w:type="dxa"/>
              <w:left w:w="100" w:type="dxa"/>
              <w:bottom w:w="100" w:type="dxa"/>
              <w:right w:w="100" w:type="dxa"/>
            </w:tcMar>
            <w:vAlign w:val="center"/>
          </w:tcPr>
          <w:p w14:paraId="35DA9D04"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8</w:t>
            </w:r>
          </w:p>
        </w:tc>
        <w:tc>
          <w:tcPr>
            <w:tcW w:w="1575" w:type="dxa"/>
            <w:shd w:val="clear" w:color="auto" w:fill="auto"/>
            <w:tcMar>
              <w:top w:w="100" w:type="dxa"/>
              <w:left w:w="100" w:type="dxa"/>
              <w:bottom w:w="100" w:type="dxa"/>
              <w:right w:w="100" w:type="dxa"/>
            </w:tcMar>
            <w:vAlign w:val="center"/>
          </w:tcPr>
          <w:p w14:paraId="1EC67CD2"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10</w:t>
            </w:r>
          </w:p>
        </w:tc>
        <w:tc>
          <w:tcPr>
            <w:tcW w:w="1575" w:type="dxa"/>
            <w:shd w:val="clear" w:color="auto" w:fill="auto"/>
            <w:tcMar>
              <w:top w:w="100" w:type="dxa"/>
              <w:left w:w="100" w:type="dxa"/>
              <w:bottom w:w="100" w:type="dxa"/>
              <w:right w:w="100" w:type="dxa"/>
            </w:tcMar>
            <w:vAlign w:val="center"/>
          </w:tcPr>
          <w:p w14:paraId="3FAF3A03"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20</w:t>
            </w:r>
          </w:p>
        </w:tc>
      </w:tr>
      <w:tr w:rsidR="007C6854" w14:paraId="3914BC54" w14:textId="77777777" w:rsidTr="00FF6BF7">
        <w:trPr>
          <w:jc w:val="center"/>
        </w:trPr>
        <w:tc>
          <w:tcPr>
            <w:tcW w:w="2752" w:type="dxa"/>
            <w:shd w:val="clear" w:color="auto" w:fill="auto"/>
            <w:tcMar>
              <w:top w:w="100" w:type="dxa"/>
              <w:left w:w="100" w:type="dxa"/>
              <w:bottom w:w="100" w:type="dxa"/>
              <w:right w:w="100" w:type="dxa"/>
            </w:tcMar>
            <w:vAlign w:val="center"/>
          </w:tcPr>
          <w:p w14:paraId="0E0F727D" w14:textId="77777777" w:rsidR="007C6854" w:rsidRDefault="00E0219E" w:rsidP="00FF6BF7">
            <w:pPr>
              <w:widowControl w:val="0"/>
              <w:pBdr>
                <w:top w:val="nil"/>
                <w:left w:val="nil"/>
                <w:bottom w:val="nil"/>
                <w:right w:val="nil"/>
                <w:between w:val="nil"/>
              </w:pBdr>
              <w:rPr>
                <w:rFonts w:eastAsia="Arial" w:cs="Arial"/>
                <w:szCs w:val="24"/>
              </w:rPr>
            </w:pPr>
            <w:proofErr w:type="spellStart"/>
            <w:r>
              <w:rPr>
                <w:rFonts w:eastAsia="Arial" w:cs="Arial"/>
                <w:szCs w:val="24"/>
              </w:rPr>
              <w:t>Masikap</w:t>
            </w:r>
            <w:proofErr w:type="spellEnd"/>
            <w:r>
              <w:rPr>
                <w:rFonts w:eastAsia="Arial" w:cs="Arial"/>
                <w:szCs w:val="24"/>
              </w:rPr>
              <w:t xml:space="preserve"> HC</w:t>
            </w:r>
          </w:p>
        </w:tc>
        <w:tc>
          <w:tcPr>
            <w:tcW w:w="1575" w:type="dxa"/>
            <w:shd w:val="clear" w:color="auto" w:fill="auto"/>
            <w:tcMar>
              <w:top w:w="100" w:type="dxa"/>
              <w:left w:w="100" w:type="dxa"/>
              <w:bottom w:w="100" w:type="dxa"/>
              <w:right w:w="100" w:type="dxa"/>
            </w:tcMar>
            <w:vAlign w:val="center"/>
          </w:tcPr>
          <w:p w14:paraId="01A7D884"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23</w:t>
            </w:r>
          </w:p>
        </w:tc>
        <w:tc>
          <w:tcPr>
            <w:tcW w:w="1575" w:type="dxa"/>
            <w:shd w:val="clear" w:color="auto" w:fill="auto"/>
            <w:tcMar>
              <w:top w:w="100" w:type="dxa"/>
              <w:left w:w="100" w:type="dxa"/>
              <w:bottom w:w="100" w:type="dxa"/>
              <w:right w:w="100" w:type="dxa"/>
            </w:tcMar>
            <w:vAlign w:val="center"/>
          </w:tcPr>
          <w:p w14:paraId="1F29EEC9"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13</w:t>
            </w:r>
          </w:p>
        </w:tc>
        <w:tc>
          <w:tcPr>
            <w:tcW w:w="1575" w:type="dxa"/>
            <w:shd w:val="clear" w:color="auto" w:fill="auto"/>
            <w:tcMar>
              <w:top w:w="100" w:type="dxa"/>
              <w:left w:w="100" w:type="dxa"/>
              <w:bottom w:w="100" w:type="dxa"/>
              <w:right w:w="100" w:type="dxa"/>
            </w:tcMar>
            <w:vAlign w:val="center"/>
          </w:tcPr>
          <w:p w14:paraId="26BA5CA7"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51</w:t>
            </w:r>
          </w:p>
        </w:tc>
        <w:tc>
          <w:tcPr>
            <w:tcW w:w="1575" w:type="dxa"/>
            <w:shd w:val="clear" w:color="auto" w:fill="auto"/>
            <w:tcMar>
              <w:top w:w="100" w:type="dxa"/>
              <w:left w:w="100" w:type="dxa"/>
              <w:bottom w:w="100" w:type="dxa"/>
              <w:right w:w="100" w:type="dxa"/>
            </w:tcMar>
            <w:vAlign w:val="center"/>
          </w:tcPr>
          <w:p w14:paraId="56814A85"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38</w:t>
            </w:r>
          </w:p>
        </w:tc>
      </w:tr>
      <w:tr w:rsidR="007C6854" w14:paraId="46215A5B" w14:textId="77777777" w:rsidTr="00FF6BF7">
        <w:trPr>
          <w:jc w:val="center"/>
        </w:trPr>
        <w:tc>
          <w:tcPr>
            <w:tcW w:w="2752" w:type="dxa"/>
            <w:shd w:val="clear" w:color="auto" w:fill="auto"/>
            <w:tcMar>
              <w:top w:w="100" w:type="dxa"/>
              <w:left w:w="100" w:type="dxa"/>
              <w:bottom w:w="100" w:type="dxa"/>
              <w:right w:w="100" w:type="dxa"/>
            </w:tcMar>
            <w:vAlign w:val="center"/>
          </w:tcPr>
          <w:p w14:paraId="6B89A2CD"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Quintin De Borja HC</w:t>
            </w:r>
          </w:p>
        </w:tc>
        <w:tc>
          <w:tcPr>
            <w:tcW w:w="1575" w:type="dxa"/>
            <w:shd w:val="clear" w:color="auto" w:fill="auto"/>
            <w:tcMar>
              <w:top w:w="100" w:type="dxa"/>
              <w:left w:w="100" w:type="dxa"/>
              <w:bottom w:w="100" w:type="dxa"/>
              <w:right w:w="100" w:type="dxa"/>
            </w:tcMar>
            <w:vAlign w:val="center"/>
          </w:tcPr>
          <w:p w14:paraId="1A378CD5"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109</w:t>
            </w:r>
          </w:p>
        </w:tc>
        <w:tc>
          <w:tcPr>
            <w:tcW w:w="1575" w:type="dxa"/>
            <w:shd w:val="clear" w:color="auto" w:fill="auto"/>
            <w:tcMar>
              <w:top w:w="100" w:type="dxa"/>
              <w:left w:w="100" w:type="dxa"/>
              <w:bottom w:w="100" w:type="dxa"/>
              <w:right w:w="100" w:type="dxa"/>
            </w:tcMar>
            <w:vAlign w:val="center"/>
          </w:tcPr>
          <w:p w14:paraId="602292AE"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43</w:t>
            </w:r>
          </w:p>
        </w:tc>
        <w:tc>
          <w:tcPr>
            <w:tcW w:w="1575" w:type="dxa"/>
            <w:shd w:val="clear" w:color="auto" w:fill="auto"/>
            <w:tcMar>
              <w:top w:w="100" w:type="dxa"/>
              <w:left w:w="100" w:type="dxa"/>
              <w:bottom w:w="100" w:type="dxa"/>
              <w:right w:w="100" w:type="dxa"/>
            </w:tcMar>
            <w:vAlign w:val="center"/>
          </w:tcPr>
          <w:p w14:paraId="29620C1B"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60</w:t>
            </w:r>
          </w:p>
        </w:tc>
        <w:tc>
          <w:tcPr>
            <w:tcW w:w="1575" w:type="dxa"/>
            <w:shd w:val="clear" w:color="auto" w:fill="auto"/>
            <w:tcMar>
              <w:top w:w="100" w:type="dxa"/>
              <w:left w:w="100" w:type="dxa"/>
              <w:bottom w:w="100" w:type="dxa"/>
              <w:right w:w="100" w:type="dxa"/>
            </w:tcMar>
            <w:vAlign w:val="center"/>
          </w:tcPr>
          <w:p w14:paraId="31773B0E"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60</w:t>
            </w:r>
          </w:p>
        </w:tc>
      </w:tr>
      <w:tr w:rsidR="007C6854" w14:paraId="519758CA" w14:textId="77777777" w:rsidTr="00FF6BF7">
        <w:trPr>
          <w:jc w:val="center"/>
        </w:trPr>
        <w:tc>
          <w:tcPr>
            <w:tcW w:w="2752" w:type="dxa"/>
            <w:tcBorders>
              <w:bottom w:val="single" w:sz="4" w:space="0" w:color="auto"/>
            </w:tcBorders>
            <w:shd w:val="clear" w:color="auto" w:fill="auto"/>
            <w:tcMar>
              <w:top w:w="100" w:type="dxa"/>
              <w:left w:w="100" w:type="dxa"/>
              <w:bottom w:w="100" w:type="dxa"/>
              <w:right w:w="100" w:type="dxa"/>
            </w:tcMar>
            <w:vAlign w:val="center"/>
          </w:tcPr>
          <w:p w14:paraId="08943FD6" w14:textId="77777777" w:rsidR="007C6854" w:rsidRDefault="00E0219E" w:rsidP="00FF6BF7">
            <w:pPr>
              <w:widowControl w:val="0"/>
              <w:pBdr>
                <w:top w:val="nil"/>
                <w:left w:val="nil"/>
                <w:bottom w:val="nil"/>
                <w:right w:val="nil"/>
                <w:between w:val="nil"/>
              </w:pBdr>
              <w:rPr>
                <w:rFonts w:eastAsia="Arial" w:cs="Arial"/>
                <w:szCs w:val="24"/>
              </w:rPr>
            </w:pPr>
            <w:r>
              <w:rPr>
                <w:rFonts w:eastAsia="Arial" w:cs="Arial"/>
                <w:szCs w:val="24"/>
              </w:rPr>
              <w:t>Pateros</w:t>
            </w:r>
          </w:p>
        </w:tc>
        <w:tc>
          <w:tcPr>
            <w:tcW w:w="1575" w:type="dxa"/>
            <w:tcBorders>
              <w:bottom w:val="single" w:sz="4" w:space="0" w:color="auto"/>
            </w:tcBorders>
            <w:shd w:val="clear" w:color="auto" w:fill="auto"/>
            <w:tcMar>
              <w:top w:w="100" w:type="dxa"/>
              <w:left w:w="100" w:type="dxa"/>
              <w:bottom w:w="100" w:type="dxa"/>
              <w:right w:w="100" w:type="dxa"/>
            </w:tcMar>
            <w:vAlign w:val="center"/>
          </w:tcPr>
          <w:p w14:paraId="3A61A200"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252</w:t>
            </w:r>
          </w:p>
        </w:tc>
        <w:tc>
          <w:tcPr>
            <w:tcW w:w="1575" w:type="dxa"/>
            <w:tcBorders>
              <w:bottom w:val="single" w:sz="4" w:space="0" w:color="auto"/>
            </w:tcBorders>
            <w:shd w:val="clear" w:color="auto" w:fill="auto"/>
            <w:tcMar>
              <w:top w:w="100" w:type="dxa"/>
              <w:left w:w="100" w:type="dxa"/>
              <w:bottom w:w="100" w:type="dxa"/>
              <w:right w:w="100" w:type="dxa"/>
            </w:tcMar>
            <w:vAlign w:val="center"/>
          </w:tcPr>
          <w:p w14:paraId="4E90A8C0"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120</w:t>
            </w:r>
          </w:p>
        </w:tc>
        <w:tc>
          <w:tcPr>
            <w:tcW w:w="1575" w:type="dxa"/>
            <w:tcBorders>
              <w:bottom w:val="single" w:sz="4" w:space="0" w:color="auto"/>
            </w:tcBorders>
            <w:shd w:val="clear" w:color="auto" w:fill="auto"/>
            <w:tcMar>
              <w:top w:w="100" w:type="dxa"/>
              <w:left w:w="100" w:type="dxa"/>
              <w:bottom w:w="100" w:type="dxa"/>
              <w:right w:w="100" w:type="dxa"/>
            </w:tcMar>
            <w:vAlign w:val="center"/>
          </w:tcPr>
          <w:p w14:paraId="1EA6A3EB"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175</w:t>
            </w:r>
          </w:p>
        </w:tc>
        <w:tc>
          <w:tcPr>
            <w:tcW w:w="1575" w:type="dxa"/>
            <w:tcBorders>
              <w:bottom w:val="single" w:sz="4" w:space="0" w:color="auto"/>
            </w:tcBorders>
            <w:shd w:val="clear" w:color="auto" w:fill="auto"/>
            <w:tcMar>
              <w:top w:w="100" w:type="dxa"/>
              <w:left w:w="100" w:type="dxa"/>
              <w:bottom w:w="100" w:type="dxa"/>
              <w:right w:w="100" w:type="dxa"/>
            </w:tcMar>
            <w:vAlign w:val="center"/>
          </w:tcPr>
          <w:p w14:paraId="79EB43DC" w14:textId="77777777" w:rsidR="007C6854" w:rsidRDefault="00E0219E" w:rsidP="00FF6BF7">
            <w:pPr>
              <w:widowControl w:val="0"/>
              <w:pBdr>
                <w:top w:val="nil"/>
                <w:left w:val="nil"/>
                <w:bottom w:val="nil"/>
                <w:right w:val="nil"/>
                <w:between w:val="nil"/>
              </w:pBdr>
              <w:jc w:val="center"/>
              <w:rPr>
                <w:rFonts w:eastAsia="Arial" w:cs="Arial"/>
                <w:szCs w:val="24"/>
              </w:rPr>
            </w:pPr>
            <w:r>
              <w:rPr>
                <w:rFonts w:eastAsia="Arial" w:cs="Arial"/>
                <w:szCs w:val="24"/>
              </w:rPr>
              <w:t>190</w:t>
            </w:r>
          </w:p>
        </w:tc>
      </w:tr>
    </w:tbl>
    <w:p w14:paraId="75E8B8F3" w14:textId="1B54218D" w:rsidR="007759A3" w:rsidRPr="00FF6BF7" w:rsidRDefault="00E0219E" w:rsidP="00FF6BF7">
      <w:pPr>
        <w:pBdr>
          <w:top w:val="nil"/>
          <w:left w:val="nil"/>
          <w:bottom w:val="nil"/>
          <w:right w:val="nil"/>
          <w:between w:val="nil"/>
        </w:pBdr>
        <w:spacing w:after="0" w:line="360" w:lineRule="auto"/>
        <w:jc w:val="right"/>
        <w:rPr>
          <w:rFonts w:eastAsia="Arial" w:cs="Arial"/>
          <w:color w:val="000000"/>
          <w:szCs w:val="24"/>
        </w:rPr>
      </w:pPr>
      <w:r>
        <w:rPr>
          <w:rFonts w:eastAsia="Arial" w:cs="Arial"/>
          <w:color w:val="000000"/>
          <w:szCs w:val="24"/>
        </w:rPr>
        <w:t xml:space="preserve">               </w:t>
      </w:r>
      <w:bookmarkStart w:id="12" w:name="_heading=h.z337ya" w:colFirst="0" w:colLast="0"/>
      <w:bookmarkEnd w:id="12"/>
      <w:r>
        <w:rPr>
          <w:rFonts w:eastAsia="Arial" w:cs="Arial"/>
          <w:color w:val="000000"/>
          <w:szCs w:val="24"/>
        </w:rPr>
        <w:t xml:space="preserve">    </w:t>
      </w:r>
    </w:p>
    <w:p w14:paraId="7AA4B9C7" w14:textId="62A7E38E" w:rsidR="007759A3" w:rsidRPr="00FF6BF7" w:rsidRDefault="00FF6BF7" w:rsidP="00FF6BF7">
      <w:pPr>
        <w:spacing w:after="0"/>
        <w:rPr>
          <w:i/>
          <w:iCs/>
        </w:rPr>
      </w:pPr>
      <w:r w:rsidRPr="00FF6BF7">
        <w:rPr>
          <w:rFonts w:eastAsia="Arial" w:cs="Arial"/>
          <w:i/>
          <w:iCs/>
          <w:color w:val="000000"/>
          <w:szCs w:val="24"/>
        </w:rPr>
        <w:t>Source: Pateros Health Department (PHD) Annual Report, 2018</w:t>
      </w:r>
    </w:p>
    <w:p w14:paraId="45088B83" w14:textId="77777777" w:rsidR="00FF6BF7" w:rsidRDefault="00FF6BF7">
      <w:pPr>
        <w:pStyle w:val="Heading3"/>
        <w:rPr>
          <w:rFonts w:eastAsia="Arial" w:cs="Arial"/>
          <w:sz w:val="24"/>
          <w:szCs w:val="24"/>
        </w:rPr>
      </w:pPr>
    </w:p>
    <w:p w14:paraId="68BE4E6C" w14:textId="708292F4" w:rsidR="007C6854" w:rsidRPr="00C774CE" w:rsidRDefault="00E0219E" w:rsidP="00C774CE">
      <w:pPr>
        <w:pStyle w:val="Heading3"/>
        <w:spacing w:line="480" w:lineRule="auto"/>
        <w:rPr>
          <w:rFonts w:eastAsia="Arial" w:cs="Arial"/>
          <w:sz w:val="24"/>
          <w:szCs w:val="24"/>
        </w:rPr>
      </w:pPr>
      <w:r>
        <w:rPr>
          <w:rFonts w:eastAsia="Arial" w:cs="Arial"/>
          <w:sz w:val="24"/>
          <w:szCs w:val="24"/>
        </w:rPr>
        <w:t xml:space="preserve">Health Literacy </w:t>
      </w:r>
    </w:p>
    <w:p w14:paraId="22B03E5F" w14:textId="3D0AB071" w:rsidR="00FF6BF7" w:rsidRPr="00FF6BF7" w:rsidRDefault="007759A3" w:rsidP="00C774CE">
      <w:pPr>
        <w:pBdr>
          <w:top w:val="nil"/>
          <w:left w:val="nil"/>
          <w:bottom w:val="nil"/>
          <w:right w:val="nil"/>
          <w:between w:val="nil"/>
        </w:pBdr>
        <w:spacing w:after="160" w:line="480" w:lineRule="auto"/>
        <w:ind w:firstLine="420"/>
        <w:jc w:val="both"/>
        <w:rPr>
          <w:rFonts w:eastAsia="Arial" w:cs="Arial"/>
          <w:color w:val="000000"/>
          <w:szCs w:val="24"/>
        </w:rPr>
      </w:pPr>
      <w:r>
        <w:rPr>
          <w:rFonts w:eastAsia="Arial" w:cs="Arial"/>
          <w:szCs w:val="24"/>
        </w:rPr>
        <w:tab/>
      </w:r>
      <w:r w:rsidR="00E0219E">
        <w:rPr>
          <w:rFonts w:eastAsia="Arial" w:cs="Arial"/>
          <w:szCs w:val="24"/>
        </w:rPr>
        <w:t xml:space="preserve">The United Nations report on the Millennium Development Goals (2015), particularly Goal 2, Achieving Universal Primary Education, pointed out that health literacy increased globally among 15- to 24-year-olds between 1990 and 2015. In the same report on gender equality also indicates that more girls are now in school compared to the past few years. (United Nations [UN], 2015) The Economist (2021) cited that many studies quantify the impact of low literacy on a person. In the United States alone, healthcare costs have increased over the years, and this was associated with poor health literacy. In the study of Sørensen K. et al. (2015), eight European countries showed insufficient and problematic health literacy. In the same study, several subgroups, such as poverty and poor social status, low educational status, and the elderly, impacted health literacy. In the study among urban elderly, health literacy increased as the person ages. It was low among individuals aged 30 to 40 </w:t>
      </w:r>
      <w:r w:rsidR="00E0219E">
        <w:rPr>
          <w:rFonts w:eastAsia="Arial" w:cs="Arial"/>
          <w:szCs w:val="24"/>
        </w:rPr>
        <w:lastRenderedPageBreak/>
        <w:t xml:space="preserve">years old and highest among individuals aged 65 years old and above. It also showed that health literacy is lower among women (Tiller, D., Herzog, B., </w:t>
      </w:r>
      <w:proofErr w:type="spellStart"/>
      <w:r w:rsidR="00E0219E">
        <w:rPr>
          <w:rFonts w:eastAsia="Arial" w:cs="Arial"/>
          <w:szCs w:val="24"/>
        </w:rPr>
        <w:t>Kluttig</w:t>
      </w:r>
      <w:proofErr w:type="spellEnd"/>
      <w:r w:rsidR="00E0219E">
        <w:rPr>
          <w:rFonts w:eastAsia="Arial" w:cs="Arial"/>
          <w:szCs w:val="24"/>
        </w:rPr>
        <w:t>, A., et al</w:t>
      </w:r>
      <w:r w:rsidR="00E0219E">
        <w:rPr>
          <w:rFonts w:eastAsia="Arial" w:cs="Arial"/>
          <w:i/>
          <w:szCs w:val="24"/>
        </w:rPr>
        <w:t>.</w:t>
      </w:r>
      <w:r w:rsidR="00E0219E">
        <w:rPr>
          <w:rFonts w:eastAsia="Arial" w:cs="Arial"/>
          <w:szCs w:val="24"/>
        </w:rPr>
        <w:t xml:space="preserve">, 2015). Garcia-Codina et al. (2019) identified the determinants of health literacy in the general population. The study said that educational level, socioeconomic status, and physical limitations affect health literacy. In addition, a study among patients with diabetes shows that health literacy is associated with employment status, annual income, social support, clarity of the physician’s explanation, and empowerment perception (Xu et al., 2018). Levinthal, B.R., </w:t>
      </w:r>
      <w:r w:rsidR="00E0219E">
        <w:rPr>
          <w:rFonts w:eastAsia="Arial" w:cs="Arial"/>
          <w:i/>
          <w:szCs w:val="24"/>
        </w:rPr>
        <w:t xml:space="preserve">et al. </w:t>
      </w:r>
      <w:r w:rsidR="00E0219E">
        <w:rPr>
          <w:rFonts w:eastAsia="Arial" w:cs="Arial"/>
          <w:szCs w:val="24"/>
        </w:rPr>
        <w:t xml:space="preserve">(2008) showed that age, education, and race affect the health literacy of patients with hypertension. More so, patients with hypertension with less knowledge of the disease had low health literacy scores (Du, S., </w:t>
      </w:r>
      <w:r w:rsidR="00E0219E">
        <w:rPr>
          <w:rFonts w:eastAsia="Arial" w:cs="Arial"/>
          <w:i/>
          <w:szCs w:val="24"/>
        </w:rPr>
        <w:t xml:space="preserve">et al., </w:t>
      </w:r>
      <w:r w:rsidR="00E0219E">
        <w:rPr>
          <w:rFonts w:eastAsia="Arial" w:cs="Arial"/>
          <w:szCs w:val="24"/>
        </w:rPr>
        <w:t xml:space="preserve">2018). In Sri Lanka, a study by </w:t>
      </w:r>
      <w:proofErr w:type="spellStart"/>
      <w:r w:rsidR="00E0219E">
        <w:rPr>
          <w:rFonts w:eastAsia="Arial" w:cs="Arial"/>
          <w:szCs w:val="24"/>
        </w:rPr>
        <w:t>Denuwara</w:t>
      </w:r>
      <w:proofErr w:type="spellEnd"/>
      <w:r w:rsidR="00E0219E">
        <w:rPr>
          <w:rFonts w:eastAsia="Arial" w:cs="Arial"/>
          <w:szCs w:val="24"/>
        </w:rPr>
        <w:t xml:space="preserve"> &amp; Gunawardena (2017) showed 31.5% of teachers had ‘problematic’ and ‘inadequate’ health literacy. It was associated with length of tenure, monthly salary income, social participation, and access to healthcare services. </w:t>
      </w:r>
      <w:r w:rsidR="00E0219E">
        <w:rPr>
          <w:rFonts w:eastAsia="Arial" w:cs="Arial"/>
          <w:color w:val="000000"/>
          <w:szCs w:val="24"/>
        </w:rPr>
        <w:t xml:space="preserve">Among Filipinos, the ability to read and write is </w:t>
      </w:r>
      <w:r w:rsidR="00E0219E">
        <w:rPr>
          <w:rFonts w:eastAsia="Arial" w:cs="Arial"/>
          <w:szCs w:val="24"/>
        </w:rPr>
        <w:t>given priority</w:t>
      </w:r>
      <w:r w:rsidR="00E0219E">
        <w:rPr>
          <w:rFonts w:eastAsia="Arial" w:cs="Arial"/>
          <w:color w:val="000000"/>
          <w:szCs w:val="24"/>
        </w:rPr>
        <w:t xml:space="preserve">. Dina </w:t>
      </w:r>
      <w:r w:rsidR="00E0219E">
        <w:rPr>
          <w:rFonts w:eastAsia="Arial" w:cs="Arial"/>
          <w:szCs w:val="24"/>
        </w:rPr>
        <w:t>Ocampo,</w:t>
      </w:r>
      <w:r w:rsidR="00E0219E">
        <w:rPr>
          <w:rFonts w:eastAsia="Arial" w:cs="Arial"/>
          <w:color w:val="000000"/>
          <w:szCs w:val="24"/>
        </w:rPr>
        <w:t xml:space="preserve"> the Officer-</w:t>
      </w:r>
      <w:r w:rsidR="00E0219E">
        <w:rPr>
          <w:rFonts w:eastAsia="Arial" w:cs="Arial"/>
          <w:szCs w:val="24"/>
        </w:rPr>
        <w:t>in</w:t>
      </w:r>
      <w:r w:rsidR="00E0219E">
        <w:rPr>
          <w:rFonts w:eastAsia="Arial" w:cs="Arial"/>
          <w:color w:val="000000"/>
          <w:szCs w:val="24"/>
        </w:rPr>
        <w:t xml:space="preserve">-Charge of the Department of Education’s (DepEd) Literacy Coordinating </w:t>
      </w:r>
      <w:r w:rsidR="00E0219E">
        <w:rPr>
          <w:rFonts w:eastAsia="Arial" w:cs="Arial"/>
          <w:szCs w:val="24"/>
        </w:rPr>
        <w:t>Council,</w:t>
      </w:r>
      <w:r w:rsidR="00E0219E">
        <w:rPr>
          <w:rFonts w:eastAsia="Arial" w:cs="Arial"/>
          <w:color w:val="000000"/>
          <w:szCs w:val="24"/>
        </w:rPr>
        <w:t xml:space="preserve"> said, “It is through literacy that one is empowered to interact in his community and realizes his worth, what he can do, and eventually makes him do things that contribute to the sustainable development of his society</w:t>
      </w:r>
      <w:r w:rsidR="00E0219E">
        <w:rPr>
          <w:rFonts w:eastAsia="Arial" w:cs="Arial"/>
          <w:szCs w:val="24"/>
        </w:rPr>
        <w:t>”</w:t>
      </w:r>
      <w:r w:rsidR="00E0219E">
        <w:rPr>
          <w:rFonts w:eastAsia="Arial" w:cs="Arial"/>
          <w:color w:val="000000"/>
          <w:szCs w:val="24"/>
        </w:rPr>
        <w:t xml:space="preserve"> (Cristobal, L., 2015). </w:t>
      </w:r>
      <w:r w:rsidR="00E0219E">
        <w:rPr>
          <w:rFonts w:eastAsia="Arial" w:cs="Arial"/>
          <w:szCs w:val="24"/>
        </w:rPr>
        <w:t>The Philippine</w:t>
      </w:r>
      <w:r w:rsidR="00E0219E">
        <w:rPr>
          <w:rFonts w:eastAsia="Arial" w:cs="Arial"/>
          <w:color w:val="000000"/>
          <w:szCs w:val="24"/>
        </w:rPr>
        <w:t xml:space="preserve"> Statistics Authority report on literacy rate among 10 years old and older showed improvement </w:t>
      </w:r>
      <w:r w:rsidR="00E0219E">
        <w:rPr>
          <w:rFonts w:eastAsia="Arial" w:cs="Arial"/>
          <w:szCs w:val="24"/>
        </w:rPr>
        <w:t>in the 2010</w:t>
      </w:r>
      <w:r w:rsidR="00E0219E">
        <w:rPr>
          <w:rFonts w:eastAsia="Arial" w:cs="Arial"/>
          <w:color w:val="000000"/>
          <w:szCs w:val="24"/>
        </w:rPr>
        <w:t xml:space="preserve"> Census of Population and Housing (97.5%) compared </w:t>
      </w:r>
      <w:r w:rsidR="00E0219E">
        <w:rPr>
          <w:rFonts w:eastAsia="Arial" w:cs="Arial"/>
          <w:szCs w:val="24"/>
        </w:rPr>
        <w:t>to the 2000</w:t>
      </w:r>
      <w:r w:rsidR="00E0219E">
        <w:rPr>
          <w:rFonts w:eastAsia="Arial" w:cs="Arial"/>
          <w:color w:val="000000"/>
          <w:szCs w:val="24"/>
        </w:rPr>
        <w:t xml:space="preserve"> report of 92.3%. While </w:t>
      </w:r>
      <w:r w:rsidR="00E0219E">
        <w:rPr>
          <w:rFonts w:eastAsia="Arial" w:cs="Arial"/>
          <w:szCs w:val="24"/>
        </w:rPr>
        <w:t>a Functional</w:t>
      </w:r>
      <w:r w:rsidR="00E0219E">
        <w:rPr>
          <w:rFonts w:eastAsia="Arial" w:cs="Arial"/>
          <w:color w:val="000000"/>
          <w:szCs w:val="24"/>
        </w:rPr>
        <w:t xml:space="preserve"> Literacy, Education, and Mass Media Survey (FLEMM) report in 2008 reported functional literacy was high </w:t>
      </w:r>
      <w:r w:rsidR="00E0219E">
        <w:rPr>
          <w:rFonts w:eastAsia="Arial" w:cs="Arial"/>
          <w:szCs w:val="24"/>
        </w:rPr>
        <w:t>for</w:t>
      </w:r>
      <w:r w:rsidR="00E0219E">
        <w:rPr>
          <w:rFonts w:eastAsia="Arial" w:cs="Arial"/>
          <w:color w:val="000000"/>
          <w:szCs w:val="24"/>
        </w:rPr>
        <w:t xml:space="preserve"> both men and women exposed to different mass media (PSA, 2011). However, health literacy </w:t>
      </w:r>
      <w:r w:rsidR="00E0219E">
        <w:rPr>
          <w:rFonts w:eastAsia="Arial" w:cs="Arial"/>
          <w:szCs w:val="24"/>
        </w:rPr>
        <w:t>(HL) has</w:t>
      </w:r>
      <w:r w:rsidR="00E0219E">
        <w:rPr>
          <w:rFonts w:eastAsia="Arial" w:cs="Arial"/>
          <w:color w:val="000000"/>
          <w:szCs w:val="24"/>
        </w:rPr>
        <w:t xml:space="preserve"> gained attention </w:t>
      </w:r>
      <w:r w:rsidR="00E0219E">
        <w:rPr>
          <w:rFonts w:eastAsia="Arial" w:cs="Arial"/>
          <w:szCs w:val="24"/>
        </w:rPr>
        <w:t>in</w:t>
      </w:r>
      <w:r w:rsidR="00E0219E">
        <w:rPr>
          <w:rFonts w:eastAsia="Arial" w:cs="Arial"/>
          <w:color w:val="000000"/>
          <w:szCs w:val="24"/>
        </w:rPr>
        <w:t xml:space="preserve"> public health. </w:t>
      </w:r>
      <w:r w:rsidR="00E0219E">
        <w:rPr>
          <w:rFonts w:eastAsia="Arial" w:cs="Arial"/>
          <w:szCs w:val="24"/>
        </w:rPr>
        <w:t>A recent</w:t>
      </w:r>
      <w:r w:rsidR="00E0219E">
        <w:rPr>
          <w:rFonts w:eastAsia="Arial" w:cs="Arial"/>
          <w:color w:val="000000"/>
          <w:szCs w:val="24"/>
        </w:rPr>
        <w:t xml:space="preserve"> study showed that the level of health literacy in the selected </w:t>
      </w:r>
      <w:r w:rsidR="00E0219E">
        <w:rPr>
          <w:rFonts w:eastAsia="Arial" w:cs="Arial"/>
          <w:szCs w:val="24"/>
        </w:rPr>
        <w:t>sites</w:t>
      </w:r>
      <w:r w:rsidR="00E0219E">
        <w:rPr>
          <w:rFonts w:eastAsia="Arial" w:cs="Arial"/>
          <w:color w:val="000000"/>
          <w:szCs w:val="24"/>
        </w:rPr>
        <w:t xml:space="preserve"> in Luzon (47.8%) </w:t>
      </w:r>
      <w:r w:rsidR="00E0219E">
        <w:rPr>
          <w:rFonts w:eastAsia="Arial" w:cs="Arial"/>
          <w:color w:val="000000"/>
          <w:szCs w:val="24"/>
        </w:rPr>
        <w:lastRenderedPageBreak/>
        <w:t xml:space="preserve">and Mindanao (46.3%) </w:t>
      </w:r>
      <w:r w:rsidR="00E0219E">
        <w:rPr>
          <w:rFonts w:eastAsia="Arial" w:cs="Arial"/>
          <w:szCs w:val="24"/>
        </w:rPr>
        <w:t>was</w:t>
      </w:r>
      <w:r w:rsidR="00E0219E">
        <w:rPr>
          <w:rFonts w:eastAsia="Arial" w:cs="Arial"/>
          <w:color w:val="000000"/>
          <w:szCs w:val="24"/>
        </w:rPr>
        <w:t xml:space="preserve"> low, while in the Visayas </w:t>
      </w:r>
      <w:r w:rsidR="00E0219E">
        <w:rPr>
          <w:rFonts w:eastAsia="Arial" w:cs="Arial"/>
          <w:szCs w:val="24"/>
        </w:rPr>
        <w:t>(56.6%) it</w:t>
      </w:r>
      <w:r w:rsidR="00E0219E">
        <w:rPr>
          <w:rFonts w:eastAsia="Arial" w:cs="Arial"/>
          <w:color w:val="000000"/>
          <w:szCs w:val="24"/>
        </w:rPr>
        <w:t xml:space="preserve"> was medium. The National Capital Region (83.7%) showed high health</w:t>
      </w:r>
      <w:r w:rsidR="00E0219E">
        <w:rPr>
          <w:rFonts w:eastAsia="Arial" w:cs="Arial"/>
          <w:szCs w:val="24"/>
        </w:rPr>
        <w:t xml:space="preserve"> </w:t>
      </w:r>
      <w:r w:rsidR="00E0219E">
        <w:rPr>
          <w:rFonts w:eastAsia="Arial" w:cs="Arial"/>
          <w:color w:val="000000"/>
          <w:szCs w:val="24"/>
        </w:rPr>
        <w:t xml:space="preserve">literacy (PCHRD, 2018). Across demographic data, </w:t>
      </w:r>
      <w:r w:rsidR="00E0219E">
        <w:rPr>
          <w:rFonts w:eastAsia="Arial" w:cs="Arial"/>
          <w:szCs w:val="24"/>
        </w:rPr>
        <w:t>t</w:t>
      </w:r>
      <w:r w:rsidR="00E0219E">
        <w:rPr>
          <w:rFonts w:eastAsia="Arial" w:cs="Arial"/>
          <w:color w:val="000000"/>
          <w:szCs w:val="24"/>
        </w:rPr>
        <w:t xml:space="preserve">he World Health Organization (2018) </w:t>
      </w:r>
      <w:r w:rsidR="00E0219E">
        <w:rPr>
          <w:rFonts w:eastAsia="Arial" w:cs="Arial"/>
          <w:szCs w:val="24"/>
        </w:rPr>
        <w:t>reported that</w:t>
      </w:r>
      <w:r w:rsidR="00E0219E">
        <w:rPr>
          <w:rFonts w:eastAsia="Arial" w:cs="Arial"/>
          <w:color w:val="000000"/>
          <w:szCs w:val="24"/>
        </w:rPr>
        <w:t xml:space="preserve"> the average health</w:t>
      </w:r>
      <w:r w:rsidR="00E0219E">
        <w:rPr>
          <w:rFonts w:eastAsia="Arial" w:cs="Arial"/>
          <w:szCs w:val="24"/>
        </w:rPr>
        <w:t xml:space="preserve"> literacy rate</w:t>
      </w:r>
      <w:r w:rsidR="00E0219E">
        <w:rPr>
          <w:rFonts w:eastAsia="Arial" w:cs="Arial"/>
          <w:color w:val="000000"/>
          <w:szCs w:val="24"/>
        </w:rPr>
        <w:t xml:space="preserve"> in the Philippines among adults aged </w:t>
      </w:r>
      <m:oMath>
        <m:r>
          <w:rPr>
            <w:rFonts w:ascii="Cambria Math" w:hAnsi="Cambria Math"/>
          </w:rPr>
          <m:t>≥</m:t>
        </m:r>
      </m:oMath>
      <w:r w:rsidR="00E0219E">
        <w:rPr>
          <w:rFonts w:eastAsia="Arial" w:cs="Arial"/>
          <w:color w:val="000000"/>
          <w:szCs w:val="24"/>
        </w:rPr>
        <w:t xml:space="preserve"> 15</w:t>
      </w:r>
      <w:r w:rsidR="00E0219E">
        <w:rPr>
          <w:rFonts w:eastAsia="Arial" w:cs="Arial"/>
          <w:szCs w:val="24"/>
        </w:rPr>
        <w:t xml:space="preserve"> </w:t>
      </w:r>
      <w:r w:rsidR="00E0219E">
        <w:rPr>
          <w:rFonts w:eastAsia="Arial" w:cs="Arial"/>
          <w:color w:val="000000"/>
          <w:szCs w:val="24"/>
        </w:rPr>
        <w:t xml:space="preserve">years from 2007 to 2012 was 95%. Simple health literacy indicators </w:t>
      </w:r>
      <w:r w:rsidR="00E0219E">
        <w:rPr>
          <w:rFonts w:eastAsia="Arial" w:cs="Arial"/>
          <w:szCs w:val="24"/>
        </w:rPr>
        <w:t>among children</w:t>
      </w:r>
      <w:r w:rsidR="00E0219E">
        <w:rPr>
          <w:rFonts w:eastAsia="Arial" w:cs="Arial"/>
          <w:color w:val="000000"/>
          <w:szCs w:val="24"/>
        </w:rPr>
        <w:t xml:space="preserve"> ten </w:t>
      </w:r>
      <w:r w:rsidR="00E0219E">
        <w:rPr>
          <w:rFonts w:eastAsia="Arial" w:cs="Arial"/>
          <w:szCs w:val="24"/>
        </w:rPr>
        <w:t xml:space="preserve">years of age </w:t>
      </w:r>
      <w:r w:rsidR="00E0219E">
        <w:rPr>
          <w:rFonts w:eastAsia="Arial" w:cs="Arial"/>
          <w:color w:val="000000"/>
          <w:szCs w:val="24"/>
        </w:rPr>
        <w:t xml:space="preserve">and </w:t>
      </w:r>
      <w:r w:rsidR="00E0219E">
        <w:rPr>
          <w:rFonts w:eastAsia="Arial" w:cs="Arial"/>
          <w:szCs w:val="24"/>
        </w:rPr>
        <w:t>older</w:t>
      </w:r>
      <w:r w:rsidR="00E0219E">
        <w:rPr>
          <w:rFonts w:eastAsia="Arial" w:cs="Arial"/>
          <w:color w:val="000000"/>
          <w:szCs w:val="24"/>
        </w:rPr>
        <w:t xml:space="preserve"> revealed improvement from 1990 to 2005 (World Health Organization [WHO], 2011, p. 3). </w:t>
      </w:r>
      <w:r w:rsidR="00E0219E">
        <w:rPr>
          <w:rFonts w:eastAsia="Arial" w:cs="Arial"/>
          <w:szCs w:val="24"/>
        </w:rPr>
        <w:t>A study</w:t>
      </w:r>
      <w:r w:rsidR="00E0219E">
        <w:rPr>
          <w:rFonts w:eastAsia="Arial" w:cs="Arial"/>
          <w:color w:val="000000"/>
          <w:szCs w:val="24"/>
        </w:rPr>
        <w:t xml:space="preserve"> by Agosto</w:t>
      </w:r>
      <w:r w:rsidR="00E0219E">
        <w:rPr>
          <w:rFonts w:eastAsia="Arial" w:cs="Arial"/>
          <w:szCs w:val="24"/>
        </w:rPr>
        <w:t xml:space="preserve"> et al.</w:t>
      </w:r>
      <w:r w:rsidR="00E0219E">
        <w:rPr>
          <w:rFonts w:eastAsia="Arial" w:cs="Arial"/>
          <w:color w:val="000000"/>
          <w:szCs w:val="24"/>
        </w:rPr>
        <w:t xml:space="preserve"> (201</w:t>
      </w:r>
      <w:r w:rsidR="00E0219E">
        <w:rPr>
          <w:rFonts w:eastAsia="Arial" w:cs="Arial"/>
          <w:szCs w:val="24"/>
        </w:rPr>
        <w:t>8</w:t>
      </w:r>
      <w:r w:rsidR="00E0219E">
        <w:rPr>
          <w:rFonts w:eastAsia="Arial" w:cs="Arial"/>
          <w:color w:val="000000"/>
          <w:szCs w:val="24"/>
        </w:rPr>
        <w:t xml:space="preserve">) on health literacy among Filipinos aged </w:t>
      </w:r>
      <w:r w:rsidR="00E0219E">
        <w:rPr>
          <w:rFonts w:eastAsia="Arial" w:cs="Arial"/>
          <w:szCs w:val="24"/>
        </w:rPr>
        <w:t>50–70</w:t>
      </w:r>
      <w:r w:rsidR="00E0219E">
        <w:rPr>
          <w:rFonts w:eastAsia="Arial" w:cs="Arial"/>
          <w:color w:val="000000"/>
          <w:szCs w:val="24"/>
        </w:rPr>
        <w:t xml:space="preserve"> belonging to low-income families in selected communities showed ninety-four percent (94%) of participants had problematic or inadequate health literacy </w:t>
      </w:r>
      <w:r w:rsidR="00E0219E">
        <w:rPr>
          <w:rFonts w:eastAsia="Arial" w:cs="Arial"/>
          <w:szCs w:val="24"/>
        </w:rPr>
        <w:t>levels</w:t>
      </w:r>
      <w:r w:rsidR="00E0219E">
        <w:rPr>
          <w:rFonts w:eastAsia="Arial" w:cs="Arial"/>
          <w:color w:val="000000"/>
          <w:szCs w:val="24"/>
        </w:rPr>
        <w:t xml:space="preserve">. It was seen among individuals with low educational status. Also, among these clients, they were not able to </w:t>
      </w:r>
      <w:r w:rsidR="00E0219E">
        <w:rPr>
          <w:rFonts w:eastAsia="Arial" w:cs="Arial"/>
          <w:szCs w:val="24"/>
        </w:rPr>
        <w:t>visit a medical</w:t>
      </w:r>
      <w:r w:rsidR="00E0219E">
        <w:rPr>
          <w:rFonts w:eastAsia="Arial" w:cs="Arial"/>
          <w:color w:val="000000"/>
          <w:szCs w:val="24"/>
        </w:rPr>
        <w:t xml:space="preserve"> doctor in the past 12 months (Agosto, </w:t>
      </w:r>
      <w:r w:rsidR="00E0219E">
        <w:rPr>
          <w:rFonts w:eastAsia="Arial" w:cs="Arial"/>
          <w:szCs w:val="24"/>
        </w:rPr>
        <w:t>H.G.,</w:t>
      </w:r>
      <w:r w:rsidR="00E0219E">
        <w:rPr>
          <w:rFonts w:eastAsia="Arial" w:cs="Arial"/>
          <w:color w:val="000000"/>
          <w:szCs w:val="24"/>
        </w:rPr>
        <w:t xml:space="preserve"> et al., 2018).</w:t>
      </w:r>
      <w:bookmarkStart w:id="13" w:name="_heading=h.3j2qqm3" w:colFirst="0" w:colLast="0"/>
      <w:bookmarkEnd w:id="13"/>
      <w:r w:rsidR="00FF6BF7">
        <w:rPr>
          <w:rFonts w:eastAsia="Arial" w:cs="Arial"/>
          <w:color w:val="000000"/>
          <w:szCs w:val="24"/>
        </w:rPr>
        <w:br/>
      </w:r>
      <w:r w:rsidR="00FF6BF7">
        <w:rPr>
          <w:rFonts w:eastAsia="Arial" w:cs="Arial"/>
          <w:color w:val="000000"/>
          <w:szCs w:val="24"/>
        </w:rPr>
        <w:br/>
      </w:r>
      <w:r w:rsidR="00E0219E" w:rsidRPr="00FF6BF7">
        <w:rPr>
          <w:rFonts w:eastAsia="Arial" w:cs="Arial"/>
          <w:b/>
          <w:bCs/>
          <w:szCs w:val="24"/>
        </w:rPr>
        <w:t>Association of Health Literacy with Hypertension</w:t>
      </w:r>
    </w:p>
    <w:p w14:paraId="11E65379" w14:textId="5E1FACFA" w:rsidR="007C6854" w:rsidRPr="00FF6BF7" w:rsidRDefault="00FF6BF7" w:rsidP="00FF6BF7">
      <w:pPr>
        <w:spacing w:line="480" w:lineRule="auto"/>
        <w:jc w:val="both"/>
        <w:rPr>
          <w:color w:val="000000"/>
        </w:rPr>
      </w:pPr>
      <w:r>
        <w:tab/>
      </w:r>
      <w:r w:rsidR="00E0219E" w:rsidRPr="007759A3">
        <w:t xml:space="preserve">High health literacy may improve the client’s quality of life in patients with hypertension. The study conducted by Shi, D., </w:t>
      </w:r>
      <w:r w:rsidR="00E0219E" w:rsidRPr="007759A3">
        <w:rPr>
          <w:i/>
        </w:rPr>
        <w:t xml:space="preserve">et al. </w:t>
      </w:r>
      <w:r w:rsidR="00E0219E" w:rsidRPr="007759A3">
        <w:t xml:space="preserve">(2017) showed that patients with high health literacy have better hypertension control. It was also evident that hypertensive clients with low literacy had poorer knowledge of hypertension management (Du, S., </w:t>
      </w:r>
      <w:r w:rsidR="00E0219E" w:rsidRPr="007759A3">
        <w:rPr>
          <w:i/>
        </w:rPr>
        <w:t>et al.</w:t>
      </w:r>
      <w:r w:rsidR="00E0219E" w:rsidRPr="007759A3">
        <w:t xml:space="preserve">, 2018). William, M.V., </w:t>
      </w:r>
      <w:r w:rsidR="00E0219E" w:rsidRPr="007759A3">
        <w:rPr>
          <w:i/>
        </w:rPr>
        <w:t xml:space="preserve">et al. </w:t>
      </w:r>
      <w:r w:rsidR="00E0219E" w:rsidRPr="007759A3">
        <w:t xml:space="preserve">(1998) examined the relationship between functional health literacy level and the patient’s knowledge of their disease. It showed that 42% of clients with hypertension knew that a BP of 130/80 mm Hg was low, compared to 45% who did not know that a BP of 160/100 was high (William, M.V., </w:t>
      </w:r>
      <w:r w:rsidR="00E0219E" w:rsidRPr="007759A3">
        <w:rPr>
          <w:i/>
        </w:rPr>
        <w:t>et al.</w:t>
      </w:r>
      <w:r w:rsidR="00E0219E" w:rsidRPr="007759A3">
        <w:t xml:space="preserve">, 1998). Shi, D., </w:t>
      </w:r>
      <w:r w:rsidR="00E0219E" w:rsidRPr="007759A3">
        <w:rPr>
          <w:i/>
        </w:rPr>
        <w:t xml:space="preserve">et al. </w:t>
      </w:r>
      <w:r w:rsidR="00E0219E" w:rsidRPr="007759A3">
        <w:t xml:space="preserve">(2017) identified the association between health literacy and education, home blood pressure measurement, regular medication, and systolic blood pressure. More so, Du, S., </w:t>
      </w:r>
      <w:r w:rsidR="00E0219E" w:rsidRPr="007759A3">
        <w:rPr>
          <w:i/>
        </w:rPr>
        <w:t>et al.</w:t>
      </w:r>
      <w:r w:rsidR="00E0219E" w:rsidRPr="007759A3">
        <w:t xml:space="preserve"> (2018) showed the association of health literacy with hypertension, with behavioral outcomes: self-care, self-efficacy, </w:t>
      </w:r>
      <w:r w:rsidR="00E0219E" w:rsidRPr="007759A3">
        <w:lastRenderedPageBreak/>
        <w:t xml:space="preserve">and adherence, and with patient-physician interaction outcomes: patient-physician communication, patient trust, and involvement in decision-making. </w:t>
      </w:r>
      <w:proofErr w:type="spellStart"/>
      <w:r w:rsidR="00E0219E" w:rsidRPr="007759A3">
        <w:rPr>
          <w:color w:val="000000"/>
        </w:rPr>
        <w:t>Khajedaluee</w:t>
      </w:r>
      <w:proofErr w:type="spellEnd"/>
      <w:r w:rsidR="00E0219E" w:rsidRPr="007759A3">
        <w:rPr>
          <w:color w:val="000000"/>
        </w:rPr>
        <w:t xml:space="preserve">, M., et al. </w:t>
      </w:r>
      <w:r w:rsidR="00E0219E" w:rsidRPr="007759A3">
        <w:t>(2016) have</w:t>
      </w:r>
      <w:r w:rsidR="00E0219E" w:rsidRPr="007759A3">
        <w:rPr>
          <w:color w:val="000000"/>
        </w:rPr>
        <w:t xml:space="preserve"> seen a significant result </w:t>
      </w:r>
      <w:r w:rsidR="00E0219E" w:rsidRPr="007759A3">
        <w:t>of the</w:t>
      </w:r>
      <w:r w:rsidR="00E0219E" w:rsidRPr="007759A3">
        <w:rPr>
          <w:color w:val="000000"/>
        </w:rPr>
        <w:t xml:space="preserve"> high prevalence of hypertension among illiterate and </w:t>
      </w:r>
      <w:r w:rsidR="00E0219E" w:rsidRPr="007759A3">
        <w:t>low-educated</w:t>
      </w:r>
      <w:r w:rsidR="00E0219E" w:rsidRPr="007759A3">
        <w:rPr>
          <w:color w:val="000000"/>
        </w:rPr>
        <w:t xml:space="preserve"> individuals.</w:t>
      </w:r>
      <w:r w:rsidR="00E0219E" w:rsidRPr="007759A3">
        <w:t xml:space="preserve"> In addition, the study of Lor, M., </w:t>
      </w:r>
      <w:r w:rsidR="00E0219E" w:rsidRPr="007759A3">
        <w:rPr>
          <w:i/>
        </w:rPr>
        <w:t xml:space="preserve">et al. (2019) </w:t>
      </w:r>
      <w:r w:rsidR="00E0219E" w:rsidRPr="007759A3">
        <w:t>on medication adherence among Hispanics with hypertension showed that clients with adequate health literacy have higher adherence scores compared to clients with lower health literacy measures. Thus, health literacy increases after giving health education to patients with hypertension (</w:t>
      </w:r>
      <w:proofErr w:type="spellStart"/>
      <w:r w:rsidR="00E0219E" w:rsidRPr="007759A3">
        <w:t>Xiaorou</w:t>
      </w:r>
      <w:proofErr w:type="spellEnd"/>
      <w:r w:rsidR="00E0219E" w:rsidRPr="007759A3">
        <w:t xml:space="preserve">, Z., </w:t>
      </w:r>
      <w:r w:rsidR="00E0219E" w:rsidRPr="007759A3">
        <w:rPr>
          <w:i/>
        </w:rPr>
        <w:t>et al.</w:t>
      </w:r>
      <w:r w:rsidR="00E0219E" w:rsidRPr="007759A3">
        <w:t>, 2018)</w:t>
      </w:r>
    </w:p>
    <w:p w14:paraId="4C1D00A1" w14:textId="40DFA877" w:rsidR="007C6854" w:rsidRDefault="00E0219E" w:rsidP="007759A3">
      <w:pPr>
        <w:pStyle w:val="Heading2"/>
        <w:spacing w:line="480" w:lineRule="auto"/>
        <w:rPr>
          <w:rFonts w:eastAsia="Arial" w:cs="Arial"/>
          <w:sz w:val="24"/>
          <w:szCs w:val="24"/>
        </w:rPr>
      </w:pPr>
      <w:bookmarkStart w:id="14" w:name="_heading=h.4i7ojhp" w:colFirst="0" w:colLast="0"/>
      <w:bookmarkEnd w:id="14"/>
      <w:r>
        <w:rPr>
          <w:rFonts w:eastAsia="Arial" w:cs="Arial"/>
          <w:sz w:val="24"/>
          <w:szCs w:val="24"/>
        </w:rPr>
        <w:t>Synthesis</w:t>
      </w:r>
    </w:p>
    <w:p w14:paraId="202CDCE8" w14:textId="77777777" w:rsidR="007C6854" w:rsidRDefault="00E0219E" w:rsidP="00113E43">
      <w:pPr>
        <w:spacing w:line="480" w:lineRule="auto"/>
        <w:jc w:val="both"/>
        <w:rPr>
          <w:rFonts w:eastAsia="Arial" w:cs="Arial"/>
          <w:szCs w:val="24"/>
        </w:rPr>
      </w:pPr>
      <w:r>
        <w:rPr>
          <w:rFonts w:eastAsia="Arial" w:cs="Arial"/>
          <w:szCs w:val="24"/>
        </w:rPr>
        <w:tab/>
        <w:t>Hypertension is prevalent in low- and middle-income settings. A study indicates that lower age groups were affected as well as elderly males. Moreover, there was a strong association between marital status, employment status, and hypertension. Another study indicated that hypertension was high among wealthy individuals.</w:t>
      </w:r>
    </w:p>
    <w:p w14:paraId="74236D1F" w14:textId="77777777" w:rsidR="007C6854" w:rsidRDefault="00E0219E" w:rsidP="00113E43">
      <w:pPr>
        <w:spacing w:line="480" w:lineRule="auto"/>
        <w:jc w:val="both"/>
        <w:rPr>
          <w:rFonts w:eastAsia="Arial" w:cs="Arial"/>
          <w:b/>
          <w:szCs w:val="24"/>
        </w:rPr>
      </w:pPr>
      <w:r>
        <w:rPr>
          <w:rFonts w:eastAsia="Arial" w:cs="Arial"/>
          <w:szCs w:val="24"/>
        </w:rPr>
        <w:tab/>
        <w:t>On health literacy, it shows that health literacy is low among lower age groups and high among the elderly. Further health literacy was associated with educational level, socioeconomic status, employment status, annual income, and race.</w:t>
      </w:r>
    </w:p>
    <w:p w14:paraId="0E1E2AFC" w14:textId="77777777" w:rsidR="007C6854" w:rsidRDefault="00E0219E">
      <w:pPr>
        <w:pStyle w:val="Heading1"/>
        <w:spacing w:after="160" w:line="360" w:lineRule="auto"/>
        <w:jc w:val="center"/>
        <w:rPr>
          <w:rFonts w:eastAsia="Arial" w:cs="Arial"/>
        </w:rPr>
      </w:pPr>
      <w:bookmarkStart w:id="15" w:name="_heading=h.i5mfflyxv1zs" w:colFirst="0" w:colLast="0"/>
      <w:bookmarkEnd w:id="15"/>
      <w:r>
        <w:br w:type="page"/>
      </w:r>
    </w:p>
    <w:p w14:paraId="3663CE9A" w14:textId="77777777" w:rsidR="007C6854" w:rsidRDefault="00E0219E">
      <w:pPr>
        <w:pStyle w:val="Heading2"/>
        <w:jc w:val="center"/>
        <w:rPr>
          <w:rFonts w:eastAsia="Arial" w:cs="Arial"/>
          <w:sz w:val="24"/>
          <w:szCs w:val="24"/>
        </w:rPr>
      </w:pPr>
      <w:bookmarkStart w:id="16" w:name="_heading=h.2xcytpi" w:colFirst="0" w:colLast="0"/>
      <w:bookmarkEnd w:id="16"/>
      <w:r>
        <w:rPr>
          <w:rFonts w:eastAsia="Arial" w:cs="Arial"/>
          <w:sz w:val="24"/>
          <w:szCs w:val="24"/>
        </w:rPr>
        <w:lastRenderedPageBreak/>
        <w:t>Conceptual Framework</w:t>
      </w:r>
    </w:p>
    <w:p w14:paraId="2DF9C79B" w14:textId="77777777" w:rsidR="007C6854" w:rsidRDefault="007C6854"/>
    <w:p w14:paraId="626B6118" w14:textId="77777777" w:rsidR="007C6854"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szCs w:val="24"/>
        </w:rPr>
        <w:tab/>
        <w:t xml:space="preserve">The conceptual framework of this research follows the degree of adoption of tools utilized in other studies (see Appendix H: Summary of the Research Construct). </w:t>
      </w:r>
    </w:p>
    <w:p w14:paraId="4FE210DE" w14:textId="166E2D2C" w:rsidR="007C6854" w:rsidRPr="005437B0" w:rsidRDefault="00E0219E" w:rsidP="005437B0">
      <w:pPr>
        <w:pStyle w:val="Heading3"/>
        <w:spacing w:line="480" w:lineRule="auto"/>
        <w:rPr>
          <w:rFonts w:eastAsia="Arial" w:cs="Arial"/>
          <w:sz w:val="24"/>
          <w:szCs w:val="24"/>
        </w:rPr>
      </w:pPr>
      <w:bookmarkStart w:id="17" w:name="_heading=h.1ci93xb" w:colFirst="0" w:colLast="0"/>
      <w:bookmarkEnd w:id="17"/>
      <w:r>
        <w:rPr>
          <w:rFonts w:eastAsia="Arial" w:cs="Arial"/>
          <w:sz w:val="24"/>
          <w:szCs w:val="24"/>
        </w:rPr>
        <w:t>Socio-demographic Factors</w:t>
      </w:r>
    </w:p>
    <w:p w14:paraId="296AF43B" w14:textId="3CBE30D3" w:rsidR="005437B0" w:rsidRPr="005437B0" w:rsidRDefault="00E0219E" w:rsidP="005437B0">
      <w:pPr>
        <w:spacing w:after="160" w:line="480" w:lineRule="auto"/>
        <w:jc w:val="both"/>
        <w:rPr>
          <w:rFonts w:eastAsia="Arial" w:cs="Arial"/>
          <w:szCs w:val="24"/>
        </w:rPr>
      </w:pPr>
      <w:r>
        <w:rPr>
          <w:rFonts w:eastAsia="Arial" w:cs="Arial"/>
          <w:szCs w:val="24"/>
        </w:rPr>
        <w:tab/>
        <w:t>Most of the literature reviewed in this research identified that hypertension and health literacy were associated with various demographic data. These include the age, sex, educational status, ethnic or race group, and financial or social status of an individual. This research utilized established variables on demographic data used by survey questionnaires such as the WHO stepwise approach (WHO, 2005), the Urban HEART (WHO, 2010), and local demographic surveys (PSA, 2018; PSA and ICF, 2018; NNC, 2018), which include age, sex, marital status, education, ethnic and cultural sub-groups, health insurance coverage, and wealth status of study participants.</w:t>
      </w:r>
    </w:p>
    <w:p w14:paraId="00D9BEC2" w14:textId="1BC7AAD5" w:rsidR="007C6854" w:rsidRPr="005437B0" w:rsidRDefault="00E0219E" w:rsidP="005437B0">
      <w:pPr>
        <w:pStyle w:val="Heading3"/>
        <w:spacing w:line="480" w:lineRule="auto"/>
        <w:rPr>
          <w:rFonts w:eastAsia="Arial" w:cs="Arial"/>
          <w:sz w:val="24"/>
          <w:szCs w:val="24"/>
        </w:rPr>
      </w:pPr>
      <w:bookmarkStart w:id="18" w:name="_heading=h.3whwml4" w:colFirst="0" w:colLast="0"/>
      <w:bookmarkEnd w:id="18"/>
      <w:r>
        <w:rPr>
          <w:rFonts w:eastAsia="Arial" w:cs="Arial"/>
          <w:sz w:val="24"/>
          <w:szCs w:val="24"/>
        </w:rPr>
        <w:t>Prevalence of Hypertension</w:t>
      </w:r>
    </w:p>
    <w:p w14:paraId="3C77B6F9" w14:textId="77777777" w:rsidR="007C6854" w:rsidRDefault="00E0219E" w:rsidP="00113E43">
      <w:pPr>
        <w:pBdr>
          <w:top w:val="nil"/>
          <w:left w:val="nil"/>
          <w:bottom w:val="nil"/>
          <w:right w:val="nil"/>
          <w:between w:val="nil"/>
        </w:pBdr>
        <w:spacing w:after="160" w:line="480" w:lineRule="auto"/>
        <w:jc w:val="both"/>
        <w:rPr>
          <w:rFonts w:eastAsia="Arial" w:cs="Arial"/>
          <w:color w:val="000000"/>
          <w:szCs w:val="24"/>
        </w:rPr>
      </w:pPr>
      <w:r>
        <w:rPr>
          <w:rFonts w:eastAsia="Arial" w:cs="Arial"/>
          <w:szCs w:val="24"/>
        </w:rPr>
        <w:tab/>
        <w:t>The Food and Nutrition Research Institute targeted the population of 20-year-olds and older in estimating adult prevalence (NNC, 2018). The hypertension prevalence was determined using the proxy indicator utilized in the US-CDC National Health and Nutrition Examination Survey (CDC, n.d.) and the WHO stepwise approach (WHO, 2017). Because</w:t>
      </w:r>
      <w:r>
        <w:rPr>
          <w:rFonts w:eastAsia="Arial" w:cs="Arial"/>
          <w:color w:val="000000"/>
          <w:szCs w:val="24"/>
        </w:rPr>
        <w:t xml:space="preserve"> </w:t>
      </w:r>
      <w:r>
        <w:rPr>
          <w:rFonts w:eastAsia="Arial" w:cs="Arial"/>
          <w:szCs w:val="24"/>
        </w:rPr>
        <w:t xml:space="preserve">of the </w:t>
      </w:r>
      <w:r>
        <w:rPr>
          <w:rFonts w:eastAsia="Arial" w:cs="Arial"/>
          <w:color w:val="000000"/>
          <w:szCs w:val="24"/>
        </w:rPr>
        <w:t>COVID-19 threat and precau</w:t>
      </w:r>
      <w:r>
        <w:rPr>
          <w:rFonts w:eastAsia="Arial" w:cs="Arial"/>
          <w:szCs w:val="24"/>
        </w:rPr>
        <w:t>tionary measures, and to avoid inflicting</w:t>
      </w:r>
      <w:r>
        <w:rPr>
          <w:rFonts w:eastAsia="Arial" w:cs="Arial"/>
          <w:color w:val="000000"/>
          <w:szCs w:val="24"/>
        </w:rPr>
        <w:t xml:space="preserve"> harm to both the researcher and the survey participants</w:t>
      </w:r>
      <w:r>
        <w:rPr>
          <w:rFonts w:eastAsia="Arial" w:cs="Arial"/>
          <w:szCs w:val="24"/>
        </w:rPr>
        <w:t xml:space="preserve"> due to COVID-19</w:t>
      </w:r>
      <w:r>
        <w:rPr>
          <w:rFonts w:eastAsia="Arial" w:cs="Arial"/>
          <w:color w:val="000000"/>
          <w:szCs w:val="24"/>
        </w:rPr>
        <w:t xml:space="preserve">, the </w:t>
      </w:r>
      <w:r>
        <w:rPr>
          <w:rFonts w:eastAsia="Arial" w:cs="Arial"/>
          <w:szCs w:val="24"/>
        </w:rPr>
        <w:t>study</w:t>
      </w:r>
      <w:r>
        <w:rPr>
          <w:rFonts w:eastAsia="Arial" w:cs="Arial"/>
          <w:color w:val="000000"/>
          <w:szCs w:val="24"/>
        </w:rPr>
        <w:t xml:space="preserve"> limits its research operational definition to the following:</w:t>
      </w:r>
    </w:p>
    <w:p w14:paraId="57B34586" w14:textId="77777777" w:rsidR="007C6854" w:rsidRDefault="00000000" w:rsidP="00113E43">
      <w:pPr>
        <w:numPr>
          <w:ilvl w:val="0"/>
          <w:numId w:val="13"/>
        </w:numPr>
        <w:pBdr>
          <w:top w:val="nil"/>
          <w:left w:val="nil"/>
          <w:bottom w:val="nil"/>
          <w:right w:val="nil"/>
          <w:between w:val="nil"/>
        </w:pBdr>
        <w:spacing w:after="160" w:line="480" w:lineRule="auto"/>
        <w:jc w:val="both"/>
        <w:rPr>
          <w:rFonts w:eastAsia="Arial" w:cs="Arial"/>
          <w:color w:val="000000"/>
          <w:szCs w:val="24"/>
        </w:rPr>
      </w:pPr>
      <w:sdt>
        <w:sdtPr>
          <w:tag w:val="goog_rdk_9"/>
          <w:id w:val="1199043818"/>
        </w:sdtPr>
        <w:sdtContent>
          <w:r w:rsidR="00E0219E">
            <w:rPr>
              <w:rFonts w:ascii="Arial Unicode MS" w:eastAsia="Arial Unicode MS" w:hAnsi="Arial Unicode MS" w:cs="Arial Unicode MS"/>
              <w:szCs w:val="24"/>
            </w:rPr>
            <w:t>Hypertension cut-off to ≥140 and/or ≥90 mm Hg, as prescribed by the International Hypertension Society (Unger, T., et al., 2020);</w:t>
          </w:r>
        </w:sdtContent>
      </w:sdt>
    </w:p>
    <w:p w14:paraId="137F0D89" w14:textId="77777777" w:rsidR="007C6854" w:rsidRDefault="00E0219E" w:rsidP="00113E43">
      <w:pPr>
        <w:numPr>
          <w:ilvl w:val="0"/>
          <w:numId w:val="13"/>
        </w:numPr>
        <w:pBdr>
          <w:top w:val="nil"/>
          <w:left w:val="nil"/>
          <w:bottom w:val="nil"/>
          <w:right w:val="nil"/>
          <w:between w:val="nil"/>
        </w:pBdr>
        <w:spacing w:after="160" w:line="480" w:lineRule="auto"/>
        <w:jc w:val="both"/>
        <w:rPr>
          <w:rFonts w:eastAsia="Arial" w:cs="Arial"/>
          <w:color w:val="000000"/>
          <w:szCs w:val="24"/>
        </w:rPr>
      </w:pPr>
      <w:r>
        <w:rPr>
          <w:rFonts w:eastAsia="Arial" w:cs="Arial"/>
          <w:szCs w:val="24"/>
        </w:rPr>
        <w:lastRenderedPageBreak/>
        <w:t>Self-reported blood pressure measurements in the past. This research utilized the International Society of Hypertension Guidelines in classifying the hypertension levels of respondents (Unger, T., et al., 2020; CDC, n.d.). See Appendix F: International Society of Hypertension (ISH) Guidelines;</w:t>
      </w:r>
    </w:p>
    <w:p w14:paraId="0C36EACF" w14:textId="77777777" w:rsidR="007C6854" w:rsidRDefault="00E0219E" w:rsidP="00113E43">
      <w:pPr>
        <w:numPr>
          <w:ilvl w:val="0"/>
          <w:numId w:val="13"/>
        </w:numPr>
        <w:pBdr>
          <w:top w:val="nil"/>
          <w:left w:val="nil"/>
          <w:bottom w:val="nil"/>
          <w:right w:val="nil"/>
          <w:between w:val="nil"/>
        </w:pBdr>
        <w:spacing w:after="160" w:line="480" w:lineRule="auto"/>
        <w:jc w:val="both"/>
        <w:rPr>
          <w:rFonts w:eastAsia="Arial" w:cs="Arial"/>
          <w:color w:val="000000"/>
          <w:szCs w:val="24"/>
        </w:rPr>
      </w:pPr>
      <w:r>
        <w:rPr>
          <w:rFonts w:eastAsia="Arial" w:cs="Arial"/>
          <w:color w:val="000000"/>
          <w:szCs w:val="24"/>
        </w:rPr>
        <w:t>Self-reported use of antihypertensive medication prescribed by a doctor or a health worker in the past two weeks (</w:t>
      </w:r>
      <w:r>
        <w:rPr>
          <w:rFonts w:eastAsia="Arial" w:cs="Arial"/>
          <w:szCs w:val="24"/>
        </w:rPr>
        <w:t>CDC, n.d.</w:t>
      </w:r>
      <w:r>
        <w:rPr>
          <w:rFonts w:eastAsia="Arial" w:cs="Arial"/>
          <w:color w:val="000000"/>
          <w:szCs w:val="24"/>
        </w:rPr>
        <w:t>);</w:t>
      </w:r>
    </w:p>
    <w:p w14:paraId="31DAB6DB" w14:textId="77777777" w:rsidR="007C6854" w:rsidRDefault="00E0219E" w:rsidP="00113E43">
      <w:pPr>
        <w:numPr>
          <w:ilvl w:val="0"/>
          <w:numId w:val="13"/>
        </w:numPr>
        <w:pBdr>
          <w:top w:val="nil"/>
          <w:left w:val="nil"/>
          <w:bottom w:val="nil"/>
          <w:right w:val="nil"/>
          <w:between w:val="nil"/>
        </w:pBdr>
        <w:spacing w:after="160" w:line="480" w:lineRule="auto"/>
        <w:jc w:val="both"/>
        <w:rPr>
          <w:rFonts w:eastAsia="Arial" w:cs="Arial"/>
          <w:color w:val="000000"/>
          <w:szCs w:val="24"/>
        </w:rPr>
      </w:pPr>
      <w:r>
        <w:rPr>
          <w:rFonts w:eastAsia="Arial" w:cs="Arial"/>
          <w:color w:val="000000"/>
          <w:szCs w:val="24"/>
        </w:rPr>
        <w:t>Ever been told by a doctor or health worker of having raised blood pressure or hypertension in the past 12 months (</w:t>
      </w:r>
      <w:r>
        <w:rPr>
          <w:rFonts w:eastAsia="Arial" w:cs="Arial"/>
          <w:szCs w:val="24"/>
        </w:rPr>
        <w:t xml:space="preserve">CDC, n.d.; </w:t>
      </w:r>
      <w:r>
        <w:rPr>
          <w:rFonts w:eastAsia="Arial" w:cs="Arial"/>
          <w:color w:val="000000"/>
          <w:szCs w:val="24"/>
        </w:rPr>
        <w:t>WH</w:t>
      </w:r>
      <w:r>
        <w:rPr>
          <w:rFonts w:eastAsia="Arial" w:cs="Arial"/>
          <w:szCs w:val="24"/>
        </w:rPr>
        <w:t>O, 2017)</w:t>
      </w:r>
      <w:r>
        <w:rPr>
          <w:rFonts w:eastAsia="Arial" w:cs="Arial"/>
          <w:color w:val="000000"/>
          <w:szCs w:val="24"/>
        </w:rPr>
        <w:t xml:space="preserve">. </w:t>
      </w:r>
    </w:p>
    <w:p w14:paraId="2EA5B71E" w14:textId="77777777" w:rsidR="007C6854" w:rsidRDefault="00E0219E" w:rsidP="00113E43">
      <w:pPr>
        <w:pStyle w:val="Heading3"/>
        <w:spacing w:line="480" w:lineRule="auto"/>
        <w:rPr>
          <w:rFonts w:eastAsia="Arial" w:cs="Arial"/>
          <w:sz w:val="24"/>
          <w:szCs w:val="24"/>
        </w:rPr>
      </w:pPr>
      <w:bookmarkStart w:id="19" w:name="_heading=h.2bn6wsx" w:colFirst="0" w:colLast="0"/>
      <w:bookmarkEnd w:id="19"/>
      <w:r>
        <w:rPr>
          <w:rFonts w:eastAsia="Arial" w:cs="Arial"/>
          <w:sz w:val="24"/>
          <w:szCs w:val="24"/>
        </w:rPr>
        <w:t>Health Literacy</w:t>
      </w:r>
    </w:p>
    <w:p w14:paraId="6B05719A" w14:textId="77777777" w:rsidR="00113E43" w:rsidRDefault="00E0219E" w:rsidP="00113E43">
      <w:pPr>
        <w:pBdr>
          <w:top w:val="nil"/>
          <w:left w:val="nil"/>
          <w:bottom w:val="nil"/>
          <w:right w:val="nil"/>
          <w:between w:val="nil"/>
        </w:pBdr>
        <w:spacing w:after="160" w:line="480" w:lineRule="auto"/>
        <w:ind w:firstLine="720"/>
        <w:jc w:val="both"/>
        <w:rPr>
          <w:rFonts w:eastAsia="Arial" w:cs="Arial"/>
          <w:szCs w:val="24"/>
        </w:rPr>
      </w:pPr>
      <w:r>
        <w:rPr>
          <w:rFonts w:eastAsia="Arial" w:cs="Arial"/>
          <w:color w:val="000000"/>
          <w:szCs w:val="24"/>
        </w:rPr>
        <w:t>On the other hand, the research ad</w:t>
      </w:r>
      <w:r>
        <w:rPr>
          <w:rFonts w:eastAsia="Arial" w:cs="Arial"/>
          <w:szCs w:val="24"/>
        </w:rPr>
        <w:t xml:space="preserve">opted Osborne, </w:t>
      </w:r>
      <w:proofErr w:type="spellStart"/>
      <w:r>
        <w:rPr>
          <w:rFonts w:eastAsia="Arial" w:cs="Arial"/>
          <w:szCs w:val="24"/>
        </w:rPr>
        <w:t>Batterham</w:t>
      </w:r>
      <w:proofErr w:type="spellEnd"/>
      <w:r>
        <w:rPr>
          <w:rFonts w:eastAsia="Arial" w:cs="Arial"/>
          <w:szCs w:val="24"/>
        </w:rPr>
        <w:t>, Elsworth, Hawkins, &amp; Buchbinder's (2013)</w:t>
      </w:r>
      <w:r>
        <w:rPr>
          <w:rFonts w:eastAsia="Arial" w:cs="Arial"/>
          <w:color w:val="000000"/>
          <w:szCs w:val="24"/>
        </w:rPr>
        <w:t xml:space="preserve"> measurement of Health Literacy </w:t>
      </w:r>
      <w:r>
        <w:rPr>
          <w:rFonts w:eastAsia="Arial" w:cs="Arial"/>
          <w:szCs w:val="24"/>
        </w:rPr>
        <w:t>(HL),</w:t>
      </w:r>
      <w:r>
        <w:rPr>
          <w:rFonts w:eastAsia="Arial" w:cs="Arial"/>
          <w:color w:val="000000"/>
          <w:szCs w:val="24"/>
        </w:rPr>
        <w:t xml:space="preserve"> which was derived </w:t>
      </w:r>
      <w:r>
        <w:rPr>
          <w:rFonts w:eastAsia="Arial" w:cs="Arial"/>
          <w:szCs w:val="24"/>
        </w:rPr>
        <w:t xml:space="preserve">from </w:t>
      </w:r>
      <w:proofErr w:type="spellStart"/>
      <w:r>
        <w:rPr>
          <w:rFonts w:eastAsia="Arial" w:cs="Arial"/>
          <w:szCs w:val="24"/>
        </w:rPr>
        <w:t>Nutbeam</w:t>
      </w:r>
      <w:proofErr w:type="spellEnd"/>
      <w:r>
        <w:rPr>
          <w:rFonts w:eastAsia="Arial" w:cs="Arial"/>
          <w:szCs w:val="24"/>
        </w:rPr>
        <w:t>, D. (2000) schema of health literacy.</w:t>
      </w:r>
      <w:r>
        <w:rPr>
          <w:rFonts w:eastAsia="Arial" w:cs="Arial"/>
          <w:color w:val="000000"/>
          <w:szCs w:val="24"/>
        </w:rPr>
        <w:t xml:space="preserve"> </w:t>
      </w:r>
      <w:r>
        <w:rPr>
          <w:rFonts w:eastAsia="Arial" w:cs="Arial"/>
          <w:szCs w:val="24"/>
        </w:rPr>
        <w:t>The researcher utilized a</w:t>
      </w:r>
      <w:r>
        <w:rPr>
          <w:rFonts w:eastAsia="Arial" w:cs="Arial"/>
          <w:color w:val="000000"/>
          <w:szCs w:val="24"/>
        </w:rPr>
        <w:t xml:space="preserve"> Health Literacy Questionnaire (HLQ)</w:t>
      </w:r>
      <w:r>
        <w:rPr>
          <w:rFonts w:eastAsia="Arial" w:cs="Arial"/>
          <w:szCs w:val="24"/>
        </w:rPr>
        <w:t xml:space="preserve"> focusing on the three domains of health literacy, namely: Basic</w:t>
      </w:r>
      <w:r>
        <w:rPr>
          <w:rFonts w:eastAsia="Arial" w:cs="Arial"/>
          <w:color w:val="000000"/>
          <w:szCs w:val="24"/>
        </w:rPr>
        <w:t xml:space="preserve">/Functional Health Literacy, Communicative/Interactive Health Literacy, and Critical Health Literacy. </w:t>
      </w:r>
      <w:r>
        <w:rPr>
          <w:rFonts w:eastAsia="Arial" w:cs="Arial"/>
          <w:szCs w:val="24"/>
        </w:rPr>
        <w:t xml:space="preserve">Nine HLQ domains are used in the </w:t>
      </w:r>
      <w:proofErr w:type="spellStart"/>
      <w:r>
        <w:rPr>
          <w:rFonts w:eastAsia="Arial" w:cs="Arial"/>
          <w:szCs w:val="24"/>
        </w:rPr>
        <w:t>Nutbeam</w:t>
      </w:r>
      <w:proofErr w:type="spellEnd"/>
      <w:r>
        <w:rPr>
          <w:rFonts w:eastAsia="Arial" w:cs="Arial"/>
          <w:szCs w:val="24"/>
        </w:rPr>
        <w:t xml:space="preserve"> Schema, which was modified by Osborne, </w:t>
      </w:r>
      <w:proofErr w:type="spellStart"/>
      <w:r>
        <w:rPr>
          <w:rFonts w:eastAsia="Arial" w:cs="Arial"/>
          <w:szCs w:val="24"/>
        </w:rPr>
        <w:t>Batterhan</w:t>
      </w:r>
      <w:proofErr w:type="spellEnd"/>
      <w:r>
        <w:rPr>
          <w:rFonts w:eastAsia="Arial" w:cs="Arial"/>
          <w:szCs w:val="24"/>
        </w:rPr>
        <w:t xml:space="preserve">, Elsworth, Hawkins, and Buchbinder. The nine HLQ domains are sub-categorized and classified based on the </w:t>
      </w:r>
      <w:proofErr w:type="spellStart"/>
      <w:r>
        <w:rPr>
          <w:rFonts w:eastAsia="Arial" w:cs="Arial"/>
          <w:szCs w:val="24"/>
        </w:rPr>
        <w:t>Nutbeam</w:t>
      </w:r>
      <w:proofErr w:type="spellEnd"/>
      <w:r>
        <w:rPr>
          <w:rFonts w:eastAsia="Arial" w:cs="Arial"/>
          <w:szCs w:val="24"/>
        </w:rPr>
        <w:t xml:space="preserve"> Schema (Basic or Functional Health Literacy; Communicative or Interactive Health Literacy; and Critical Health Literacy), as shown in Table 3. The nine HLQ domains were included in order that Basic/Functional HL, Communicative/Interactive HL, and Critical HL would be measured during analysis.</w:t>
      </w:r>
    </w:p>
    <w:p w14:paraId="45C8D7BF" w14:textId="77777777" w:rsidR="00501378" w:rsidRDefault="00501378">
      <w:pPr>
        <w:rPr>
          <w:rFonts w:eastAsia="Arial" w:cs="Arial"/>
          <w:b/>
          <w:szCs w:val="24"/>
        </w:rPr>
      </w:pPr>
      <w:r>
        <w:rPr>
          <w:rFonts w:eastAsia="Arial" w:cs="Arial"/>
          <w:b/>
          <w:szCs w:val="24"/>
        </w:rPr>
        <w:br w:type="page"/>
      </w:r>
    </w:p>
    <w:p w14:paraId="738F4DA6" w14:textId="045B834D" w:rsidR="007C6854" w:rsidRPr="00113E43" w:rsidRDefault="00E0219E" w:rsidP="00113E43">
      <w:pPr>
        <w:pBdr>
          <w:top w:val="nil"/>
          <w:left w:val="nil"/>
          <w:bottom w:val="nil"/>
          <w:right w:val="nil"/>
          <w:between w:val="nil"/>
        </w:pBdr>
        <w:spacing w:after="160" w:line="480" w:lineRule="auto"/>
        <w:jc w:val="both"/>
        <w:rPr>
          <w:rFonts w:eastAsia="Arial" w:cs="Arial"/>
          <w:szCs w:val="24"/>
        </w:rPr>
      </w:pPr>
      <w:r>
        <w:rPr>
          <w:rFonts w:eastAsia="Arial" w:cs="Arial"/>
          <w:b/>
          <w:szCs w:val="24"/>
        </w:rPr>
        <w:lastRenderedPageBreak/>
        <w:t>Table 3</w:t>
      </w:r>
    </w:p>
    <w:p w14:paraId="5BA2CA25" w14:textId="77777777" w:rsidR="007C6854" w:rsidRDefault="00E0219E">
      <w:pPr>
        <w:spacing w:after="160" w:line="360" w:lineRule="auto"/>
        <w:jc w:val="both"/>
        <w:rPr>
          <w:rFonts w:eastAsia="Arial" w:cs="Arial"/>
          <w:i/>
          <w:szCs w:val="24"/>
        </w:rPr>
      </w:pPr>
      <w:proofErr w:type="spellStart"/>
      <w:r>
        <w:rPr>
          <w:rFonts w:eastAsia="Arial" w:cs="Arial"/>
          <w:i/>
          <w:szCs w:val="24"/>
        </w:rPr>
        <w:t>Nutbeam</w:t>
      </w:r>
      <w:proofErr w:type="spellEnd"/>
      <w:r>
        <w:rPr>
          <w:rFonts w:eastAsia="Arial" w:cs="Arial"/>
          <w:i/>
          <w:szCs w:val="24"/>
        </w:rPr>
        <w:t xml:space="preserve"> Schema and Health Literacy Questionnaire Domain categorization</w:t>
      </w:r>
    </w:p>
    <w:tbl>
      <w:tblPr>
        <w:tblStyle w:val="afff3"/>
        <w:tblW w:w="82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189"/>
        <w:gridCol w:w="4107"/>
      </w:tblGrid>
      <w:tr w:rsidR="007C6854" w14:paraId="70DFA55A" w14:textId="77777777">
        <w:tc>
          <w:tcPr>
            <w:tcW w:w="4189" w:type="dxa"/>
            <w:tcBorders>
              <w:top w:val="single" w:sz="4" w:space="0" w:color="000000"/>
              <w:bottom w:val="single" w:sz="4" w:space="0" w:color="000000"/>
            </w:tcBorders>
            <w:shd w:val="clear" w:color="auto" w:fill="auto"/>
          </w:tcPr>
          <w:p w14:paraId="0F31DC90" w14:textId="77777777" w:rsidR="007C6854" w:rsidRDefault="00E0219E">
            <w:pPr>
              <w:spacing w:after="160"/>
              <w:rPr>
                <w:rFonts w:eastAsia="Arial" w:cs="Arial"/>
                <w:szCs w:val="24"/>
              </w:rPr>
            </w:pPr>
            <w:proofErr w:type="spellStart"/>
            <w:r>
              <w:rPr>
                <w:rFonts w:eastAsia="Arial" w:cs="Arial"/>
                <w:szCs w:val="24"/>
              </w:rPr>
              <w:t>Nutbeam</w:t>
            </w:r>
            <w:proofErr w:type="spellEnd"/>
            <w:r>
              <w:rPr>
                <w:rFonts w:eastAsia="Arial" w:cs="Arial"/>
                <w:szCs w:val="24"/>
              </w:rPr>
              <w:t xml:space="preserve"> Schema</w:t>
            </w:r>
          </w:p>
        </w:tc>
        <w:tc>
          <w:tcPr>
            <w:tcW w:w="4107" w:type="dxa"/>
            <w:tcBorders>
              <w:top w:val="single" w:sz="4" w:space="0" w:color="000000"/>
              <w:bottom w:val="single" w:sz="4" w:space="0" w:color="000000"/>
            </w:tcBorders>
            <w:shd w:val="clear" w:color="auto" w:fill="auto"/>
          </w:tcPr>
          <w:p w14:paraId="06E7421A" w14:textId="77777777" w:rsidR="007C6854" w:rsidRDefault="00E0219E">
            <w:pPr>
              <w:spacing w:after="160"/>
              <w:rPr>
                <w:rFonts w:eastAsia="Arial" w:cs="Arial"/>
                <w:szCs w:val="24"/>
              </w:rPr>
            </w:pPr>
            <w:r>
              <w:rPr>
                <w:rFonts w:eastAsia="Arial" w:cs="Arial"/>
                <w:szCs w:val="24"/>
              </w:rPr>
              <w:t>HLQ domains</w:t>
            </w:r>
          </w:p>
        </w:tc>
      </w:tr>
      <w:tr w:rsidR="007C6854" w14:paraId="66E89479" w14:textId="77777777">
        <w:tc>
          <w:tcPr>
            <w:tcW w:w="4189" w:type="dxa"/>
            <w:tcBorders>
              <w:top w:val="single" w:sz="4" w:space="0" w:color="000000"/>
            </w:tcBorders>
            <w:shd w:val="clear" w:color="auto" w:fill="auto"/>
          </w:tcPr>
          <w:p w14:paraId="4ED75997" w14:textId="77777777" w:rsidR="007C6854" w:rsidRDefault="00E0219E">
            <w:pPr>
              <w:numPr>
                <w:ilvl w:val="1"/>
                <w:numId w:val="15"/>
              </w:numPr>
              <w:spacing w:after="160" w:line="360" w:lineRule="auto"/>
              <w:rPr>
                <w:rFonts w:eastAsia="Arial" w:cs="Arial"/>
                <w:szCs w:val="24"/>
              </w:rPr>
            </w:pPr>
            <w:r>
              <w:rPr>
                <w:rFonts w:eastAsia="Arial" w:cs="Arial"/>
                <w:szCs w:val="24"/>
              </w:rPr>
              <w:t>Basic or Functional Health Literacy</w:t>
            </w:r>
          </w:p>
        </w:tc>
        <w:tc>
          <w:tcPr>
            <w:tcW w:w="4107" w:type="dxa"/>
            <w:tcBorders>
              <w:top w:val="single" w:sz="4" w:space="0" w:color="000000"/>
            </w:tcBorders>
            <w:shd w:val="clear" w:color="auto" w:fill="auto"/>
          </w:tcPr>
          <w:p w14:paraId="3694E546" w14:textId="77777777" w:rsidR="007C6854" w:rsidRDefault="00E0219E">
            <w:pPr>
              <w:spacing w:after="160" w:line="360" w:lineRule="auto"/>
              <w:rPr>
                <w:rFonts w:eastAsia="Arial" w:cs="Arial"/>
                <w:szCs w:val="24"/>
              </w:rPr>
            </w:pPr>
            <w:r>
              <w:rPr>
                <w:rFonts w:eastAsia="Arial" w:cs="Arial"/>
                <w:szCs w:val="24"/>
              </w:rPr>
              <w:t>(9) Understanding health information well enough to know what to do</w:t>
            </w:r>
          </w:p>
          <w:p w14:paraId="092C8C18" w14:textId="77777777" w:rsidR="007C6854" w:rsidRDefault="00E0219E">
            <w:pPr>
              <w:spacing w:after="160" w:line="360" w:lineRule="auto"/>
              <w:rPr>
                <w:rFonts w:eastAsia="Arial" w:cs="Arial"/>
                <w:szCs w:val="24"/>
              </w:rPr>
            </w:pPr>
            <w:r>
              <w:rPr>
                <w:rFonts w:eastAsia="Arial" w:cs="Arial"/>
                <w:szCs w:val="24"/>
              </w:rPr>
              <w:t>(2) Having sufficient information to manage my health</w:t>
            </w:r>
          </w:p>
          <w:p w14:paraId="0D072A25" w14:textId="77777777" w:rsidR="007C6854" w:rsidRDefault="00E0219E">
            <w:pPr>
              <w:spacing w:after="160" w:line="360" w:lineRule="auto"/>
              <w:rPr>
                <w:rFonts w:eastAsia="Arial" w:cs="Arial"/>
                <w:szCs w:val="24"/>
              </w:rPr>
            </w:pPr>
            <w:r>
              <w:rPr>
                <w:rFonts w:eastAsia="Arial" w:cs="Arial"/>
                <w:szCs w:val="24"/>
              </w:rPr>
              <w:t>(8) Ability to find good quality health information</w:t>
            </w:r>
          </w:p>
        </w:tc>
      </w:tr>
      <w:tr w:rsidR="007C6854" w14:paraId="771720B0" w14:textId="77777777">
        <w:tc>
          <w:tcPr>
            <w:tcW w:w="4189" w:type="dxa"/>
            <w:tcBorders>
              <w:bottom w:val="single" w:sz="4" w:space="0" w:color="FFFFFF"/>
            </w:tcBorders>
            <w:shd w:val="clear" w:color="auto" w:fill="auto"/>
          </w:tcPr>
          <w:p w14:paraId="0394C74B" w14:textId="77777777" w:rsidR="007C6854" w:rsidRDefault="00E0219E">
            <w:pPr>
              <w:numPr>
                <w:ilvl w:val="0"/>
                <w:numId w:val="15"/>
              </w:numPr>
              <w:spacing w:after="160" w:line="360" w:lineRule="auto"/>
              <w:rPr>
                <w:rFonts w:eastAsia="Arial" w:cs="Arial"/>
                <w:szCs w:val="24"/>
              </w:rPr>
            </w:pPr>
            <w:r>
              <w:rPr>
                <w:rFonts w:eastAsia="Arial" w:cs="Arial"/>
                <w:szCs w:val="24"/>
              </w:rPr>
              <w:t>Communicative or Interactive Health Literacy</w:t>
            </w:r>
          </w:p>
        </w:tc>
        <w:tc>
          <w:tcPr>
            <w:tcW w:w="4107" w:type="dxa"/>
            <w:tcBorders>
              <w:bottom w:val="single" w:sz="4" w:space="0" w:color="FFFFFF"/>
            </w:tcBorders>
            <w:shd w:val="clear" w:color="auto" w:fill="auto"/>
          </w:tcPr>
          <w:p w14:paraId="7DAE39D8" w14:textId="77777777" w:rsidR="007C6854" w:rsidRDefault="00E0219E">
            <w:pPr>
              <w:spacing w:after="160" w:line="360" w:lineRule="auto"/>
              <w:rPr>
                <w:rFonts w:eastAsia="Arial" w:cs="Arial"/>
                <w:szCs w:val="24"/>
              </w:rPr>
            </w:pPr>
            <w:r>
              <w:rPr>
                <w:rFonts w:eastAsia="Arial" w:cs="Arial"/>
                <w:szCs w:val="24"/>
              </w:rPr>
              <w:t>(1) Feeling understood and supported by healthcare providers</w:t>
            </w:r>
          </w:p>
          <w:p w14:paraId="1FEE1D1D" w14:textId="77777777" w:rsidR="007C6854" w:rsidRDefault="00E0219E">
            <w:pPr>
              <w:spacing w:after="160" w:line="360" w:lineRule="auto"/>
              <w:rPr>
                <w:rFonts w:eastAsia="Arial" w:cs="Arial"/>
                <w:szCs w:val="24"/>
              </w:rPr>
            </w:pPr>
            <w:r>
              <w:rPr>
                <w:rFonts w:eastAsia="Arial" w:cs="Arial"/>
                <w:szCs w:val="24"/>
              </w:rPr>
              <w:t>(3) Actively managing my health</w:t>
            </w:r>
          </w:p>
          <w:p w14:paraId="0CDFAEF1" w14:textId="77777777" w:rsidR="007C6854" w:rsidRDefault="00E0219E">
            <w:pPr>
              <w:spacing w:after="160" w:line="360" w:lineRule="auto"/>
              <w:rPr>
                <w:rFonts w:eastAsia="Arial" w:cs="Arial"/>
                <w:szCs w:val="24"/>
              </w:rPr>
            </w:pPr>
            <w:r>
              <w:rPr>
                <w:rFonts w:eastAsia="Arial" w:cs="Arial"/>
                <w:szCs w:val="24"/>
              </w:rPr>
              <w:t>(4) Social support for health</w:t>
            </w:r>
          </w:p>
          <w:p w14:paraId="7C46F903" w14:textId="77777777" w:rsidR="007C6854" w:rsidRDefault="00E0219E">
            <w:pPr>
              <w:spacing w:after="160" w:line="360" w:lineRule="auto"/>
              <w:rPr>
                <w:rFonts w:eastAsia="Arial" w:cs="Arial"/>
                <w:szCs w:val="24"/>
              </w:rPr>
            </w:pPr>
            <w:r>
              <w:rPr>
                <w:rFonts w:eastAsia="Arial" w:cs="Arial"/>
                <w:szCs w:val="24"/>
              </w:rPr>
              <w:t>(6) Ability to actively engage with a healthcare provider</w:t>
            </w:r>
          </w:p>
          <w:p w14:paraId="49CBE166" w14:textId="77777777" w:rsidR="007C6854" w:rsidRDefault="00E0219E">
            <w:pPr>
              <w:spacing w:after="160" w:line="360" w:lineRule="auto"/>
              <w:rPr>
                <w:rFonts w:eastAsia="Arial" w:cs="Arial"/>
                <w:szCs w:val="24"/>
              </w:rPr>
            </w:pPr>
            <w:r>
              <w:rPr>
                <w:rFonts w:eastAsia="Arial" w:cs="Arial"/>
                <w:szCs w:val="24"/>
              </w:rPr>
              <w:t>(7) Navigating the health system</w:t>
            </w:r>
          </w:p>
          <w:p w14:paraId="2D92E2E4" w14:textId="77777777" w:rsidR="007C6854" w:rsidRDefault="00E0219E">
            <w:pPr>
              <w:spacing w:after="160" w:line="360" w:lineRule="auto"/>
              <w:rPr>
                <w:rFonts w:eastAsia="Arial" w:cs="Arial"/>
                <w:szCs w:val="24"/>
              </w:rPr>
            </w:pPr>
            <w:r>
              <w:rPr>
                <w:rFonts w:eastAsia="Arial" w:cs="Arial"/>
                <w:szCs w:val="24"/>
              </w:rPr>
              <w:t>(8) Ability to find good quality health information</w:t>
            </w:r>
          </w:p>
        </w:tc>
      </w:tr>
      <w:tr w:rsidR="007C6854" w14:paraId="01984BFE" w14:textId="77777777">
        <w:tc>
          <w:tcPr>
            <w:tcW w:w="4189" w:type="dxa"/>
            <w:tcBorders>
              <w:bottom w:val="single" w:sz="4" w:space="0" w:color="000000"/>
            </w:tcBorders>
            <w:shd w:val="clear" w:color="auto" w:fill="auto"/>
          </w:tcPr>
          <w:p w14:paraId="4D4DF44D" w14:textId="77777777" w:rsidR="007C6854" w:rsidRDefault="00E0219E">
            <w:pPr>
              <w:numPr>
                <w:ilvl w:val="0"/>
                <w:numId w:val="15"/>
              </w:numPr>
              <w:spacing w:after="160" w:line="360" w:lineRule="auto"/>
              <w:rPr>
                <w:rFonts w:eastAsia="Arial" w:cs="Arial"/>
                <w:szCs w:val="24"/>
              </w:rPr>
            </w:pPr>
            <w:r>
              <w:rPr>
                <w:rFonts w:eastAsia="Arial" w:cs="Arial"/>
                <w:szCs w:val="24"/>
              </w:rPr>
              <w:t>Critical Health Literacy</w:t>
            </w:r>
          </w:p>
        </w:tc>
        <w:tc>
          <w:tcPr>
            <w:tcW w:w="4107" w:type="dxa"/>
            <w:tcBorders>
              <w:bottom w:val="single" w:sz="4" w:space="0" w:color="000000"/>
            </w:tcBorders>
            <w:shd w:val="clear" w:color="auto" w:fill="auto"/>
          </w:tcPr>
          <w:p w14:paraId="42A20B42" w14:textId="77777777" w:rsidR="007C6854" w:rsidRDefault="00E0219E">
            <w:pPr>
              <w:spacing w:after="160" w:line="360" w:lineRule="auto"/>
              <w:rPr>
                <w:rFonts w:eastAsia="Arial" w:cs="Arial"/>
                <w:szCs w:val="24"/>
              </w:rPr>
            </w:pPr>
            <w:r>
              <w:rPr>
                <w:rFonts w:eastAsia="Arial" w:cs="Arial"/>
                <w:szCs w:val="24"/>
              </w:rPr>
              <w:t>(5) Appraisal of health information</w:t>
            </w:r>
          </w:p>
          <w:p w14:paraId="5D96C249" w14:textId="77777777" w:rsidR="007C6854" w:rsidRDefault="00E0219E">
            <w:pPr>
              <w:spacing w:after="160" w:line="360" w:lineRule="auto"/>
              <w:rPr>
                <w:rFonts w:eastAsia="Arial" w:cs="Arial"/>
                <w:szCs w:val="24"/>
              </w:rPr>
            </w:pPr>
            <w:r>
              <w:rPr>
                <w:rFonts w:eastAsia="Arial" w:cs="Arial"/>
                <w:szCs w:val="24"/>
              </w:rPr>
              <w:t>(3) Actively managing my health</w:t>
            </w:r>
          </w:p>
          <w:p w14:paraId="7BA84627" w14:textId="77777777" w:rsidR="007C6854" w:rsidRDefault="00E0219E">
            <w:pPr>
              <w:spacing w:after="160" w:line="360" w:lineRule="auto"/>
              <w:rPr>
                <w:rFonts w:eastAsia="Arial" w:cs="Arial"/>
                <w:szCs w:val="24"/>
              </w:rPr>
            </w:pPr>
            <w:r>
              <w:rPr>
                <w:rFonts w:eastAsia="Arial" w:cs="Arial"/>
                <w:szCs w:val="24"/>
              </w:rPr>
              <w:t>(4) Social support for health</w:t>
            </w:r>
          </w:p>
        </w:tc>
      </w:tr>
    </w:tbl>
    <w:p w14:paraId="4AA812A2" w14:textId="77777777" w:rsidR="007C6854" w:rsidRDefault="007C6854">
      <w:pPr>
        <w:spacing w:after="160" w:line="360" w:lineRule="auto"/>
        <w:rPr>
          <w:rFonts w:eastAsia="Arial" w:cs="Arial"/>
          <w:szCs w:val="24"/>
        </w:rPr>
      </w:pPr>
    </w:p>
    <w:p w14:paraId="2CDFB602" w14:textId="77777777" w:rsidR="007C6854" w:rsidRDefault="00E0219E">
      <w:pPr>
        <w:pBdr>
          <w:top w:val="nil"/>
          <w:left w:val="nil"/>
          <w:bottom w:val="nil"/>
          <w:right w:val="nil"/>
          <w:between w:val="nil"/>
        </w:pBdr>
        <w:spacing w:after="160" w:line="360" w:lineRule="auto"/>
        <w:jc w:val="both"/>
        <w:rPr>
          <w:rFonts w:eastAsia="Arial" w:cs="Arial"/>
          <w:color w:val="000000"/>
          <w:szCs w:val="24"/>
        </w:rPr>
      </w:pPr>
      <w:bookmarkStart w:id="20" w:name="_heading=h.5dnrqb4aftus" w:colFirst="0" w:colLast="0"/>
      <w:bookmarkEnd w:id="20"/>
      <w:r>
        <w:rPr>
          <w:rFonts w:eastAsia="Arial" w:cs="Arial"/>
          <w:szCs w:val="24"/>
        </w:rPr>
        <w:lastRenderedPageBreak/>
        <w:tab/>
        <w:t>The conceptual</w:t>
      </w:r>
      <w:r>
        <w:rPr>
          <w:rFonts w:eastAsia="Arial" w:cs="Arial"/>
          <w:color w:val="000000"/>
          <w:szCs w:val="24"/>
        </w:rPr>
        <w:t xml:space="preserve"> framework </w:t>
      </w:r>
      <w:r>
        <w:rPr>
          <w:rFonts w:eastAsia="Arial" w:cs="Arial"/>
          <w:szCs w:val="24"/>
        </w:rPr>
        <w:t xml:space="preserve">was articulated </w:t>
      </w:r>
      <w:r>
        <w:rPr>
          <w:rFonts w:eastAsia="Arial" w:cs="Arial"/>
          <w:color w:val="000000"/>
          <w:szCs w:val="24"/>
        </w:rPr>
        <w:t xml:space="preserve">below to </w:t>
      </w:r>
      <w:r>
        <w:rPr>
          <w:rFonts w:eastAsia="Arial" w:cs="Arial"/>
          <w:szCs w:val="24"/>
        </w:rPr>
        <w:t>show</w:t>
      </w:r>
      <w:r>
        <w:rPr>
          <w:rFonts w:eastAsia="Arial" w:cs="Arial"/>
          <w:color w:val="000000"/>
          <w:szCs w:val="24"/>
        </w:rPr>
        <w:t xml:space="preserve"> the</w:t>
      </w:r>
      <w:r>
        <w:rPr>
          <w:rFonts w:eastAsia="Arial" w:cs="Arial"/>
          <w:szCs w:val="24"/>
        </w:rPr>
        <w:t xml:space="preserve"> association of</w:t>
      </w:r>
      <w:r>
        <w:rPr>
          <w:rFonts w:eastAsia="Arial" w:cs="Arial"/>
          <w:color w:val="000000"/>
          <w:szCs w:val="24"/>
        </w:rPr>
        <w:t xml:space="preserve"> other </w:t>
      </w:r>
      <w:r>
        <w:rPr>
          <w:rFonts w:eastAsia="Arial" w:cs="Arial"/>
          <w:szCs w:val="24"/>
        </w:rPr>
        <w:t>factors,</w:t>
      </w:r>
      <w:r>
        <w:rPr>
          <w:rFonts w:eastAsia="Arial" w:cs="Arial"/>
          <w:color w:val="000000"/>
          <w:szCs w:val="24"/>
        </w:rPr>
        <w:t xml:space="preserve"> such as socio-demographic information and health literacy </w:t>
      </w:r>
      <w:r>
        <w:rPr>
          <w:rFonts w:eastAsia="Arial" w:cs="Arial"/>
          <w:szCs w:val="24"/>
        </w:rPr>
        <w:t>among urban settlers, with hypertension as mentioned above</w:t>
      </w:r>
      <w:r>
        <w:rPr>
          <w:rFonts w:eastAsia="Arial" w:cs="Arial"/>
          <w:color w:val="000000"/>
          <w:szCs w:val="24"/>
        </w:rPr>
        <w:t xml:space="preserve"> (Figure1).</w:t>
      </w:r>
    </w:p>
    <w:p w14:paraId="1D5631E9" w14:textId="77777777" w:rsidR="007C6854" w:rsidRDefault="00E0219E">
      <w:pPr>
        <w:spacing w:after="160" w:line="360" w:lineRule="auto"/>
        <w:jc w:val="both"/>
        <w:rPr>
          <w:rFonts w:eastAsia="Arial" w:cs="Arial"/>
          <w:b/>
          <w:szCs w:val="24"/>
        </w:rPr>
      </w:pPr>
      <w:r>
        <w:rPr>
          <w:rFonts w:eastAsia="Arial" w:cs="Arial"/>
          <w:szCs w:val="24"/>
        </w:rPr>
        <w:t>Figure 1.</w:t>
      </w:r>
      <w:r>
        <w:rPr>
          <w:rFonts w:eastAsia="Arial" w:cs="Arial"/>
          <w:b/>
          <w:szCs w:val="24"/>
        </w:rPr>
        <w:t xml:space="preserve"> </w:t>
      </w:r>
      <w:r>
        <w:rPr>
          <w:rFonts w:eastAsia="Arial" w:cs="Arial"/>
          <w:szCs w:val="24"/>
        </w:rPr>
        <w:t>Conceptual framework showing the association of socio-demographic variables and health literacy of urban settlers with hypertension</w:t>
      </w:r>
    </w:p>
    <w:p w14:paraId="0EC5808E" w14:textId="77777777" w:rsidR="007C6854" w:rsidRDefault="00E0219E">
      <w:pPr>
        <w:spacing w:after="160" w:line="360" w:lineRule="auto"/>
        <w:jc w:val="center"/>
        <w:rPr>
          <w:rFonts w:eastAsia="Arial" w:cs="Arial"/>
          <w:b/>
          <w:color w:val="000000"/>
          <w:szCs w:val="24"/>
        </w:rPr>
      </w:pPr>
      <w:r>
        <w:rPr>
          <w:rFonts w:eastAsia="Arial" w:cs="Arial"/>
          <w:noProof/>
        </w:rPr>
        <w:drawing>
          <wp:inline distT="0" distB="0" distL="0" distR="0" wp14:anchorId="67161230" wp14:editId="54C4B38C">
            <wp:extent cx="4848446" cy="5119688"/>
            <wp:effectExtent l="0" t="0" r="0" b="0"/>
            <wp:docPr id="68" name="image6.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with medium confidence"/>
                    <pic:cNvPicPr preferRelativeResize="0"/>
                  </pic:nvPicPr>
                  <pic:blipFill>
                    <a:blip r:embed="rId38"/>
                    <a:srcRect/>
                    <a:stretch>
                      <a:fillRect/>
                    </a:stretch>
                  </pic:blipFill>
                  <pic:spPr>
                    <a:xfrm>
                      <a:off x="0" y="0"/>
                      <a:ext cx="4848446" cy="5119688"/>
                    </a:xfrm>
                    <a:prstGeom prst="rect">
                      <a:avLst/>
                    </a:prstGeom>
                    <a:ln/>
                  </pic:spPr>
                </pic:pic>
              </a:graphicData>
            </a:graphic>
          </wp:inline>
        </w:drawing>
      </w:r>
    </w:p>
    <w:p w14:paraId="49E170F2" w14:textId="77777777" w:rsidR="007C6854" w:rsidRDefault="007C6854">
      <w:pPr>
        <w:spacing w:after="160" w:line="360" w:lineRule="auto"/>
        <w:rPr>
          <w:rFonts w:eastAsia="Arial" w:cs="Arial"/>
          <w:b/>
          <w:color w:val="000000"/>
          <w:szCs w:val="24"/>
        </w:rPr>
      </w:pPr>
    </w:p>
    <w:p w14:paraId="68B6D7F1" w14:textId="77777777" w:rsidR="007C6854" w:rsidRDefault="00E0219E">
      <w:pPr>
        <w:spacing w:after="160" w:line="360" w:lineRule="auto"/>
        <w:rPr>
          <w:rFonts w:eastAsia="Arial" w:cs="Arial"/>
          <w:b/>
          <w:szCs w:val="24"/>
        </w:rPr>
      </w:pPr>
      <w:r>
        <w:br w:type="page"/>
      </w:r>
    </w:p>
    <w:p w14:paraId="49872532" w14:textId="77777777" w:rsidR="007C6854" w:rsidRDefault="00E0219E">
      <w:pPr>
        <w:pStyle w:val="Heading2"/>
        <w:jc w:val="center"/>
        <w:rPr>
          <w:rFonts w:eastAsia="Arial" w:cs="Arial"/>
          <w:sz w:val="24"/>
          <w:szCs w:val="24"/>
        </w:rPr>
      </w:pPr>
      <w:bookmarkStart w:id="21" w:name="_heading=h.qsh70q" w:colFirst="0" w:colLast="0"/>
      <w:bookmarkEnd w:id="21"/>
      <w:r>
        <w:rPr>
          <w:rFonts w:eastAsia="Arial" w:cs="Arial"/>
          <w:sz w:val="24"/>
          <w:szCs w:val="24"/>
        </w:rPr>
        <w:lastRenderedPageBreak/>
        <w:t>Operational Definition</w:t>
      </w:r>
    </w:p>
    <w:p w14:paraId="60AAD78A" w14:textId="77777777" w:rsidR="007C6854" w:rsidRDefault="007C6854"/>
    <w:p w14:paraId="151BA3F3" w14:textId="77777777" w:rsidR="007C6854" w:rsidRDefault="00E0219E" w:rsidP="00113E43">
      <w:pPr>
        <w:spacing w:after="160" w:line="480" w:lineRule="auto"/>
        <w:jc w:val="both"/>
        <w:rPr>
          <w:rFonts w:eastAsia="Arial" w:cs="Arial"/>
          <w:szCs w:val="24"/>
        </w:rPr>
      </w:pPr>
      <w:r>
        <w:rPr>
          <w:rFonts w:eastAsia="Arial" w:cs="Arial"/>
          <w:szCs w:val="24"/>
        </w:rPr>
        <w:t>The study limits its definitions to the terms utilized in the study. This was decided for consistency and adaptation for future research if this study is replicated in a large population-based survey.</w:t>
      </w:r>
    </w:p>
    <w:p w14:paraId="606D5A72" w14:textId="77777777" w:rsidR="007C6854" w:rsidRDefault="00E0219E">
      <w:pPr>
        <w:spacing w:after="160" w:line="360" w:lineRule="auto"/>
        <w:jc w:val="center"/>
        <w:rPr>
          <w:rFonts w:eastAsia="Arial" w:cs="Arial"/>
          <w:b/>
          <w:szCs w:val="24"/>
        </w:rPr>
      </w:pPr>
      <w:r>
        <w:rPr>
          <w:rFonts w:eastAsia="Arial" w:cs="Arial"/>
          <w:b/>
          <w:szCs w:val="24"/>
        </w:rPr>
        <w:t>Definition of Terms</w:t>
      </w:r>
    </w:p>
    <w:p w14:paraId="5E33B7F4" w14:textId="77777777" w:rsidR="007C6854" w:rsidRDefault="00E0219E" w:rsidP="00113E43">
      <w:pPr>
        <w:spacing w:after="160" w:line="480" w:lineRule="auto"/>
        <w:jc w:val="both"/>
        <w:rPr>
          <w:rFonts w:eastAsia="Arial" w:cs="Arial"/>
          <w:szCs w:val="24"/>
        </w:rPr>
      </w:pPr>
      <w:r>
        <w:rPr>
          <w:rFonts w:eastAsia="Arial" w:cs="Arial"/>
          <w:b/>
          <w:szCs w:val="24"/>
        </w:rPr>
        <w:t>Hypertension</w:t>
      </w:r>
      <w:sdt>
        <w:sdtPr>
          <w:tag w:val="goog_rdk_10"/>
          <w:id w:val="645483504"/>
        </w:sdtPr>
        <w:sdtContent>
          <w:r>
            <w:rPr>
              <w:rFonts w:ascii="Arial Unicode MS" w:eastAsia="Arial Unicode MS" w:hAnsi="Arial Unicode MS" w:cs="Arial Unicode MS"/>
              <w:szCs w:val="24"/>
            </w:rPr>
            <w:t xml:space="preserve"> is defined by “a mean systolic BP (SBP) ≥140 mmHg or a mean diastolic BP (DBP) ≥90 mmHg (Unger, T., et al., 2020). However, due to the COVID-19 threat and precautionary measures of getting the virus and inflicting harm to both the researcher and the survey participants, the researcher limits its research operational definition to the following:</w:t>
          </w:r>
        </w:sdtContent>
      </w:sdt>
    </w:p>
    <w:p w14:paraId="0125051B" w14:textId="77777777" w:rsidR="007C6854" w:rsidRDefault="00E0219E" w:rsidP="00113E43">
      <w:pPr>
        <w:numPr>
          <w:ilvl w:val="0"/>
          <w:numId w:val="16"/>
        </w:numPr>
        <w:spacing w:after="0" w:line="480" w:lineRule="auto"/>
        <w:jc w:val="both"/>
        <w:rPr>
          <w:rFonts w:eastAsia="Arial" w:cs="Arial"/>
          <w:szCs w:val="24"/>
        </w:rPr>
      </w:pPr>
      <w:r>
        <w:rPr>
          <w:rFonts w:eastAsia="Arial" w:cs="Arial"/>
          <w:szCs w:val="24"/>
        </w:rPr>
        <w:t xml:space="preserve">Self-reported blood pressure is blood pressure measurement history taken at a clinic or healthcare facility by a health worker. This was  termed as office blood pressure measurement as defined by International Society of Hypertension (ISH) (Unger, T. et al., 2020; </w:t>
      </w:r>
      <w:r>
        <w:rPr>
          <w:rFonts w:eastAsia="Arial" w:cs="Arial"/>
          <w:color w:val="222222"/>
          <w:szCs w:val="24"/>
          <w:highlight w:val="white"/>
        </w:rPr>
        <w:t>Asayama, K., Ohkubo, T., &amp; Imai, Y., 2021</w:t>
      </w:r>
      <w:r>
        <w:rPr>
          <w:rFonts w:eastAsia="Arial" w:cs="Arial"/>
          <w:szCs w:val="24"/>
        </w:rPr>
        <w:t>), “</w:t>
      </w:r>
      <w:r>
        <w:rPr>
          <w:rFonts w:eastAsia="Arial" w:cs="Arial"/>
          <w:color w:val="222222"/>
          <w:szCs w:val="24"/>
          <w:highlight w:val="white"/>
        </w:rPr>
        <w:t>Conventional blood pressure, which is measured at an office or in a screening setting by a sphygmomanometer, has been used as the gold standard of blood pressure measurement techniques regardless of the guidelines based on cumulative evidence and common use in clinical practice; or</w:t>
      </w:r>
    </w:p>
    <w:p w14:paraId="04417AC9" w14:textId="77777777" w:rsidR="007C6854" w:rsidRDefault="00E0219E" w:rsidP="00113E43">
      <w:pPr>
        <w:numPr>
          <w:ilvl w:val="0"/>
          <w:numId w:val="16"/>
        </w:numPr>
        <w:spacing w:after="0" w:line="480" w:lineRule="auto"/>
        <w:jc w:val="both"/>
        <w:rPr>
          <w:rFonts w:eastAsia="Arial" w:cs="Arial"/>
          <w:szCs w:val="24"/>
        </w:rPr>
      </w:pPr>
      <w:r>
        <w:rPr>
          <w:rFonts w:eastAsia="Arial" w:cs="Arial"/>
          <w:szCs w:val="24"/>
        </w:rPr>
        <w:t xml:space="preserve">Self-reported use of antihypertensive medication prescribed by a doctor or a health worker in the past two weeks; and/or </w:t>
      </w:r>
    </w:p>
    <w:p w14:paraId="5F10174F" w14:textId="77777777" w:rsidR="007C6854" w:rsidRDefault="00E0219E" w:rsidP="00113E43">
      <w:pPr>
        <w:numPr>
          <w:ilvl w:val="0"/>
          <w:numId w:val="16"/>
        </w:numPr>
        <w:spacing w:after="160" w:line="480" w:lineRule="auto"/>
        <w:jc w:val="both"/>
        <w:rPr>
          <w:rFonts w:eastAsia="Arial" w:cs="Arial"/>
          <w:szCs w:val="24"/>
        </w:rPr>
      </w:pPr>
      <w:r>
        <w:rPr>
          <w:rFonts w:eastAsia="Arial" w:cs="Arial"/>
          <w:szCs w:val="24"/>
        </w:rPr>
        <w:t xml:space="preserve">Have you ever been told by a doctor or health worker if you have raised blood pressure or had hypertension in the past 12 months. </w:t>
      </w:r>
    </w:p>
    <w:p w14:paraId="70D95FC9" w14:textId="77777777" w:rsidR="00007D2E" w:rsidRDefault="00E0219E" w:rsidP="00007D2E">
      <w:pPr>
        <w:spacing w:after="160" w:line="480" w:lineRule="auto"/>
        <w:jc w:val="both"/>
        <w:rPr>
          <w:rFonts w:eastAsia="Arial" w:cs="Arial"/>
          <w:szCs w:val="24"/>
        </w:rPr>
      </w:pPr>
      <w:r>
        <w:rPr>
          <w:rFonts w:eastAsia="Arial" w:cs="Arial"/>
          <w:b/>
          <w:szCs w:val="24"/>
        </w:rPr>
        <w:t>Health literacy</w:t>
      </w:r>
      <w:r>
        <w:rPr>
          <w:rFonts w:eastAsia="Arial" w:cs="Arial"/>
          <w:szCs w:val="24"/>
        </w:rPr>
        <w:t xml:space="preserve"> is defined as the total or median score measured from Basic or Functional Health Literacy, Communicative or Interactive Health Literacy, and Critical </w:t>
      </w:r>
      <w:r>
        <w:rPr>
          <w:rFonts w:eastAsia="Arial" w:cs="Arial"/>
          <w:szCs w:val="24"/>
        </w:rPr>
        <w:lastRenderedPageBreak/>
        <w:t xml:space="preserve">Health Literacy, according to Don </w:t>
      </w:r>
      <w:proofErr w:type="spellStart"/>
      <w:r>
        <w:rPr>
          <w:rFonts w:eastAsia="Arial" w:cs="Arial"/>
          <w:szCs w:val="24"/>
        </w:rPr>
        <w:t>Nutbeam</w:t>
      </w:r>
      <w:proofErr w:type="spellEnd"/>
      <w:r>
        <w:rPr>
          <w:rFonts w:eastAsia="Arial" w:cs="Arial"/>
          <w:szCs w:val="24"/>
        </w:rPr>
        <w:t xml:space="preserve">, which was adopted by Osborne, </w:t>
      </w:r>
      <w:proofErr w:type="spellStart"/>
      <w:r>
        <w:rPr>
          <w:rFonts w:eastAsia="Arial" w:cs="Arial"/>
          <w:szCs w:val="24"/>
        </w:rPr>
        <w:t>Batterham</w:t>
      </w:r>
      <w:proofErr w:type="spellEnd"/>
      <w:r>
        <w:rPr>
          <w:rFonts w:eastAsia="Arial" w:cs="Arial"/>
          <w:szCs w:val="24"/>
        </w:rPr>
        <w:t>, Elsworth, Hawkins, &amp; Buchbinder (2013).</w:t>
      </w:r>
    </w:p>
    <w:p w14:paraId="641B1214" w14:textId="77777777" w:rsidR="00007D2E" w:rsidRDefault="00E0219E" w:rsidP="00007D2E">
      <w:pPr>
        <w:spacing w:after="160" w:line="480" w:lineRule="auto"/>
        <w:jc w:val="both"/>
        <w:rPr>
          <w:rFonts w:eastAsia="Arial" w:cs="Arial"/>
          <w:szCs w:val="24"/>
        </w:rPr>
      </w:pPr>
      <w:r>
        <w:rPr>
          <w:rFonts w:eastAsia="Arial" w:cs="Arial"/>
          <w:b/>
          <w:szCs w:val="24"/>
        </w:rPr>
        <w:t xml:space="preserve">Basic or Functional Literacy </w:t>
      </w:r>
      <w:r>
        <w:rPr>
          <w:rFonts w:eastAsia="Arial" w:cs="Arial"/>
          <w:szCs w:val="24"/>
        </w:rPr>
        <w:t>refers to sufficient basic skills in reading and writing to be able to function effectively in everyday situations, broadly compatible with the narrow definition of ‘health literacy’ referred to above</w:t>
      </w:r>
    </w:p>
    <w:p w14:paraId="485D4E4E" w14:textId="77777777" w:rsidR="00007D2E" w:rsidRDefault="00E0219E" w:rsidP="00007D2E">
      <w:pPr>
        <w:spacing w:after="160" w:line="480" w:lineRule="auto"/>
        <w:jc w:val="both"/>
        <w:rPr>
          <w:rFonts w:eastAsia="Arial" w:cs="Arial"/>
          <w:szCs w:val="24"/>
        </w:rPr>
      </w:pPr>
      <w:r>
        <w:rPr>
          <w:rFonts w:eastAsia="Arial" w:cs="Arial"/>
          <w:b/>
          <w:szCs w:val="24"/>
        </w:rPr>
        <w:t>Communicative or Interactive Literacy</w:t>
      </w:r>
      <w:r>
        <w:rPr>
          <w:rFonts w:eastAsia="Arial" w:cs="Arial"/>
          <w:szCs w:val="24"/>
        </w:rPr>
        <w:t xml:space="preserve"> refers to more advanced cognitive and literacy skills that, together with social skills, can be used to actively participate in everyday activities, extract information and derive meaning from different forms of communication, and apply new information to changing circumstances.</w:t>
      </w:r>
    </w:p>
    <w:p w14:paraId="691F5AF7" w14:textId="51DDE314" w:rsidR="007C6854" w:rsidRPr="00113E43" w:rsidRDefault="00E0219E" w:rsidP="00007D2E">
      <w:pPr>
        <w:spacing w:after="160" w:line="480" w:lineRule="auto"/>
        <w:jc w:val="both"/>
        <w:rPr>
          <w:rFonts w:eastAsia="Arial" w:cs="Arial"/>
          <w:szCs w:val="24"/>
        </w:rPr>
      </w:pPr>
      <w:r>
        <w:rPr>
          <w:rFonts w:eastAsia="Arial" w:cs="Arial"/>
          <w:b/>
          <w:szCs w:val="24"/>
        </w:rPr>
        <w:t>Critical Literacy</w:t>
      </w:r>
      <w:r>
        <w:rPr>
          <w:rFonts w:eastAsia="Arial" w:cs="Arial"/>
          <w:szCs w:val="24"/>
        </w:rPr>
        <w:t xml:space="preserve"> refers to more advanced cognitive skills that, together with social skills, can be applied to critically analyze information and use this information to exert greater control over life events and situations.</w:t>
      </w:r>
    </w:p>
    <w:p w14:paraId="72F194D0" w14:textId="68508357" w:rsidR="007C6854" w:rsidRDefault="00007D2E" w:rsidP="00113E43">
      <w:pPr>
        <w:spacing w:after="160" w:line="480" w:lineRule="auto"/>
        <w:jc w:val="both"/>
        <w:rPr>
          <w:rFonts w:eastAsia="Arial" w:cs="Arial"/>
          <w:color w:val="0A0A0A"/>
          <w:szCs w:val="24"/>
        </w:rPr>
      </w:pPr>
      <w:r>
        <w:rPr>
          <w:rFonts w:eastAsia="Arial" w:cs="Arial"/>
          <w:b/>
          <w:szCs w:val="24"/>
        </w:rPr>
        <w:t xml:space="preserve">Urban Areas </w:t>
      </w:r>
      <w:r w:rsidR="00E0219E">
        <w:rPr>
          <w:rFonts w:eastAsia="Arial" w:cs="Arial"/>
          <w:color w:val="0A0A0A"/>
          <w:szCs w:val="24"/>
        </w:rPr>
        <w:t xml:space="preserve">refer to all cities regardless of their population density and to municipalities with a population density of at least 500 persons per square kilometer (PCUP, n.d.). </w:t>
      </w:r>
    </w:p>
    <w:p w14:paraId="38E6DCA9" w14:textId="31AB63F5" w:rsidR="007C6854" w:rsidRDefault="00007D2E" w:rsidP="00113E43">
      <w:pPr>
        <w:spacing w:after="160" w:line="480" w:lineRule="auto"/>
        <w:jc w:val="both"/>
        <w:rPr>
          <w:rFonts w:eastAsia="Arial" w:cs="Arial"/>
          <w:color w:val="0A0A0A"/>
          <w:szCs w:val="24"/>
        </w:rPr>
      </w:pPr>
      <w:r>
        <w:rPr>
          <w:rFonts w:eastAsia="Arial" w:cs="Arial"/>
          <w:b/>
          <w:color w:val="2A2A2A"/>
          <w:szCs w:val="24"/>
        </w:rPr>
        <w:t>Urban Poor</w:t>
      </w:r>
      <w:r w:rsidR="00E0219E">
        <w:rPr>
          <w:rFonts w:eastAsia="Arial" w:cs="Arial"/>
          <w:b/>
          <w:color w:val="2A2A2A"/>
          <w:szCs w:val="24"/>
        </w:rPr>
        <w:t xml:space="preserve"> </w:t>
      </w:r>
      <w:r w:rsidR="00E0219E">
        <w:rPr>
          <w:rFonts w:eastAsia="Arial" w:cs="Arial"/>
          <w:color w:val="2A2A2A"/>
          <w:szCs w:val="24"/>
        </w:rPr>
        <w:t xml:space="preserve">refers to individuals or families in urban areas with incomes below the poverty line as defined by the National Statistical Coordinating Board (NSCB). </w:t>
      </w:r>
      <w:r w:rsidR="00E0219E">
        <w:rPr>
          <w:rFonts w:eastAsia="Arial" w:cs="Arial"/>
          <w:color w:val="0A0A0A"/>
          <w:szCs w:val="24"/>
        </w:rPr>
        <w:t xml:space="preserve">They are the underprivileged or homeless sector of society—the unemployed, underemployed, and irregularly employed—or who are incapable of meeting the minimum basic needs and who live in slums, squatter and resettlement areas, sidewalks, dumpsites, road right-of-way, cemeteries, unoccupied government or private lands, or along danger zones like railroad tracks, </w:t>
      </w:r>
      <w:r w:rsidR="00E0219E">
        <w:rPr>
          <w:rFonts w:eastAsia="Arial" w:cs="Arial"/>
          <w:i/>
          <w:color w:val="0A0A0A"/>
          <w:szCs w:val="24"/>
        </w:rPr>
        <w:t>esteros</w:t>
      </w:r>
      <w:r w:rsidR="00E0219E">
        <w:rPr>
          <w:rFonts w:eastAsia="Arial" w:cs="Arial"/>
          <w:color w:val="0A0A0A"/>
          <w:szCs w:val="24"/>
        </w:rPr>
        <w:t>, riverbanks, high-tension wires, or other places in urban areas (PCUP, n.d.).</w:t>
      </w:r>
    </w:p>
    <w:p w14:paraId="40973851" w14:textId="77777777" w:rsidR="007C6854" w:rsidRDefault="00E0219E" w:rsidP="00113E43">
      <w:pPr>
        <w:pStyle w:val="Heading1"/>
        <w:jc w:val="center"/>
        <w:rPr>
          <w:rFonts w:eastAsia="Arial" w:cs="Arial"/>
          <w:sz w:val="24"/>
          <w:szCs w:val="24"/>
        </w:rPr>
      </w:pPr>
      <w:bookmarkStart w:id="22" w:name="_heading=h.3as4poj" w:colFirst="0" w:colLast="0"/>
      <w:bookmarkEnd w:id="22"/>
      <w:r>
        <w:br w:type="page"/>
      </w:r>
      <w:r>
        <w:rPr>
          <w:rFonts w:eastAsia="Arial" w:cs="Arial"/>
          <w:sz w:val="24"/>
          <w:szCs w:val="24"/>
        </w:rPr>
        <w:lastRenderedPageBreak/>
        <w:t>CHAPTER III:</w:t>
      </w:r>
    </w:p>
    <w:p w14:paraId="04584B01" w14:textId="77777777" w:rsidR="007C6854" w:rsidRDefault="00E0219E">
      <w:pPr>
        <w:pStyle w:val="Heading1"/>
        <w:jc w:val="center"/>
        <w:rPr>
          <w:rFonts w:eastAsia="Arial" w:cs="Arial"/>
          <w:sz w:val="24"/>
          <w:szCs w:val="24"/>
        </w:rPr>
      </w:pPr>
      <w:bookmarkStart w:id="23" w:name="_heading=h.1pxezwc" w:colFirst="0" w:colLast="0"/>
      <w:bookmarkEnd w:id="23"/>
      <w:r>
        <w:rPr>
          <w:rFonts w:eastAsia="Arial" w:cs="Arial"/>
          <w:sz w:val="24"/>
          <w:szCs w:val="24"/>
        </w:rPr>
        <w:t>RESEARCH METHODOLOGY</w:t>
      </w:r>
    </w:p>
    <w:p w14:paraId="4A421518" w14:textId="77777777" w:rsidR="007C6854" w:rsidRDefault="00E0219E">
      <w:pPr>
        <w:pStyle w:val="Heading2"/>
        <w:jc w:val="center"/>
        <w:rPr>
          <w:rFonts w:eastAsia="Arial" w:cs="Arial"/>
          <w:sz w:val="24"/>
          <w:szCs w:val="24"/>
        </w:rPr>
      </w:pPr>
      <w:bookmarkStart w:id="24" w:name="_heading=h.49x2ik5" w:colFirst="0" w:colLast="0"/>
      <w:bookmarkEnd w:id="24"/>
      <w:r>
        <w:rPr>
          <w:rFonts w:eastAsia="Arial" w:cs="Arial"/>
          <w:sz w:val="24"/>
          <w:szCs w:val="24"/>
        </w:rPr>
        <w:t>Research Design</w:t>
      </w:r>
    </w:p>
    <w:p w14:paraId="6430083E" w14:textId="77777777" w:rsidR="007C6854" w:rsidRDefault="007C6854"/>
    <w:p w14:paraId="0B96041C" w14:textId="77777777" w:rsidR="00E865ED" w:rsidRDefault="00E0219E" w:rsidP="00E865ED">
      <w:pPr>
        <w:pBdr>
          <w:top w:val="nil"/>
          <w:left w:val="nil"/>
          <w:bottom w:val="nil"/>
          <w:right w:val="nil"/>
          <w:between w:val="nil"/>
        </w:pBdr>
        <w:spacing w:after="160" w:line="480" w:lineRule="auto"/>
        <w:ind w:firstLine="420"/>
        <w:jc w:val="both"/>
        <w:rPr>
          <w:rFonts w:eastAsia="Arial" w:cs="Arial"/>
          <w:color w:val="000000"/>
          <w:szCs w:val="24"/>
        </w:rPr>
      </w:pPr>
      <w:bookmarkStart w:id="25" w:name="_heading=h.1fob9te" w:colFirst="0" w:colLast="0"/>
      <w:bookmarkEnd w:id="25"/>
      <w:r>
        <w:rPr>
          <w:rFonts w:eastAsia="Arial" w:cs="Arial"/>
          <w:color w:val="000000"/>
          <w:szCs w:val="24"/>
        </w:rPr>
        <w:t xml:space="preserve">A </w:t>
      </w:r>
      <w:r>
        <w:rPr>
          <w:rFonts w:eastAsia="Arial" w:cs="Arial"/>
          <w:szCs w:val="24"/>
        </w:rPr>
        <w:t>cross-sectional</w:t>
      </w:r>
      <w:r>
        <w:rPr>
          <w:rFonts w:eastAsia="Arial" w:cs="Arial"/>
          <w:color w:val="000000"/>
          <w:szCs w:val="24"/>
        </w:rPr>
        <w:t xml:space="preserve"> study design was employed. </w:t>
      </w:r>
      <w:r>
        <w:rPr>
          <w:rFonts w:eastAsia="Arial" w:cs="Arial"/>
          <w:szCs w:val="24"/>
        </w:rPr>
        <w:t>(</w:t>
      </w:r>
      <w:proofErr w:type="spellStart"/>
      <w:r>
        <w:rPr>
          <w:rFonts w:eastAsia="Arial" w:cs="Arial"/>
          <w:color w:val="000000"/>
          <w:szCs w:val="24"/>
        </w:rPr>
        <w:t>Soussa</w:t>
      </w:r>
      <w:proofErr w:type="spellEnd"/>
      <w:r>
        <w:rPr>
          <w:rFonts w:eastAsia="Arial" w:cs="Arial"/>
          <w:color w:val="000000"/>
          <w:szCs w:val="24"/>
        </w:rPr>
        <w:t xml:space="preserve">, </w:t>
      </w:r>
      <w:r>
        <w:rPr>
          <w:rFonts w:eastAsia="Arial" w:cs="Arial"/>
          <w:szCs w:val="24"/>
        </w:rPr>
        <w:t>V.D.</w:t>
      </w:r>
      <w:r>
        <w:rPr>
          <w:rFonts w:eastAsia="Arial" w:cs="Arial"/>
          <w:color w:val="000000"/>
          <w:szCs w:val="24"/>
        </w:rPr>
        <w:t>, et al., 2007)</w:t>
      </w:r>
      <w:r>
        <w:rPr>
          <w:rFonts w:eastAsia="Arial" w:cs="Arial"/>
          <w:szCs w:val="24"/>
        </w:rPr>
        <w:t xml:space="preserve"> A</w:t>
      </w:r>
      <w:r>
        <w:rPr>
          <w:rFonts w:eastAsia="Arial" w:cs="Arial"/>
          <w:color w:val="000000"/>
          <w:szCs w:val="24"/>
        </w:rPr>
        <w:t xml:space="preserve"> systematic investigation of the nature of the association or relationship between and among variables was conducted. I</w:t>
      </w:r>
      <w:r>
        <w:rPr>
          <w:rFonts w:eastAsia="Arial" w:cs="Arial"/>
          <w:szCs w:val="24"/>
        </w:rPr>
        <w:t>n addition, t</w:t>
      </w:r>
      <w:r>
        <w:rPr>
          <w:rFonts w:eastAsia="Arial" w:cs="Arial"/>
          <w:color w:val="000000"/>
          <w:szCs w:val="24"/>
        </w:rPr>
        <w:t xml:space="preserve">he </w:t>
      </w:r>
      <w:r>
        <w:rPr>
          <w:rFonts w:eastAsia="Arial" w:cs="Arial"/>
          <w:szCs w:val="24"/>
        </w:rPr>
        <w:t>researcher decided on the design to use to</w:t>
      </w:r>
      <w:r>
        <w:rPr>
          <w:rFonts w:eastAsia="Arial" w:cs="Arial"/>
          <w:color w:val="000000"/>
          <w:szCs w:val="24"/>
        </w:rPr>
        <w:t xml:space="preserve"> examine the changes in one or more variables </w:t>
      </w:r>
      <w:r>
        <w:rPr>
          <w:rFonts w:eastAsia="Arial" w:cs="Arial"/>
          <w:szCs w:val="24"/>
        </w:rPr>
        <w:t>and determine</w:t>
      </w:r>
      <w:r>
        <w:rPr>
          <w:rFonts w:eastAsia="Arial" w:cs="Arial"/>
          <w:color w:val="000000"/>
          <w:szCs w:val="24"/>
        </w:rPr>
        <w:t xml:space="preserve"> if </w:t>
      </w:r>
      <w:r>
        <w:rPr>
          <w:rFonts w:eastAsia="Arial" w:cs="Arial"/>
          <w:szCs w:val="24"/>
        </w:rPr>
        <w:t>they</w:t>
      </w:r>
      <w:r>
        <w:rPr>
          <w:rFonts w:eastAsia="Arial" w:cs="Arial"/>
          <w:color w:val="000000"/>
          <w:szCs w:val="24"/>
        </w:rPr>
        <w:t xml:space="preserve"> </w:t>
      </w:r>
      <w:r>
        <w:rPr>
          <w:rFonts w:eastAsia="Arial" w:cs="Arial"/>
          <w:szCs w:val="24"/>
        </w:rPr>
        <w:t>are</w:t>
      </w:r>
      <w:r>
        <w:rPr>
          <w:rFonts w:eastAsia="Arial" w:cs="Arial"/>
          <w:color w:val="000000"/>
          <w:szCs w:val="24"/>
        </w:rPr>
        <w:t xml:space="preserve"> related to the </w:t>
      </w:r>
      <w:r>
        <w:rPr>
          <w:rFonts w:eastAsia="Arial" w:cs="Arial"/>
          <w:szCs w:val="24"/>
        </w:rPr>
        <w:t>changes</w:t>
      </w:r>
      <w:r>
        <w:rPr>
          <w:rFonts w:eastAsia="Arial" w:cs="Arial"/>
          <w:color w:val="000000"/>
          <w:szCs w:val="24"/>
        </w:rPr>
        <w:t xml:space="preserve"> in </w:t>
      </w:r>
      <w:r>
        <w:rPr>
          <w:rFonts w:eastAsia="Arial" w:cs="Arial"/>
          <w:szCs w:val="24"/>
        </w:rPr>
        <w:t>other</w:t>
      </w:r>
      <w:r>
        <w:rPr>
          <w:rFonts w:eastAsia="Arial" w:cs="Arial"/>
          <w:color w:val="000000"/>
          <w:szCs w:val="24"/>
        </w:rPr>
        <w:t xml:space="preserve"> variables. </w:t>
      </w:r>
    </w:p>
    <w:p w14:paraId="552D05A9" w14:textId="5564802C" w:rsidR="007C6854" w:rsidRPr="00E865ED" w:rsidRDefault="00E0219E" w:rsidP="00E865ED">
      <w:pPr>
        <w:pBdr>
          <w:top w:val="nil"/>
          <w:left w:val="nil"/>
          <w:bottom w:val="nil"/>
          <w:right w:val="nil"/>
          <w:between w:val="nil"/>
        </w:pBdr>
        <w:spacing w:after="160" w:line="480" w:lineRule="auto"/>
        <w:jc w:val="both"/>
        <w:rPr>
          <w:rFonts w:eastAsia="Arial" w:cs="Arial"/>
          <w:color w:val="000000"/>
          <w:szCs w:val="24"/>
        </w:rPr>
      </w:pPr>
      <w:r>
        <w:rPr>
          <w:rFonts w:eastAsia="Arial" w:cs="Arial"/>
          <w:i/>
          <w:szCs w:val="24"/>
        </w:rPr>
        <w:t>Inclusion Criteria</w:t>
      </w:r>
    </w:p>
    <w:p w14:paraId="3D03C9E1" w14:textId="74B3E6DA" w:rsidR="00E865ED" w:rsidRDefault="00E0219E" w:rsidP="00E865ED">
      <w:pPr>
        <w:pBdr>
          <w:top w:val="nil"/>
          <w:left w:val="nil"/>
          <w:bottom w:val="nil"/>
          <w:right w:val="nil"/>
          <w:between w:val="nil"/>
        </w:pBdr>
        <w:spacing w:after="160" w:line="480" w:lineRule="auto"/>
        <w:ind w:hanging="720"/>
        <w:jc w:val="both"/>
        <w:rPr>
          <w:rFonts w:eastAsia="Arial" w:cs="Arial"/>
          <w:szCs w:val="24"/>
        </w:rPr>
      </w:pPr>
      <w:bookmarkStart w:id="26" w:name="_heading=h.wqyh6uyztk47" w:colFirst="0" w:colLast="0"/>
      <w:bookmarkEnd w:id="26"/>
      <w:r>
        <w:rPr>
          <w:rFonts w:eastAsia="Arial" w:cs="Arial"/>
          <w:szCs w:val="24"/>
        </w:rPr>
        <w:tab/>
      </w:r>
      <w:r w:rsidR="00E865ED">
        <w:rPr>
          <w:rFonts w:eastAsia="Arial" w:cs="Arial"/>
          <w:szCs w:val="24"/>
        </w:rPr>
        <w:tab/>
      </w:r>
      <w:r>
        <w:rPr>
          <w:rFonts w:eastAsia="Arial" w:cs="Arial"/>
          <w:szCs w:val="24"/>
        </w:rPr>
        <w:t xml:space="preserve">The research included study participants who were from the communities of </w:t>
      </w:r>
      <w:proofErr w:type="spellStart"/>
      <w:r>
        <w:rPr>
          <w:rFonts w:eastAsia="Arial" w:cs="Arial"/>
          <w:szCs w:val="24"/>
        </w:rPr>
        <w:t>Bukuhan</w:t>
      </w:r>
      <w:proofErr w:type="spellEnd"/>
      <w:r>
        <w:rPr>
          <w:rFonts w:eastAsia="Arial" w:cs="Arial"/>
          <w:szCs w:val="24"/>
        </w:rPr>
        <w:t xml:space="preserve"> Zone 1 and Zone 2 in Santa Ana, Pateros, Metro Manila. The study also includes study participants ages 20 and above who are mentally sound. More so, the researcher included only those who were present at the time of the survey.</w:t>
      </w:r>
      <w:bookmarkStart w:id="27" w:name="_heading=h.kby4rzbw29e4" w:colFirst="0" w:colLast="0"/>
      <w:bookmarkEnd w:id="27"/>
    </w:p>
    <w:p w14:paraId="1B0D7007" w14:textId="77777777" w:rsidR="00E865ED" w:rsidRDefault="00E0219E" w:rsidP="00E865ED">
      <w:pPr>
        <w:pBdr>
          <w:top w:val="nil"/>
          <w:left w:val="nil"/>
          <w:bottom w:val="nil"/>
          <w:right w:val="nil"/>
          <w:between w:val="nil"/>
        </w:pBdr>
        <w:spacing w:after="160" w:line="480" w:lineRule="auto"/>
        <w:ind w:left="720" w:hanging="720"/>
        <w:jc w:val="both"/>
        <w:rPr>
          <w:rFonts w:eastAsia="Arial" w:cs="Arial"/>
          <w:szCs w:val="24"/>
        </w:rPr>
      </w:pPr>
      <w:r>
        <w:rPr>
          <w:rFonts w:eastAsia="Arial" w:cs="Arial"/>
          <w:i/>
          <w:szCs w:val="24"/>
        </w:rPr>
        <w:t>Exclusion Criteria</w:t>
      </w:r>
      <w:bookmarkStart w:id="28" w:name="_heading=h.c7cnvuancu73" w:colFirst="0" w:colLast="0"/>
      <w:bookmarkEnd w:id="28"/>
    </w:p>
    <w:p w14:paraId="521B9D85" w14:textId="536C16CF" w:rsidR="007C6854" w:rsidRDefault="00E865ED" w:rsidP="00E865ED">
      <w:pPr>
        <w:pBdr>
          <w:top w:val="nil"/>
          <w:left w:val="nil"/>
          <w:bottom w:val="nil"/>
          <w:right w:val="nil"/>
          <w:between w:val="nil"/>
        </w:pBdr>
        <w:spacing w:after="160" w:line="480" w:lineRule="auto"/>
        <w:jc w:val="both"/>
        <w:rPr>
          <w:rFonts w:eastAsia="Arial" w:cs="Arial"/>
          <w:szCs w:val="24"/>
        </w:rPr>
      </w:pPr>
      <w:r>
        <w:rPr>
          <w:rFonts w:eastAsia="Arial" w:cs="Arial"/>
          <w:szCs w:val="24"/>
        </w:rPr>
        <w:tab/>
      </w:r>
      <w:r w:rsidR="00E0219E">
        <w:rPr>
          <w:rFonts w:eastAsia="Arial" w:cs="Arial"/>
          <w:szCs w:val="24"/>
        </w:rPr>
        <w:t xml:space="preserve">The study excluded participants who are not residents of the </w:t>
      </w:r>
      <w:proofErr w:type="spellStart"/>
      <w:r w:rsidR="00E0219E">
        <w:rPr>
          <w:rFonts w:eastAsia="Arial" w:cs="Arial"/>
          <w:szCs w:val="24"/>
        </w:rPr>
        <w:t>Bukuhan</w:t>
      </w:r>
      <w:proofErr w:type="spellEnd"/>
      <w:r w:rsidR="00E0219E">
        <w:rPr>
          <w:rFonts w:eastAsia="Arial" w:cs="Arial"/>
          <w:szCs w:val="24"/>
        </w:rPr>
        <w:t xml:space="preserve"> community, who are less than 20 years old, and who are mentally challenged.</w:t>
      </w:r>
    </w:p>
    <w:p w14:paraId="502EC99E" w14:textId="755FD16B" w:rsidR="007C6854" w:rsidRPr="00535869" w:rsidRDefault="00E0219E" w:rsidP="00535869">
      <w:pPr>
        <w:pStyle w:val="Heading2"/>
        <w:spacing w:line="480" w:lineRule="auto"/>
        <w:jc w:val="center"/>
        <w:rPr>
          <w:rFonts w:eastAsia="Arial" w:cs="Arial"/>
          <w:sz w:val="24"/>
          <w:szCs w:val="24"/>
        </w:rPr>
      </w:pPr>
      <w:bookmarkStart w:id="29" w:name="_heading=h.2p2csry" w:colFirst="0" w:colLast="0"/>
      <w:bookmarkEnd w:id="29"/>
      <w:r>
        <w:rPr>
          <w:rFonts w:eastAsia="Arial" w:cs="Arial"/>
          <w:sz w:val="24"/>
          <w:szCs w:val="24"/>
        </w:rPr>
        <w:t>Sampling Technique</w:t>
      </w:r>
    </w:p>
    <w:p w14:paraId="4AE68086" w14:textId="77777777" w:rsidR="00E865ED" w:rsidRDefault="00535869" w:rsidP="00E865ED">
      <w:pPr>
        <w:spacing w:line="480" w:lineRule="auto"/>
        <w:jc w:val="both"/>
        <w:rPr>
          <w:rFonts w:eastAsia="Arial" w:cs="Arial"/>
          <w:szCs w:val="24"/>
        </w:rPr>
      </w:pPr>
      <w:bookmarkStart w:id="30" w:name="_heading=h.2et92p0" w:colFirst="0" w:colLast="0"/>
      <w:bookmarkEnd w:id="30"/>
      <w:r>
        <w:rPr>
          <w:rFonts w:eastAsia="Arial" w:cs="Arial"/>
          <w:szCs w:val="24"/>
        </w:rPr>
        <w:tab/>
      </w:r>
      <w:r w:rsidR="00E0219E">
        <w:rPr>
          <w:rFonts w:eastAsia="Arial" w:cs="Arial"/>
          <w:szCs w:val="24"/>
        </w:rPr>
        <w:t xml:space="preserve">Purposive sampling, also known as expert judgment sampling, was applied to this study. The research applied typical case sampling and maximum variation sampling, allowing an exploratory sampling strategy. (Dudovskiy, n.d.) This type of sampling method enhances the likelihood of a high participation rate. The purposive sampling technique utilized a non-probability method, and the researcher was aware </w:t>
      </w:r>
      <w:r w:rsidR="00E0219E">
        <w:rPr>
          <w:rFonts w:eastAsia="Arial" w:cs="Arial"/>
          <w:szCs w:val="24"/>
        </w:rPr>
        <w:lastRenderedPageBreak/>
        <w:t xml:space="preserve">of its limitations and the issue of generalization. However, using the researcher’s judgment in selecting every individual aged 20 and above living in the community, the research objectives were achieved. But, since the data collection was conducted during the daytime, there was an unbalanced identification among gender groups, and a greater number of participants were captured among higher age groups. </w:t>
      </w:r>
    </w:p>
    <w:p w14:paraId="5B407DEA" w14:textId="07DD8321" w:rsidR="007C6854" w:rsidRPr="00E865ED" w:rsidRDefault="00E865ED" w:rsidP="00E865ED">
      <w:pPr>
        <w:spacing w:line="480" w:lineRule="auto"/>
        <w:jc w:val="both"/>
        <w:rPr>
          <w:rFonts w:eastAsia="Arial" w:cs="Arial"/>
          <w:szCs w:val="24"/>
        </w:rPr>
      </w:pPr>
      <w:r>
        <w:rPr>
          <w:rFonts w:eastAsia="Arial" w:cs="Arial"/>
          <w:szCs w:val="24"/>
        </w:rPr>
        <w:tab/>
      </w:r>
      <w:r w:rsidR="00E0219E">
        <w:rPr>
          <w:rFonts w:eastAsia="Arial" w:cs="Arial"/>
          <w:szCs w:val="24"/>
        </w:rPr>
        <w:t xml:space="preserve">A total of 151 study participants were surveyed. During the sample size calculation, a target number of 161 survey participants was first determined, considering the recruitment period of a month and a half. However, a sample size of 149 was considered acceptable based on the sample size adjustment (see Appendix F for the computation of sample size). </w:t>
      </w:r>
    </w:p>
    <w:p w14:paraId="542B64EE" w14:textId="77777777" w:rsidR="007C6854" w:rsidRDefault="00E0219E" w:rsidP="00113E43">
      <w:pPr>
        <w:pStyle w:val="Heading2"/>
        <w:spacing w:line="480" w:lineRule="auto"/>
        <w:jc w:val="center"/>
        <w:rPr>
          <w:rFonts w:eastAsia="Arial" w:cs="Arial"/>
          <w:sz w:val="24"/>
          <w:szCs w:val="24"/>
        </w:rPr>
      </w:pPr>
      <w:bookmarkStart w:id="31" w:name="_heading=h.147n2zr" w:colFirst="0" w:colLast="0"/>
      <w:bookmarkEnd w:id="31"/>
      <w:r>
        <w:rPr>
          <w:rFonts w:eastAsia="Arial" w:cs="Arial"/>
          <w:sz w:val="24"/>
          <w:szCs w:val="24"/>
        </w:rPr>
        <w:t>Settings and Participants</w:t>
      </w:r>
    </w:p>
    <w:p w14:paraId="0C59D513" w14:textId="1C2B5AA0" w:rsidR="007C6854" w:rsidRDefault="00E0219E" w:rsidP="00535869">
      <w:pPr>
        <w:spacing w:line="480" w:lineRule="auto"/>
        <w:ind w:firstLine="720"/>
        <w:jc w:val="both"/>
        <w:rPr>
          <w:rFonts w:eastAsia="Arial" w:cs="Arial"/>
          <w:b/>
          <w:szCs w:val="24"/>
        </w:rPr>
      </w:pPr>
      <w:r>
        <w:rPr>
          <w:rFonts w:eastAsia="Arial" w:cs="Arial"/>
          <w:color w:val="0A0A0A"/>
          <w:szCs w:val="24"/>
        </w:rPr>
        <w:t xml:space="preserve">Pateros, being the smallest municipality in terms of land area and the only municipality in the National Capital Region, was highly urbanized. It had a population density of 6,138 people per square kilometer in 2015. The largest barangay in terms of land area and population was Santa Ana (PSA, 2017). </w:t>
      </w:r>
      <w:r>
        <w:rPr>
          <w:rFonts w:eastAsia="Arial" w:cs="Arial"/>
          <w:szCs w:val="24"/>
        </w:rPr>
        <w:t xml:space="preserve">The researcher selected the urban poor community of </w:t>
      </w:r>
      <w:proofErr w:type="spellStart"/>
      <w:r>
        <w:rPr>
          <w:rFonts w:eastAsia="Arial" w:cs="Arial"/>
          <w:szCs w:val="24"/>
        </w:rPr>
        <w:t>Bukuhan</w:t>
      </w:r>
      <w:proofErr w:type="spellEnd"/>
      <w:r>
        <w:rPr>
          <w:rFonts w:eastAsia="Arial" w:cs="Arial"/>
          <w:szCs w:val="24"/>
        </w:rPr>
        <w:t xml:space="preserve"> in Barangay Sta. Ana Pateros. It is one of the largest urban poor communities in Santa Ana, Pateros, which extends its boundaries from Zone 1 to Zone 2. The number of respondents surveyed from each community was 44% in Zone 1, Santa Ana, and 56% in Zone 2, Santa Ana. (Appendix G: Estimation of the Adult Population, 20 years old and above)</w:t>
      </w:r>
    </w:p>
    <w:p w14:paraId="2C9D8792" w14:textId="46406957" w:rsidR="007C6854" w:rsidRPr="00113E43" w:rsidRDefault="00E0219E" w:rsidP="00113E43">
      <w:pPr>
        <w:pStyle w:val="Heading2"/>
        <w:spacing w:line="480" w:lineRule="auto"/>
        <w:jc w:val="center"/>
        <w:rPr>
          <w:rFonts w:eastAsia="Arial" w:cs="Arial"/>
          <w:sz w:val="24"/>
          <w:szCs w:val="24"/>
        </w:rPr>
      </w:pPr>
      <w:bookmarkStart w:id="32" w:name="_heading=h.3o7alnk" w:colFirst="0" w:colLast="0"/>
      <w:bookmarkEnd w:id="32"/>
      <w:r>
        <w:rPr>
          <w:rFonts w:eastAsia="Arial" w:cs="Arial"/>
          <w:sz w:val="24"/>
          <w:szCs w:val="24"/>
        </w:rPr>
        <w:lastRenderedPageBreak/>
        <w:t>Data Collection</w:t>
      </w:r>
    </w:p>
    <w:p w14:paraId="3266ABCE" w14:textId="77777777" w:rsidR="007C6854" w:rsidRDefault="00E0219E" w:rsidP="00535869">
      <w:pPr>
        <w:spacing w:line="480" w:lineRule="auto"/>
        <w:ind w:firstLine="720"/>
        <w:jc w:val="both"/>
        <w:rPr>
          <w:rFonts w:eastAsia="Arial" w:cs="Arial"/>
          <w:szCs w:val="24"/>
        </w:rPr>
      </w:pPr>
      <w:r>
        <w:rPr>
          <w:rFonts w:eastAsia="Arial" w:cs="Arial"/>
          <w:szCs w:val="24"/>
        </w:rPr>
        <w:t xml:space="preserve">The research data collection started on July 21, 2022, and ended on October 7, 2022. This was within the range of the researcher's expected timeline for data collection activity. </w:t>
      </w:r>
    </w:p>
    <w:p w14:paraId="27D9C76B" w14:textId="77777777" w:rsidR="007C6854" w:rsidRPr="00535869" w:rsidRDefault="00E0219E" w:rsidP="00535869">
      <w:pPr>
        <w:spacing w:line="480" w:lineRule="auto"/>
        <w:jc w:val="both"/>
        <w:rPr>
          <w:rFonts w:eastAsia="Arial" w:cs="Arial"/>
          <w:b/>
          <w:bCs/>
          <w:szCs w:val="24"/>
        </w:rPr>
      </w:pPr>
      <w:r w:rsidRPr="00535869">
        <w:rPr>
          <w:rFonts w:eastAsia="Arial" w:cs="Arial"/>
          <w:b/>
          <w:bCs/>
          <w:szCs w:val="24"/>
        </w:rPr>
        <w:t>Procedure</w:t>
      </w:r>
    </w:p>
    <w:p w14:paraId="68C41595" w14:textId="77777777" w:rsidR="007C6854" w:rsidRDefault="00E0219E" w:rsidP="00535869">
      <w:pPr>
        <w:spacing w:line="480" w:lineRule="auto"/>
        <w:ind w:firstLine="720"/>
        <w:jc w:val="both"/>
        <w:rPr>
          <w:rFonts w:eastAsia="Arial" w:cs="Arial"/>
          <w:szCs w:val="24"/>
        </w:rPr>
      </w:pPr>
      <w:r>
        <w:rPr>
          <w:rFonts w:eastAsia="Arial" w:cs="Arial"/>
          <w:szCs w:val="24"/>
        </w:rPr>
        <w:t>The respondent was recruited by asking if he or she wanted to be interviewed for the research. Due to the risk of COVID-19 disease, the research team took safety precautions prior to the interview. The research utilized the COVID-19 risk assessment and health declaration form, which was secured among study participants. A health declaration form was used to assess the respondent’s health status. If the screening result shows a low risk of exposure, the researcher will proceed with the data collection process. Appendix D shows that 151 respondents were assessed and interviewed using the survey questionnaire developed for this research (See Figure 2 on Research Process Flows).</w:t>
      </w:r>
    </w:p>
    <w:p w14:paraId="239FC6A0" w14:textId="26634868" w:rsidR="007C6854" w:rsidRDefault="00E0219E" w:rsidP="00535869">
      <w:pPr>
        <w:spacing w:line="480" w:lineRule="auto"/>
        <w:ind w:firstLine="720"/>
        <w:jc w:val="both"/>
        <w:rPr>
          <w:rFonts w:eastAsia="Arial" w:cs="Arial"/>
          <w:szCs w:val="24"/>
        </w:rPr>
      </w:pPr>
      <w:r>
        <w:rPr>
          <w:rFonts w:eastAsia="Arial" w:cs="Arial"/>
          <w:szCs w:val="24"/>
        </w:rPr>
        <w:t>The survey questionnaire was applied to the participants, focusing on questions on socio-demography, hypertension prevalence, and health literacy in the context of hypertension. The questionnaire was developed and uploaded to an open-source platform (</w:t>
      </w:r>
      <w:proofErr w:type="spellStart"/>
      <w:r>
        <w:rPr>
          <w:rFonts w:eastAsia="Arial" w:cs="Arial"/>
          <w:szCs w:val="24"/>
        </w:rPr>
        <w:t>KoboToolbox</w:t>
      </w:r>
      <w:proofErr w:type="spellEnd"/>
      <w:r>
        <w:rPr>
          <w:rFonts w:eastAsia="Arial" w:cs="Arial"/>
          <w:szCs w:val="24"/>
        </w:rPr>
        <w:t xml:space="preserve">, both web-based and mobile). The same data collection application was used to gather survey information from the survey respondent. The final data was downloaded from the Kobo Toolbox application. Data management was done using Microsoft Excel and was stored in both Google Drive and Microsoft One Drive. The data will be deleted after five years starting from the end of data collection, </w:t>
      </w:r>
      <w:proofErr w:type="gramStart"/>
      <w:r>
        <w:rPr>
          <w:rFonts w:eastAsia="Arial" w:cs="Arial"/>
          <w:szCs w:val="24"/>
        </w:rPr>
        <w:t>i.e.</w:t>
      </w:r>
      <w:proofErr w:type="gramEnd"/>
      <w:r>
        <w:rPr>
          <w:rFonts w:eastAsia="Arial" w:cs="Arial"/>
          <w:szCs w:val="24"/>
        </w:rPr>
        <w:t xml:space="preserve"> October 2027.</w:t>
      </w:r>
    </w:p>
    <w:p w14:paraId="4393AD49" w14:textId="77777777" w:rsidR="007C6854" w:rsidRDefault="00E0219E">
      <w:pPr>
        <w:spacing w:line="360" w:lineRule="auto"/>
        <w:jc w:val="both"/>
        <w:rPr>
          <w:rFonts w:eastAsia="Arial" w:cs="Arial"/>
          <w:szCs w:val="24"/>
        </w:rPr>
      </w:pPr>
      <w:r>
        <w:rPr>
          <w:rFonts w:eastAsia="Arial" w:cs="Arial"/>
          <w:szCs w:val="24"/>
        </w:rPr>
        <w:t>Figure 2. Research Workflow, Data Collection, and Data Storage</w:t>
      </w:r>
    </w:p>
    <w:p w14:paraId="136B9619" w14:textId="77777777" w:rsidR="007C6854" w:rsidRDefault="00E0219E">
      <w:pPr>
        <w:spacing w:line="360" w:lineRule="auto"/>
        <w:jc w:val="center"/>
        <w:rPr>
          <w:rFonts w:eastAsia="Arial" w:cs="Arial"/>
          <w:b/>
          <w:szCs w:val="24"/>
        </w:rPr>
      </w:pPr>
      <w:r>
        <w:rPr>
          <w:rFonts w:eastAsia="Arial" w:cs="Arial"/>
          <w:noProof/>
        </w:rPr>
        <w:lastRenderedPageBreak/>
        <w:drawing>
          <wp:inline distT="0" distB="0" distL="0" distR="0" wp14:anchorId="1928E238" wp14:editId="507B4872">
            <wp:extent cx="5943600" cy="5727700"/>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943600" cy="5727700"/>
                    </a:xfrm>
                    <a:prstGeom prst="rect">
                      <a:avLst/>
                    </a:prstGeom>
                    <a:ln/>
                  </pic:spPr>
                </pic:pic>
              </a:graphicData>
            </a:graphic>
          </wp:inline>
        </w:drawing>
      </w:r>
    </w:p>
    <w:p w14:paraId="216A08FD" w14:textId="77777777" w:rsidR="007C6854" w:rsidRDefault="007C6854">
      <w:pPr>
        <w:spacing w:line="360" w:lineRule="auto"/>
        <w:ind w:left="220"/>
        <w:jc w:val="center"/>
        <w:rPr>
          <w:rFonts w:eastAsia="Arial" w:cs="Arial"/>
          <w:b/>
          <w:szCs w:val="24"/>
        </w:rPr>
      </w:pPr>
    </w:p>
    <w:p w14:paraId="7BE78575" w14:textId="77777777" w:rsidR="007C6854" w:rsidRDefault="007C6854">
      <w:pPr>
        <w:spacing w:line="360" w:lineRule="auto"/>
        <w:ind w:left="220"/>
        <w:jc w:val="center"/>
        <w:rPr>
          <w:rFonts w:eastAsia="Arial" w:cs="Arial"/>
          <w:b/>
          <w:szCs w:val="24"/>
        </w:rPr>
      </w:pPr>
    </w:p>
    <w:p w14:paraId="7BF7D881" w14:textId="77777777" w:rsidR="007C6854" w:rsidRDefault="007C6854">
      <w:pPr>
        <w:spacing w:line="360" w:lineRule="auto"/>
        <w:ind w:left="220"/>
        <w:jc w:val="center"/>
        <w:rPr>
          <w:rFonts w:eastAsia="Arial" w:cs="Arial"/>
          <w:b/>
          <w:szCs w:val="24"/>
        </w:rPr>
      </w:pPr>
    </w:p>
    <w:p w14:paraId="6E39C891" w14:textId="77777777" w:rsidR="007C6854" w:rsidRDefault="007C6854">
      <w:pPr>
        <w:spacing w:line="360" w:lineRule="auto"/>
        <w:ind w:left="220"/>
        <w:jc w:val="center"/>
        <w:rPr>
          <w:rFonts w:eastAsia="Arial" w:cs="Arial"/>
          <w:b/>
          <w:szCs w:val="24"/>
        </w:rPr>
      </w:pPr>
    </w:p>
    <w:p w14:paraId="39D05EAF" w14:textId="77777777" w:rsidR="007C6854" w:rsidRDefault="00E0219E">
      <w:pPr>
        <w:pStyle w:val="Heading2"/>
        <w:jc w:val="center"/>
        <w:rPr>
          <w:rFonts w:eastAsia="Arial" w:cs="Arial"/>
          <w:sz w:val="24"/>
          <w:szCs w:val="24"/>
        </w:rPr>
      </w:pPr>
      <w:bookmarkStart w:id="33" w:name="_heading=h.rvkou4wiqjzs" w:colFirst="0" w:colLast="0"/>
      <w:bookmarkEnd w:id="33"/>
      <w:r>
        <w:br w:type="page"/>
      </w:r>
    </w:p>
    <w:p w14:paraId="1EED0288" w14:textId="4C816558" w:rsidR="007C6854" w:rsidRPr="00535869" w:rsidRDefault="00E0219E" w:rsidP="00535869">
      <w:pPr>
        <w:pStyle w:val="Heading2"/>
        <w:spacing w:line="480" w:lineRule="auto"/>
        <w:jc w:val="center"/>
        <w:rPr>
          <w:rFonts w:eastAsia="Arial" w:cs="Arial"/>
          <w:sz w:val="24"/>
          <w:szCs w:val="24"/>
        </w:rPr>
      </w:pPr>
      <w:bookmarkStart w:id="34" w:name="_heading=h.ihv636" w:colFirst="0" w:colLast="0"/>
      <w:bookmarkEnd w:id="34"/>
      <w:r>
        <w:rPr>
          <w:rFonts w:eastAsia="Arial" w:cs="Arial"/>
          <w:sz w:val="24"/>
          <w:szCs w:val="24"/>
        </w:rPr>
        <w:lastRenderedPageBreak/>
        <w:t>Statistical Analysis and Interpretation of Results</w:t>
      </w:r>
    </w:p>
    <w:p w14:paraId="0586D089" w14:textId="1D8794AF" w:rsidR="007C6854" w:rsidRDefault="00535869" w:rsidP="00535869">
      <w:pPr>
        <w:spacing w:line="480" w:lineRule="auto"/>
        <w:ind w:left="220"/>
        <w:jc w:val="both"/>
        <w:rPr>
          <w:rFonts w:eastAsia="Arial" w:cs="Arial"/>
          <w:szCs w:val="24"/>
        </w:rPr>
      </w:pPr>
      <w:r>
        <w:rPr>
          <w:rFonts w:eastAsia="Arial" w:cs="Arial"/>
          <w:szCs w:val="24"/>
        </w:rPr>
        <w:tab/>
      </w:r>
      <w:r w:rsidR="00E0219E">
        <w:rPr>
          <w:rFonts w:eastAsia="Arial" w:cs="Arial"/>
          <w:szCs w:val="24"/>
        </w:rPr>
        <w:t xml:space="preserve">The data output process was initiated upon completing the data collection. A data quality check was also done by converting the Kobo file to an Excel file. The researcher utilized RStudio 2023.03.1 Build 446, release name “Cherry Blossom,” for data transformation and analysis. R is an open-source statistical computing software. </w:t>
      </w:r>
      <w:r>
        <w:rPr>
          <w:rFonts w:eastAsia="Arial" w:cs="Arial"/>
          <w:szCs w:val="24"/>
        </w:rPr>
        <w:t>The R packages that were used are the following: “here” (determining file paths), “</w:t>
      </w:r>
      <w:proofErr w:type="spellStart"/>
      <w:r>
        <w:rPr>
          <w:rFonts w:eastAsia="Arial" w:cs="Arial"/>
          <w:szCs w:val="24"/>
        </w:rPr>
        <w:t>rio</w:t>
      </w:r>
      <w:proofErr w:type="spellEnd"/>
      <w:r>
        <w:rPr>
          <w:rFonts w:eastAsia="Arial" w:cs="Arial"/>
          <w:szCs w:val="24"/>
        </w:rPr>
        <w:t>” (import/export of data), “</w:t>
      </w:r>
      <w:proofErr w:type="spellStart"/>
      <w:r>
        <w:rPr>
          <w:rFonts w:eastAsia="Arial" w:cs="Arial"/>
          <w:szCs w:val="24"/>
        </w:rPr>
        <w:t>readxl</w:t>
      </w:r>
      <w:proofErr w:type="spellEnd"/>
      <w:r>
        <w:rPr>
          <w:rFonts w:eastAsia="Arial" w:cs="Arial"/>
          <w:szCs w:val="24"/>
        </w:rPr>
        <w:t>” (read an excel file), “</w:t>
      </w:r>
      <w:proofErr w:type="spellStart"/>
      <w:r>
        <w:rPr>
          <w:rFonts w:eastAsia="Arial" w:cs="Arial"/>
          <w:szCs w:val="24"/>
        </w:rPr>
        <w:t>tidyverse</w:t>
      </w:r>
      <w:proofErr w:type="spellEnd"/>
      <w:r>
        <w:rPr>
          <w:rFonts w:eastAsia="Arial" w:cs="Arial"/>
          <w:szCs w:val="24"/>
        </w:rPr>
        <w:t>” (using “</w:t>
      </w:r>
      <w:proofErr w:type="spellStart"/>
      <w:r>
        <w:rPr>
          <w:rFonts w:eastAsia="Arial" w:cs="Arial"/>
          <w:szCs w:val="24"/>
        </w:rPr>
        <w:t>dplyr</w:t>
      </w:r>
      <w:proofErr w:type="spellEnd"/>
      <w:r>
        <w:rPr>
          <w:rFonts w:eastAsia="Arial" w:cs="Arial"/>
          <w:szCs w:val="24"/>
        </w:rPr>
        <w:t xml:space="preserve"> and </w:t>
      </w:r>
      <w:proofErr w:type="spellStart"/>
      <w:r>
        <w:rPr>
          <w:rFonts w:eastAsia="Arial" w:cs="Arial"/>
          <w:szCs w:val="24"/>
        </w:rPr>
        <w:t>tidyr</w:t>
      </w:r>
      <w:proofErr w:type="spellEnd"/>
      <w:r>
        <w:rPr>
          <w:rFonts w:eastAsia="Arial" w:cs="Arial"/>
          <w:szCs w:val="24"/>
        </w:rPr>
        <w:t>” for data management, “</w:t>
      </w:r>
      <w:proofErr w:type="spellStart"/>
      <w:r>
        <w:rPr>
          <w:rFonts w:eastAsia="Arial" w:cs="Arial"/>
          <w:szCs w:val="24"/>
        </w:rPr>
        <w:t>linelist</w:t>
      </w:r>
      <w:proofErr w:type="spellEnd"/>
      <w:r>
        <w:rPr>
          <w:rFonts w:eastAsia="Arial" w:cs="Arial"/>
          <w:szCs w:val="24"/>
        </w:rPr>
        <w:t xml:space="preserve">” for cleaning </w:t>
      </w:r>
      <w:proofErr w:type="spellStart"/>
      <w:r>
        <w:rPr>
          <w:rFonts w:eastAsia="Arial" w:cs="Arial"/>
          <w:szCs w:val="24"/>
        </w:rPr>
        <w:t>linelist</w:t>
      </w:r>
      <w:proofErr w:type="spellEnd"/>
      <w:r>
        <w:rPr>
          <w:rFonts w:eastAsia="Arial" w:cs="Arial"/>
          <w:szCs w:val="24"/>
        </w:rPr>
        <w:t>), “janitor” for tables and data cleaning, while “</w:t>
      </w:r>
      <w:proofErr w:type="spellStart"/>
      <w:r>
        <w:rPr>
          <w:rFonts w:eastAsia="Arial" w:cs="Arial"/>
          <w:szCs w:val="24"/>
        </w:rPr>
        <w:t>rstatix</w:t>
      </w:r>
      <w:proofErr w:type="spellEnd"/>
      <w:r>
        <w:rPr>
          <w:rFonts w:eastAsia="Arial" w:cs="Arial"/>
          <w:szCs w:val="24"/>
        </w:rPr>
        <w:t>”,  “broom”, “</w:t>
      </w:r>
      <w:proofErr w:type="spellStart"/>
      <w:r>
        <w:rPr>
          <w:rFonts w:eastAsia="Arial" w:cs="Arial"/>
          <w:szCs w:val="24"/>
        </w:rPr>
        <w:t>lmtest</w:t>
      </w:r>
      <w:proofErr w:type="spellEnd"/>
      <w:r>
        <w:rPr>
          <w:rFonts w:eastAsia="Arial" w:cs="Arial"/>
          <w:szCs w:val="24"/>
        </w:rPr>
        <w:t>”, “</w:t>
      </w:r>
      <w:proofErr w:type="spellStart"/>
      <w:r>
        <w:rPr>
          <w:rFonts w:eastAsia="Arial" w:cs="Arial"/>
          <w:szCs w:val="24"/>
        </w:rPr>
        <w:t>easystats</w:t>
      </w:r>
      <w:proofErr w:type="spellEnd"/>
      <w:r>
        <w:rPr>
          <w:rFonts w:eastAsia="Arial" w:cs="Arial"/>
          <w:szCs w:val="24"/>
        </w:rPr>
        <w:t>”, and “</w:t>
      </w:r>
      <w:proofErr w:type="spellStart"/>
      <w:r>
        <w:rPr>
          <w:rFonts w:eastAsia="Arial" w:cs="Arial"/>
          <w:szCs w:val="24"/>
        </w:rPr>
        <w:t>epicalc</w:t>
      </w:r>
      <w:proofErr w:type="spellEnd"/>
      <w:r>
        <w:rPr>
          <w:rFonts w:eastAsia="Arial" w:cs="Arial"/>
          <w:szCs w:val="24"/>
        </w:rPr>
        <w:t>” were utilized to run statistical analysis. Stratified analysis packages were also used, such as “</w:t>
      </w:r>
      <w:proofErr w:type="spellStart"/>
      <w:r>
        <w:rPr>
          <w:rFonts w:eastAsia="Arial" w:cs="Arial"/>
          <w:szCs w:val="24"/>
        </w:rPr>
        <w:t>epiDisplay</w:t>
      </w:r>
      <w:proofErr w:type="spellEnd"/>
      <w:r>
        <w:rPr>
          <w:rFonts w:eastAsia="Arial" w:cs="Arial"/>
          <w:szCs w:val="24"/>
        </w:rPr>
        <w:t>”, to calculate the M-H Odds Ratio. In addition, the “</w:t>
      </w:r>
      <w:proofErr w:type="spellStart"/>
      <w:r>
        <w:rPr>
          <w:rFonts w:eastAsia="Arial" w:cs="Arial"/>
          <w:szCs w:val="24"/>
        </w:rPr>
        <w:t>knitr</w:t>
      </w:r>
      <w:proofErr w:type="spellEnd"/>
      <w:r>
        <w:rPr>
          <w:rFonts w:eastAsia="Arial" w:cs="Arial"/>
          <w:szCs w:val="24"/>
        </w:rPr>
        <w:t>” and “</w:t>
      </w:r>
      <w:proofErr w:type="spellStart"/>
      <w:r>
        <w:rPr>
          <w:rFonts w:eastAsia="Arial" w:cs="Arial"/>
          <w:szCs w:val="24"/>
        </w:rPr>
        <w:t>KableExtra</w:t>
      </w:r>
      <w:proofErr w:type="spellEnd"/>
      <w:r>
        <w:rPr>
          <w:rFonts w:eastAsia="Arial" w:cs="Arial"/>
          <w:szCs w:val="24"/>
        </w:rPr>
        <w:t>” packages were used for the data table presentation. More so, the “</w:t>
      </w:r>
      <w:proofErr w:type="spellStart"/>
      <w:r>
        <w:rPr>
          <w:rFonts w:eastAsia="Arial" w:cs="Arial"/>
          <w:szCs w:val="24"/>
        </w:rPr>
        <w:t>magrittr</w:t>
      </w:r>
      <w:proofErr w:type="spellEnd"/>
      <w:r>
        <w:rPr>
          <w:rFonts w:eastAsia="Arial" w:cs="Arial"/>
          <w:szCs w:val="24"/>
        </w:rPr>
        <w:t>” package was used to enhance data readability and usability when performing data manipulation, transformation, and analysis (R Core Team, 2023; Batra, Neale, et al., 2021; Carter, 2019).</w:t>
      </w:r>
    </w:p>
    <w:p w14:paraId="1FFAC2EE" w14:textId="77777777" w:rsidR="007C6854" w:rsidRDefault="00E0219E" w:rsidP="00113E43">
      <w:pPr>
        <w:spacing w:line="480" w:lineRule="auto"/>
        <w:ind w:left="220" w:firstLine="500"/>
        <w:jc w:val="both"/>
        <w:rPr>
          <w:rFonts w:eastAsia="Arial" w:cs="Arial"/>
          <w:szCs w:val="24"/>
        </w:rPr>
      </w:pPr>
      <w:r>
        <w:rPr>
          <w:rFonts w:eastAsia="Arial" w:cs="Arial"/>
          <w:szCs w:val="24"/>
        </w:rPr>
        <w:t>The researcher analyzed the gathered data in the following order:</w:t>
      </w:r>
    </w:p>
    <w:p w14:paraId="7214EFE9" w14:textId="77777777" w:rsidR="007C6854" w:rsidRDefault="00E0219E" w:rsidP="00535869">
      <w:pPr>
        <w:numPr>
          <w:ilvl w:val="0"/>
          <w:numId w:val="4"/>
        </w:numPr>
        <w:spacing w:line="480" w:lineRule="auto"/>
        <w:ind w:left="426" w:hanging="142"/>
        <w:jc w:val="both"/>
        <w:rPr>
          <w:rFonts w:eastAsia="Arial" w:cs="Arial"/>
          <w:szCs w:val="24"/>
        </w:rPr>
      </w:pPr>
      <w:r>
        <w:rPr>
          <w:rFonts w:eastAsia="Arial" w:cs="Arial"/>
          <w:szCs w:val="24"/>
        </w:rPr>
        <w:t>Frequency tables examined single to multiple variables and produced descriptive frequencies, presented in numbers, ratios, percentages, or proportions.</w:t>
      </w:r>
    </w:p>
    <w:p w14:paraId="2844BA7A" w14:textId="77777777" w:rsidR="007C6854" w:rsidRDefault="00E0219E" w:rsidP="00535869">
      <w:pPr>
        <w:numPr>
          <w:ilvl w:val="0"/>
          <w:numId w:val="4"/>
        </w:numPr>
        <w:spacing w:line="480" w:lineRule="auto"/>
        <w:ind w:hanging="141"/>
        <w:jc w:val="both"/>
        <w:rPr>
          <w:rFonts w:eastAsia="Arial" w:cs="Arial"/>
          <w:szCs w:val="24"/>
        </w:rPr>
      </w:pPr>
      <w:r>
        <w:rPr>
          <w:rFonts w:eastAsia="Arial" w:cs="Arial"/>
          <w:szCs w:val="24"/>
        </w:rPr>
        <w:t xml:space="preserve">Descriptive statistics were generated for each item to determine the extent of missing values and to look at the low and high values of effects across domains (total health literacy, basic health literacy, communicative health literacy, and critical health literacy). The median value was utilized as a measure of central location to measure health literacy scores. Utilizing </w:t>
      </w:r>
      <w:r>
        <w:rPr>
          <w:rFonts w:eastAsia="Arial" w:cs="Arial"/>
          <w:color w:val="111111"/>
          <w:szCs w:val="24"/>
          <w:highlight w:val="white"/>
        </w:rPr>
        <w:t xml:space="preserve">Jeong, H.J. &amp; Lee, W.C. (2016) </w:t>
      </w:r>
      <w:r>
        <w:rPr>
          <w:rFonts w:eastAsia="Arial" w:cs="Arial"/>
          <w:color w:val="111111"/>
          <w:szCs w:val="24"/>
          <w:highlight w:val="white"/>
        </w:rPr>
        <w:lastRenderedPageBreak/>
        <w:t>idea of categorizing on a 5-point Likert scale, where less than 4 (1 to 3.99) is considered low and a score of 4 and above is considered high. This same idea was used to group the scale into binary measures, and</w:t>
      </w:r>
    </w:p>
    <w:p w14:paraId="6FB2A579" w14:textId="77777777" w:rsidR="007C6854" w:rsidRDefault="00E0219E" w:rsidP="00535869">
      <w:pPr>
        <w:numPr>
          <w:ilvl w:val="0"/>
          <w:numId w:val="4"/>
        </w:numPr>
        <w:spacing w:line="480" w:lineRule="auto"/>
        <w:ind w:hanging="141"/>
        <w:jc w:val="both"/>
        <w:rPr>
          <w:rFonts w:eastAsia="Arial" w:cs="Arial"/>
          <w:szCs w:val="24"/>
        </w:rPr>
      </w:pPr>
      <w:r>
        <w:rPr>
          <w:rFonts w:eastAsia="Arial" w:cs="Arial"/>
          <w:szCs w:val="24"/>
        </w:rPr>
        <w:t>Measure of Association: A stratified analysis was utilized to examine how the relationship between two variables changes across different groups. whereas the outcome of interest is health literacy, and the independent variables are the demographic data of interest, such as age, sex, educational level, employment status, wealth status, and health insurance status. These variables were stratified by hypertension level, focusing only on those with hypertension. The Odds Ratio (OR) was calculated and interpreted as the magnitude of the association between two variables. An Odd Ratio of above one (1) will be interpreted as the likelihood of an effect, and a p</w:t>
      </w:r>
      <w:r>
        <w:rPr>
          <w:rFonts w:eastAsia="Arial" w:cs="Arial"/>
          <w:i/>
          <w:szCs w:val="24"/>
        </w:rPr>
        <w:t>-value</w:t>
      </w:r>
      <w:r>
        <w:rPr>
          <w:rFonts w:eastAsia="Arial" w:cs="Arial"/>
          <w:szCs w:val="24"/>
        </w:rPr>
        <w:t xml:space="preserve"> of less than 0.05 will be considered significant.</w:t>
      </w:r>
    </w:p>
    <w:p w14:paraId="3382F3EA" w14:textId="0F440CF7" w:rsidR="007C6854" w:rsidRDefault="00535869" w:rsidP="00535869">
      <w:pPr>
        <w:spacing w:line="480" w:lineRule="auto"/>
        <w:jc w:val="both"/>
        <w:rPr>
          <w:rFonts w:eastAsia="Arial" w:cs="Arial"/>
          <w:b/>
          <w:szCs w:val="24"/>
        </w:rPr>
      </w:pPr>
      <w:r>
        <w:rPr>
          <w:rFonts w:eastAsia="Arial" w:cs="Arial"/>
          <w:szCs w:val="24"/>
        </w:rPr>
        <w:tab/>
      </w:r>
      <w:r w:rsidR="00E0219E">
        <w:rPr>
          <w:rFonts w:eastAsia="Arial" w:cs="Arial"/>
          <w:szCs w:val="24"/>
        </w:rPr>
        <w:t xml:space="preserve">Moreso, a data analysis plan was developed to demonstrate how the data was analyzed. Moreover, the researcher developed an R script file for the purpose of data analysis convenience if the data will run repetitively using R software (Appendix I: Database and </w:t>
      </w:r>
      <w:proofErr w:type="spellStart"/>
      <w:r w:rsidR="00E0219E">
        <w:rPr>
          <w:rFonts w:eastAsia="Arial" w:cs="Arial"/>
          <w:szCs w:val="24"/>
        </w:rPr>
        <w:t>Rscript</w:t>
      </w:r>
      <w:proofErr w:type="spellEnd"/>
      <w:r w:rsidR="00E0219E">
        <w:rPr>
          <w:rFonts w:eastAsia="Arial" w:cs="Arial"/>
          <w:szCs w:val="24"/>
        </w:rPr>
        <w:t xml:space="preserve"> on Data Analysis). </w:t>
      </w:r>
    </w:p>
    <w:p w14:paraId="41D433A5" w14:textId="3AE1596E" w:rsidR="007C6854" w:rsidRDefault="00535869" w:rsidP="00113E43">
      <w:pPr>
        <w:spacing w:line="480" w:lineRule="auto"/>
        <w:jc w:val="center"/>
        <w:rPr>
          <w:rFonts w:eastAsia="Arial" w:cs="Arial"/>
          <w:b/>
          <w:szCs w:val="24"/>
        </w:rPr>
      </w:pPr>
      <w:r>
        <w:rPr>
          <w:rFonts w:eastAsia="Arial" w:cs="Arial"/>
          <w:b/>
          <w:szCs w:val="24"/>
        </w:rPr>
        <w:t>Bias</w:t>
      </w:r>
    </w:p>
    <w:p w14:paraId="5DBE1A03" w14:textId="57FC326C" w:rsidR="007C6854" w:rsidRPr="00113E43" w:rsidRDefault="00E0219E" w:rsidP="00535869">
      <w:pPr>
        <w:spacing w:line="480" w:lineRule="auto"/>
        <w:ind w:firstLine="720"/>
        <w:jc w:val="both"/>
        <w:rPr>
          <w:rFonts w:eastAsia="Arial" w:cs="Arial"/>
          <w:b/>
          <w:szCs w:val="24"/>
        </w:rPr>
      </w:pPr>
      <w:r>
        <w:rPr>
          <w:rFonts w:eastAsia="Arial" w:cs="Arial"/>
          <w:szCs w:val="24"/>
        </w:rPr>
        <w:t xml:space="preserve">By considering the sampling method that would be used for the research, research biases were evaluated and considered. Although a nonprobability sampling technique was used in selecting survey participants, the researcher anticipated a selection bias problem. The researcher considered selecting the target population by focusing on the adult population aged 20 years and older. The researcher set criteria for selection. Research enumerators were thoroughly trained on survey materials and tools. Data analysis bias was considered. The researcher makes sure that the </w:t>
      </w:r>
      <w:r>
        <w:rPr>
          <w:rFonts w:eastAsia="Arial" w:cs="Arial"/>
          <w:szCs w:val="24"/>
        </w:rPr>
        <w:lastRenderedPageBreak/>
        <w:t xml:space="preserve">populations of Zone 1 and Zone 2 are represented in the survey. More so, analytic bias was anticipated by assigning required field parameters during questionnaire design. This limits the error of a wrong entry and the extreme representation of missing values. Non-response bias is anticipated by collaborating with the barangay health center and barangay health workers on a list of clients registered in the study population. </w:t>
      </w:r>
      <w:bookmarkStart w:id="35" w:name="_heading=h.6fs25los6saw" w:colFirst="0" w:colLast="0"/>
      <w:bookmarkStart w:id="36" w:name="_heading=h.u149vgdire32" w:colFirst="0" w:colLast="0"/>
      <w:bookmarkStart w:id="37" w:name="_heading=h.d1sixnw3uobd" w:colFirst="0" w:colLast="0"/>
      <w:bookmarkEnd w:id="35"/>
      <w:bookmarkEnd w:id="36"/>
      <w:bookmarkEnd w:id="37"/>
    </w:p>
    <w:p w14:paraId="4600113F" w14:textId="57782CDD" w:rsidR="007C6854" w:rsidRPr="00113E43" w:rsidRDefault="00E0219E" w:rsidP="00113E43">
      <w:pPr>
        <w:pStyle w:val="Heading2"/>
        <w:spacing w:line="480" w:lineRule="auto"/>
        <w:jc w:val="center"/>
        <w:rPr>
          <w:rFonts w:eastAsia="Arial" w:cs="Arial"/>
          <w:sz w:val="24"/>
          <w:szCs w:val="24"/>
        </w:rPr>
      </w:pPr>
      <w:bookmarkStart w:id="38" w:name="_heading=h.32hioqz" w:colFirst="0" w:colLast="0"/>
      <w:bookmarkEnd w:id="38"/>
      <w:r>
        <w:rPr>
          <w:rFonts w:eastAsia="Arial" w:cs="Arial"/>
          <w:sz w:val="24"/>
          <w:szCs w:val="24"/>
        </w:rPr>
        <w:t>Data Management</w:t>
      </w:r>
    </w:p>
    <w:p w14:paraId="1C558D4E" w14:textId="0127443C" w:rsidR="000150F8" w:rsidRPr="00E865ED" w:rsidRDefault="00E0219E" w:rsidP="00E865ED">
      <w:pPr>
        <w:spacing w:line="480" w:lineRule="auto"/>
        <w:ind w:firstLine="720"/>
        <w:jc w:val="both"/>
        <w:rPr>
          <w:rFonts w:eastAsia="Arial" w:cs="Arial"/>
          <w:szCs w:val="24"/>
        </w:rPr>
      </w:pPr>
      <w:r>
        <w:rPr>
          <w:rFonts w:eastAsia="Arial" w:cs="Arial"/>
          <w:szCs w:val="24"/>
        </w:rPr>
        <w:t>More so, once the data collection is completed, the researcher will keep the data for five years and keep it on his personal cloud drive. Further, to monitor the quality of the research, the researcher allowed the regulation authorities, i.e., the research panel and the UPOU IREC members, to conduct any quality check or ask for any documents pertaining to the research process and the conduct of the research. Collected data was stored on the personal cloud drive of the researcher (data intake process) unless advised to change the storage to the UPOU data repository server (Figure 2).</w:t>
      </w:r>
    </w:p>
    <w:p w14:paraId="6A9E4A0C" w14:textId="2B6F26A8" w:rsidR="007C6854" w:rsidRPr="000150F8" w:rsidRDefault="00E0219E" w:rsidP="000150F8">
      <w:pPr>
        <w:pStyle w:val="Heading2"/>
        <w:spacing w:line="480" w:lineRule="auto"/>
        <w:jc w:val="center"/>
        <w:rPr>
          <w:rFonts w:eastAsia="Arial" w:cs="Arial"/>
          <w:sz w:val="24"/>
          <w:szCs w:val="24"/>
        </w:rPr>
      </w:pPr>
      <w:bookmarkStart w:id="39" w:name="_heading=h.1hmsyys" w:colFirst="0" w:colLast="0"/>
      <w:bookmarkEnd w:id="39"/>
      <w:r>
        <w:rPr>
          <w:rFonts w:eastAsia="Arial" w:cs="Arial"/>
          <w:sz w:val="24"/>
          <w:szCs w:val="24"/>
        </w:rPr>
        <w:t>Ethical Consideration</w:t>
      </w:r>
    </w:p>
    <w:p w14:paraId="558BA7BE" w14:textId="77777777" w:rsidR="007C6854" w:rsidRDefault="00E0219E" w:rsidP="000150F8">
      <w:pPr>
        <w:spacing w:line="480" w:lineRule="auto"/>
        <w:ind w:firstLine="720"/>
        <w:jc w:val="both"/>
        <w:rPr>
          <w:rFonts w:eastAsia="Arial" w:cs="Arial"/>
          <w:szCs w:val="24"/>
        </w:rPr>
      </w:pPr>
      <w:r>
        <w:rPr>
          <w:rFonts w:eastAsia="Arial" w:cs="Arial"/>
          <w:szCs w:val="24"/>
        </w:rPr>
        <w:t>The University of the Philippines Open University Institutional Research Ethics Committee (UPOU-IREC/REC Code: 2022-0006-F-FMDS) reviewed and approved the research protocol (Appendix B). The study ensures that no harm was done to all respondents and that all rights were observed as we conducted the research.</w:t>
      </w:r>
    </w:p>
    <w:p w14:paraId="661F1ADE" w14:textId="77777777" w:rsidR="00E865ED" w:rsidRDefault="00E865ED" w:rsidP="000150F8">
      <w:pPr>
        <w:spacing w:line="480" w:lineRule="auto"/>
        <w:ind w:firstLine="720"/>
        <w:jc w:val="both"/>
        <w:rPr>
          <w:rFonts w:eastAsia="Arial" w:cs="Arial"/>
          <w:b/>
          <w:szCs w:val="24"/>
        </w:rPr>
      </w:pPr>
    </w:p>
    <w:p w14:paraId="7AC947E2" w14:textId="784411C6" w:rsidR="007C6854" w:rsidRPr="000150F8" w:rsidRDefault="00E0219E" w:rsidP="000150F8">
      <w:pPr>
        <w:pStyle w:val="Heading3"/>
        <w:spacing w:line="480" w:lineRule="auto"/>
        <w:rPr>
          <w:rFonts w:eastAsia="Arial" w:cs="Arial"/>
          <w:sz w:val="24"/>
          <w:szCs w:val="24"/>
        </w:rPr>
      </w:pPr>
      <w:bookmarkStart w:id="40" w:name="_heading=h.41mghml" w:colFirst="0" w:colLast="0"/>
      <w:bookmarkEnd w:id="40"/>
      <w:r>
        <w:rPr>
          <w:rFonts w:eastAsia="Arial" w:cs="Arial"/>
          <w:sz w:val="24"/>
          <w:szCs w:val="24"/>
        </w:rPr>
        <w:lastRenderedPageBreak/>
        <w:t xml:space="preserve">Risks and Inconveniences </w:t>
      </w:r>
    </w:p>
    <w:p w14:paraId="16D7A1F7" w14:textId="666AD4B6" w:rsidR="007C6854" w:rsidRDefault="000150F8" w:rsidP="000150F8">
      <w:pPr>
        <w:spacing w:line="480" w:lineRule="auto"/>
        <w:jc w:val="both"/>
        <w:rPr>
          <w:rFonts w:eastAsia="Arial" w:cs="Arial"/>
          <w:szCs w:val="24"/>
        </w:rPr>
      </w:pPr>
      <w:r>
        <w:rPr>
          <w:rFonts w:eastAsia="Arial" w:cs="Arial"/>
          <w:szCs w:val="24"/>
        </w:rPr>
        <w:tab/>
      </w:r>
      <w:r w:rsidR="00E0219E">
        <w:rPr>
          <w:rFonts w:eastAsia="Arial" w:cs="Arial"/>
          <w:szCs w:val="24"/>
        </w:rPr>
        <w:t xml:space="preserve">The researcher maintains no harm among survey participants throughout the study, which includes the risk of exposing oneself to the COVID-19 virus and getting infected. The interviewer assessed the survey participants using a health declaration form. Likewise, a daily health declaration is monitored for any development of symptoms among enumerators. On top of that, both the researcher or interviewer and the survey participants have the assurance of protection from getting infected with COVID-19. </w:t>
      </w:r>
    </w:p>
    <w:p w14:paraId="496B671A" w14:textId="627F4751" w:rsidR="00E865ED" w:rsidRDefault="00E0219E" w:rsidP="00E865ED">
      <w:pPr>
        <w:spacing w:line="480" w:lineRule="auto"/>
        <w:ind w:firstLine="720"/>
        <w:jc w:val="both"/>
        <w:rPr>
          <w:rFonts w:eastAsia="Arial" w:cs="Arial"/>
          <w:szCs w:val="24"/>
        </w:rPr>
      </w:pPr>
      <w:proofErr w:type="gramStart"/>
      <w:r>
        <w:rPr>
          <w:rFonts w:eastAsia="Arial" w:cs="Arial"/>
          <w:szCs w:val="24"/>
        </w:rPr>
        <w:t>More so</w:t>
      </w:r>
      <w:proofErr w:type="gramEnd"/>
      <w:r>
        <w:rPr>
          <w:rFonts w:eastAsia="Arial" w:cs="Arial"/>
          <w:szCs w:val="24"/>
        </w:rPr>
        <w:t xml:space="preserve">, in the conduct of the survey, the clause of participation was </w:t>
      </w:r>
      <w:r w:rsidR="00E865ED">
        <w:rPr>
          <w:rFonts w:eastAsia="Arial" w:cs="Arial"/>
          <w:szCs w:val="24"/>
        </w:rPr>
        <w:t>secured,</w:t>
      </w:r>
      <w:r>
        <w:rPr>
          <w:rFonts w:eastAsia="Arial" w:cs="Arial"/>
          <w:szCs w:val="24"/>
        </w:rPr>
        <w:t xml:space="preserve"> and human rights were observed. </w:t>
      </w:r>
    </w:p>
    <w:p w14:paraId="4B3211BA" w14:textId="77777777" w:rsidR="00E865ED" w:rsidRDefault="00E0219E" w:rsidP="00E865ED">
      <w:pPr>
        <w:pStyle w:val="Heading3"/>
        <w:spacing w:line="480" w:lineRule="auto"/>
        <w:rPr>
          <w:rFonts w:eastAsia="Arial" w:cs="Arial"/>
          <w:sz w:val="24"/>
          <w:szCs w:val="24"/>
        </w:rPr>
      </w:pPr>
      <w:bookmarkStart w:id="41" w:name="_heading=h.2grqrue" w:colFirst="0" w:colLast="0"/>
      <w:bookmarkEnd w:id="41"/>
      <w:r>
        <w:rPr>
          <w:rFonts w:eastAsia="Arial" w:cs="Arial"/>
          <w:sz w:val="24"/>
          <w:szCs w:val="24"/>
        </w:rPr>
        <w:t>Possible Benefits to the Participants and the Community</w:t>
      </w:r>
    </w:p>
    <w:p w14:paraId="688931EF" w14:textId="595ACE3B" w:rsidR="000150F8" w:rsidRPr="00E865ED" w:rsidRDefault="00E865ED" w:rsidP="00E865ED">
      <w:pPr>
        <w:spacing w:line="480" w:lineRule="auto"/>
      </w:pPr>
      <w:r>
        <w:tab/>
      </w:r>
      <w:r w:rsidR="00E0219E">
        <w:t>The result of the study was disseminated to the local authority and local health officer via video conference or face-to-face conference if permitted. The study can be used as baseline information to be utilized for planning and public health policy crafting. The research may also be used to involve the community in planning and decision-making concerning their health, at the discretion of the health officer. The local health authority could create culturally sensitive health promotion materials to address any gaps in health literacy among urban poor settlers with hypertension. On the other hand, research has no direct benefit for the community. The action response for this research by the health authority is discretionary.</w:t>
      </w:r>
      <w:bookmarkStart w:id="42" w:name="_heading=h.lbl3kb6pw74j" w:colFirst="0" w:colLast="0"/>
      <w:bookmarkEnd w:id="42"/>
    </w:p>
    <w:p w14:paraId="2AF4B07F" w14:textId="117DE7A6" w:rsidR="007C6854" w:rsidRPr="000150F8" w:rsidRDefault="00E0219E" w:rsidP="000150F8">
      <w:pPr>
        <w:pStyle w:val="Heading3"/>
        <w:spacing w:line="480" w:lineRule="auto"/>
        <w:rPr>
          <w:rFonts w:eastAsia="Arial" w:cs="Arial"/>
          <w:sz w:val="24"/>
          <w:szCs w:val="24"/>
        </w:rPr>
      </w:pPr>
      <w:bookmarkStart w:id="43" w:name="_heading=h.vx1227" w:colFirst="0" w:colLast="0"/>
      <w:bookmarkEnd w:id="43"/>
      <w:r>
        <w:rPr>
          <w:rFonts w:eastAsia="Arial" w:cs="Arial"/>
          <w:sz w:val="24"/>
          <w:szCs w:val="24"/>
        </w:rPr>
        <w:t>Compensation</w:t>
      </w:r>
    </w:p>
    <w:p w14:paraId="59CF1421" w14:textId="0FE24B9F" w:rsidR="000150F8" w:rsidRDefault="00E0219E" w:rsidP="00E865ED">
      <w:pPr>
        <w:spacing w:line="480" w:lineRule="auto"/>
        <w:ind w:firstLine="720"/>
        <w:jc w:val="both"/>
        <w:rPr>
          <w:rFonts w:eastAsia="Arial" w:cs="Arial"/>
          <w:szCs w:val="24"/>
        </w:rPr>
      </w:pPr>
      <w:r>
        <w:rPr>
          <w:rFonts w:eastAsia="Arial" w:cs="Arial"/>
          <w:szCs w:val="24"/>
        </w:rPr>
        <w:t xml:space="preserve">The study is a low-budget initiative whose intention is only academic compliance; thus, the study fund came from the researcher’s savings. </w:t>
      </w:r>
    </w:p>
    <w:p w14:paraId="62338789" w14:textId="77777777" w:rsidR="00E865ED" w:rsidRDefault="00E865ED" w:rsidP="00E865ED">
      <w:pPr>
        <w:spacing w:line="480" w:lineRule="auto"/>
        <w:ind w:firstLine="720"/>
        <w:jc w:val="both"/>
        <w:rPr>
          <w:rFonts w:eastAsia="Arial" w:cs="Arial"/>
          <w:szCs w:val="24"/>
        </w:rPr>
      </w:pPr>
    </w:p>
    <w:p w14:paraId="5F04EEF8" w14:textId="005BB8D9" w:rsidR="007C6854" w:rsidRDefault="00E0219E" w:rsidP="00113E43">
      <w:pPr>
        <w:pStyle w:val="Heading3"/>
        <w:spacing w:line="480" w:lineRule="auto"/>
        <w:rPr>
          <w:rFonts w:eastAsia="Arial" w:cs="Arial"/>
          <w:sz w:val="24"/>
          <w:szCs w:val="24"/>
        </w:rPr>
      </w:pPr>
      <w:r>
        <w:rPr>
          <w:rFonts w:eastAsia="Arial" w:cs="Arial"/>
          <w:sz w:val="24"/>
          <w:szCs w:val="24"/>
        </w:rPr>
        <w:t>Respondents or Participants</w:t>
      </w:r>
    </w:p>
    <w:p w14:paraId="562FDE54" w14:textId="47DFD96C" w:rsidR="00E865ED" w:rsidRDefault="00E0219E" w:rsidP="00E865ED">
      <w:pPr>
        <w:spacing w:line="480" w:lineRule="auto"/>
        <w:ind w:firstLine="720"/>
        <w:jc w:val="both"/>
        <w:rPr>
          <w:rFonts w:eastAsia="Arial" w:cs="Arial"/>
          <w:szCs w:val="24"/>
        </w:rPr>
      </w:pPr>
      <w:r>
        <w:rPr>
          <w:rFonts w:eastAsia="Arial" w:cs="Arial"/>
          <w:szCs w:val="24"/>
        </w:rPr>
        <w:t>Concerning the above, the researcher provided an incentive to survey respondents in the form of a monetary payment of 50 pesos. The intention is to compensate the research participant for the time spent participating in the research study, as requested by the researcher.</w:t>
      </w:r>
    </w:p>
    <w:p w14:paraId="2FF374E2" w14:textId="6E76A55C" w:rsidR="007C6854" w:rsidRPr="00F362B2" w:rsidRDefault="00E0219E" w:rsidP="00F362B2">
      <w:pPr>
        <w:pStyle w:val="Heading3"/>
        <w:spacing w:line="480" w:lineRule="auto"/>
        <w:rPr>
          <w:rFonts w:eastAsia="Arial" w:cs="Arial"/>
          <w:sz w:val="24"/>
          <w:szCs w:val="24"/>
        </w:rPr>
      </w:pPr>
      <w:bookmarkStart w:id="44" w:name="_heading=h.1v1yuxt" w:colFirst="0" w:colLast="0"/>
      <w:bookmarkEnd w:id="44"/>
      <w:r>
        <w:rPr>
          <w:rFonts w:eastAsia="Arial" w:cs="Arial"/>
          <w:sz w:val="24"/>
          <w:szCs w:val="24"/>
        </w:rPr>
        <w:t>Research Assistant / Enumerator(s)</w:t>
      </w:r>
    </w:p>
    <w:p w14:paraId="59DF92C4" w14:textId="71A4ECC2" w:rsidR="00F362B2" w:rsidRDefault="00E0219E" w:rsidP="00E865ED">
      <w:pPr>
        <w:spacing w:line="480" w:lineRule="auto"/>
        <w:ind w:firstLine="720"/>
        <w:jc w:val="both"/>
        <w:rPr>
          <w:rFonts w:eastAsia="Arial" w:cs="Arial"/>
          <w:szCs w:val="24"/>
        </w:rPr>
      </w:pPr>
      <w:r>
        <w:rPr>
          <w:rFonts w:eastAsia="Arial" w:cs="Arial"/>
          <w:szCs w:val="24"/>
        </w:rPr>
        <w:t xml:space="preserve">The researcher hires a research assistant or enumerator to assist in data collection. Remuneration was provided, and payment was </w:t>
      </w:r>
      <w:proofErr w:type="gramStart"/>
      <w:r>
        <w:rPr>
          <w:rFonts w:eastAsia="Arial" w:cs="Arial"/>
          <w:szCs w:val="24"/>
        </w:rPr>
        <w:t>directly made</w:t>
      </w:r>
      <w:proofErr w:type="gramEnd"/>
      <w:r>
        <w:rPr>
          <w:rFonts w:eastAsia="Arial" w:cs="Arial"/>
          <w:szCs w:val="24"/>
        </w:rPr>
        <w:t xml:space="preserve"> to the research assistant in the amount of 12,000 pesos in total.</w:t>
      </w:r>
    </w:p>
    <w:p w14:paraId="4C29EC7A" w14:textId="573384B3" w:rsidR="007C6854" w:rsidRPr="00F362B2" w:rsidRDefault="00E0219E" w:rsidP="00F362B2">
      <w:pPr>
        <w:pStyle w:val="Heading3"/>
        <w:spacing w:line="480" w:lineRule="auto"/>
        <w:rPr>
          <w:rFonts w:eastAsia="Arial" w:cs="Arial"/>
          <w:sz w:val="24"/>
          <w:szCs w:val="24"/>
        </w:rPr>
      </w:pPr>
      <w:bookmarkStart w:id="45" w:name="_heading=h.4f1mdlm" w:colFirst="0" w:colLast="0"/>
      <w:bookmarkEnd w:id="45"/>
      <w:r>
        <w:rPr>
          <w:rFonts w:eastAsia="Arial" w:cs="Arial"/>
          <w:sz w:val="24"/>
          <w:szCs w:val="24"/>
        </w:rPr>
        <w:t>Provision for Injury or related illnesses</w:t>
      </w:r>
    </w:p>
    <w:p w14:paraId="3994B5CD" w14:textId="5F1BB73A" w:rsidR="00F362B2" w:rsidRPr="00F362B2" w:rsidRDefault="00E0219E" w:rsidP="00F362B2">
      <w:pPr>
        <w:pBdr>
          <w:top w:val="nil"/>
          <w:left w:val="nil"/>
          <w:bottom w:val="nil"/>
          <w:right w:val="nil"/>
          <w:between w:val="nil"/>
        </w:pBdr>
        <w:spacing w:line="480" w:lineRule="auto"/>
        <w:ind w:firstLine="720"/>
        <w:jc w:val="both"/>
        <w:rPr>
          <w:rFonts w:eastAsia="Arial" w:cs="Arial"/>
          <w:color w:val="000000"/>
          <w:szCs w:val="24"/>
        </w:rPr>
      </w:pPr>
      <w:bookmarkStart w:id="46" w:name="_heading=h.2s8eyo1" w:colFirst="0" w:colLast="0"/>
      <w:bookmarkEnd w:id="46"/>
      <w:r>
        <w:rPr>
          <w:rFonts w:eastAsia="Arial" w:cs="Arial"/>
          <w:szCs w:val="24"/>
        </w:rPr>
        <w:t xml:space="preserve">The study ensured that both the enumerator and survey participants were given proper health attention in case of sickness due to potential detection or exposure during the interview. The researcher coordinated with the Mayor Juan R. Sanchez Health Center on potential referrals. </w:t>
      </w:r>
      <w:r>
        <w:rPr>
          <w:rFonts w:eastAsia="Arial" w:cs="Arial"/>
          <w:color w:val="000000"/>
          <w:szCs w:val="24"/>
        </w:rPr>
        <w:t xml:space="preserve">During data collection </w:t>
      </w:r>
      <w:r>
        <w:rPr>
          <w:rFonts w:eastAsia="Arial" w:cs="Arial"/>
          <w:szCs w:val="24"/>
        </w:rPr>
        <w:t>activities</w:t>
      </w:r>
      <w:r>
        <w:rPr>
          <w:rFonts w:eastAsia="Arial" w:cs="Arial"/>
          <w:color w:val="000000"/>
          <w:szCs w:val="24"/>
        </w:rPr>
        <w:t>, no interviewer or survey participants got sick.</w:t>
      </w:r>
      <w:r>
        <w:rPr>
          <w:rFonts w:eastAsia="Arial" w:cs="Arial"/>
          <w:szCs w:val="24"/>
        </w:rPr>
        <w:t xml:space="preserve"> Regarding high blood pressure, s</w:t>
      </w:r>
      <w:r>
        <w:rPr>
          <w:rFonts w:eastAsia="Arial" w:cs="Arial"/>
          <w:color w:val="000000"/>
          <w:szCs w:val="24"/>
        </w:rPr>
        <w:t>ince only historical data was collected f</w:t>
      </w:r>
      <w:r>
        <w:rPr>
          <w:rFonts w:eastAsia="Arial" w:cs="Arial"/>
          <w:szCs w:val="24"/>
        </w:rPr>
        <w:t>rom</w:t>
      </w:r>
      <w:r>
        <w:rPr>
          <w:rFonts w:eastAsia="Arial" w:cs="Arial"/>
          <w:color w:val="000000"/>
          <w:szCs w:val="24"/>
        </w:rPr>
        <w:t xml:space="preserve"> the participants, no survey participants were referred to a healthcare facility. </w:t>
      </w:r>
    </w:p>
    <w:p w14:paraId="3DBCF06A" w14:textId="77777777" w:rsidR="007C6854" w:rsidRDefault="00E0219E" w:rsidP="00113E43">
      <w:pPr>
        <w:pStyle w:val="Heading3"/>
        <w:spacing w:line="480" w:lineRule="auto"/>
        <w:rPr>
          <w:rFonts w:eastAsia="Arial" w:cs="Arial"/>
          <w:sz w:val="24"/>
          <w:szCs w:val="24"/>
        </w:rPr>
      </w:pPr>
      <w:bookmarkStart w:id="47" w:name="_heading=h.2u6wntf" w:colFirst="0" w:colLast="0"/>
      <w:bookmarkEnd w:id="47"/>
      <w:r>
        <w:rPr>
          <w:rFonts w:eastAsia="Arial" w:cs="Arial"/>
          <w:sz w:val="24"/>
          <w:szCs w:val="24"/>
        </w:rPr>
        <w:t>Voluntariness of Participants</w:t>
      </w:r>
    </w:p>
    <w:p w14:paraId="145FD532" w14:textId="77777777" w:rsidR="007C6854" w:rsidRDefault="00E0219E" w:rsidP="00113E43">
      <w:pPr>
        <w:numPr>
          <w:ilvl w:val="0"/>
          <w:numId w:val="38"/>
        </w:numPr>
        <w:spacing w:before="280" w:line="480" w:lineRule="auto"/>
        <w:ind w:left="220" w:firstLine="0"/>
        <w:rPr>
          <w:rFonts w:eastAsia="Arial" w:cs="Arial"/>
          <w:b/>
          <w:szCs w:val="24"/>
        </w:rPr>
      </w:pPr>
      <w:r>
        <w:rPr>
          <w:rFonts w:eastAsia="Arial" w:cs="Arial"/>
          <w:b/>
          <w:szCs w:val="24"/>
        </w:rPr>
        <w:t>Subject Selections and Issuance of Consent</w:t>
      </w:r>
    </w:p>
    <w:p w14:paraId="7CCAEC6B" w14:textId="45510383" w:rsidR="00F362B2" w:rsidRDefault="00E0219E" w:rsidP="00E865ED">
      <w:pPr>
        <w:spacing w:line="480" w:lineRule="auto"/>
        <w:ind w:left="220" w:firstLine="500"/>
        <w:jc w:val="both"/>
        <w:rPr>
          <w:rFonts w:eastAsia="Arial" w:cs="Arial"/>
          <w:i/>
          <w:szCs w:val="24"/>
        </w:rPr>
      </w:pPr>
      <w:r>
        <w:rPr>
          <w:rFonts w:eastAsia="Arial" w:cs="Arial"/>
          <w:szCs w:val="24"/>
        </w:rPr>
        <w:t xml:space="preserve">The research ensured that the research participants were recruited voluntarily and were not coerced. The researcher ensured that survey participants did not </w:t>
      </w:r>
      <w:r>
        <w:rPr>
          <w:rFonts w:eastAsia="Arial" w:cs="Arial"/>
          <w:szCs w:val="24"/>
        </w:rPr>
        <w:lastRenderedPageBreak/>
        <w:t>experience any discrimination and that all their rights were observed during the period of the research. Standard written consent was applied, and a certificate of participation was issued to all respondents. The interviewers see to it that survey participants understand the context, objectives, risks, or benefits the research may have or may not have (See Appendix D: Informed Consent Form). The researcher ensured that no respondents were exploited or harmed due to the irresponsible manner of the query, and no minors were included in the study. The study only included adult individuals over the age of 20 and above. To ensure that the true age was being divulged, the researcher added another variable named “</w:t>
      </w:r>
      <w:proofErr w:type="spellStart"/>
      <w:r>
        <w:rPr>
          <w:rFonts w:eastAsia="Arial" w:cs="Arial"/>
          <w:szCs w:val="24"/>
        </w:rPr>
        <w:t>Age_Calc</w:t>
      </w:r>
      <w:proofErr w:type="spellEnd"/>
      <w:r>
        <w:rPr>
          <w:rFonts w:eastAsia="Arial" w:cs="Arial"/>
          <w:szCs w:val="24"/>
        </w:rPr>
        <w:t xml:space="preserve">” to validate the respondents’ age. Further, the researcher translated the content of the informed consent form to the language/dialect commonly used in the community, i.e., </w:t>
      </w:r>
      <w:r>
        <w:rPr>
          <w:rFonts w:eastAsia="Arial" w:cs="Arial"/>
          <w:i/>
          <w:szCs w:val="24"/>
        </w:rPr>
        <w:t xml:space="preserve">Filipino, Tagalog, </w:t>
      </w:r>
      <w:proofErr w:type="spellStart"/>
      <w:r>
        <w:rPr>
          <w:rFonts w:eastAsia="Arial" w:cs="Arial"/>
          <w:i/>
          <w:szCs w:val="24"/>
        </w:rPr>
        <w:t>Englog</w:t>
      </w:r>
      <w:proofErr w:type="spellEnd"/>
      <w:r>
        <w:rPr>
          <w:rFonts w:eastAsia="Arial" w:cs="Arial"/>
          <w:i/>
          <w:szCs w:val="24"/>
        </w:rPr>
        <w:t xml:space="preserve">, or </w:t>
      </w:r>
      <w:proofErr w:type="spellStart"/>
      <w:r>
        <w:rPr>
          <w:rFonts w:eastAsia="Arial" w:cs="Arial"/>
          <w:i/>
          <w:szCs w:val="24"/>
        </w:rPr>
        <w:t>Taglish</w:t>
      </w:r>
      <w:proofErr w:type="spellEnd"/>
      <w:r>
        <w:rPr>
          <w:rFonts w:eastAsia="Arial" w:cs="Arial"/>
          <w:i/>
          <w:szCs w:val="24"/>
        </w:rPr>
        <w:t>.</w:t>
      </w:r>
    </w:p>
    <w:p w14:paraId="1F0C038A" w14:textId="77777777" w:rsidR="007C6854" w:rsidRDefault="00E0219E" w:rsidP="00113E43">
      <w:pPr>
        <w:pStyle w:val="Heading3"/>
        <w:spacing w:line="480" w:lineRule="auto"/>
        <w:rPr>
          <w:rFonts w:eastAsia="Arial" w:cs="Arial"/>
          <w:sz w:val="24"/>
          <w:szCs w:val="24"/>
        </w:rPr>
      </w:pPr>
      <w:bookmarkStart w:id="48" w:name="_heading=h.19c6y18" w:colFirst="0" w:colLast="0"/>
      <w:bookmarkEnd w:id="48"/>
      <w:r>
        <w:rPr>
          <w:rFonts w:eastAsia="Arial" w:cs="Arial"/>
          <w:sz w:val="24"/>
          <w:szCs w:val="24"/>
        </w:rPr>
        <w:t>Confidentiality</w:t>
      </w:r>
    </w:p>
    <w:p w14:paraId="2AF092AF" w14:textId="77777777" w:rsidR="007C6854" w:rsidRDefault="00E0219E" w:rsidP="00113E43">
      <w:pPr>
        <w:numPr>
          <w:ilvl w:val="0"/>
          <w:numId w:val="6"/>
        </w:numPr>
        <w:spacing w:before="280" w:line="480" w:lineRule="auto"/>
        <w:ind w:left="220" w:firstLine="0"/>
        <w:rPr>
          <w:rFonts w:eastAsia="Arial" w:cs="Arial"/>
          <w:b/>
          <w:szCs w:val="24"/>
        </w:rPr>
      </w:pPr>
      <w:r>
        <w:rPr>
          <w:rFonts w:eastAsia="Arial" w:cs="Arial"/>
          <w:b/>
          <w:szCs w:val="24"/>
        </w:rPr>
        <w:t>Privacy and Confidentiality of Information</w:t>
      </w:r>
    </w:p>
    <w:p w14:paraId="05CA5D50" w14:textId="0FDCCED1" w:rsidR="007C6854" w:rsidRDefault="00E0219E" w:rsidP="000150F8">
      <w:pPr>
        <w:spacing w:line="480" w:lineRule="auto"/>
        <w:ind w:left="220" w:firstLine="500"/>
        <w:jc w:val="both"/>
        <w:rPr>
          <w:rFonts w:eastAsia="Arial" w:cs="Arial"/>
          <w:szCs w:val="24"/>
        </w:rPr>
      </w:pPr>
      <w:r>
        <w:rPr>
          <w:rFonts w:eastAsia="Arial" w:cs="Arial"/>
          <w:szCs w:val="24"/>
        </w:rPr>
        <w:t xml:space="preserve">The researcher respects the participant’s right to privacy. The confidentiality of information is always observed. The researcher adheres to the principles of transparency, legitimate purpose, and proportionality in the collection, retention, and processing of personal information (National Privacy Commission, 2012; PHREB, 2017). Respondent’s identities are protected. The interviewer maintains the level of trust of the survey respondents. The researcher properly oriented the research assistant to ensure interview quality and confidentiality. In addition, all research questionnaires and the database are kept secure for future use. In addition, the researcher secured a memorandum of agreement with the barangay health center </w:t>
      </w:r>
      <w:r>
        <w:rPr>
          <w:rFonts w:eastAsia="Arial" w:cs="Arial"/>
          <w:szCs w:val="24"/>
        </w:rPr>
        <w:lastRenderedPageBreak/>
        <w:t>for the use of secondary data and the sharing of other information that will advance this research study.</w:t>
      </w:r>
    </w:p>
    <w:p w14:paraId="3F6A7D36" w14:textId="77777777" w:rsidR="007C6854" w:rsidRDefault="00E0219E" w:rsidP="00113E43">
      <w:pPr>
        <w:numPr>
          <w:ilvl w:val="0"/>
          <w:numId w:val="6"/>
        </w:numPr>
        <w:spacing w:before="280" w:line="480" w:lineRule="auto"/>
        <w:ind w:left="220" w:firstLine="0"/>
        <w:rPr>
          <w:rFonts w:eastAsia="Arial" w:cs="Arial"/>
          <w:b/>
          <w:szCs w:val="24"/>
        </w:rPr>
      </w:pPr>
      <w:r>
        <w:rPr>
          <w:rFonts w:eastAsia="Arial" w:cs="Arial"/>
          <w:b/>
          <w:szCs w:val="24"/>
        </w:rPr>
        <w:t>Data Protection Procedure</w:t>
      </w:r>
    </w:p>
    <w:p w14:paraId="73524E77" w14:textId="77777777" w:rsidR="007C6854" w:rsidRDefault="00E0219E" w:rsidP="00113E43">
      <w:pPr>
        <w:spacing w:before="280" w:line="480" w:lineRule="auto"/>
        <w:ind w:firstLine="220"/>
        <w:jc w:val="both"/>
        <w:rPr>
          <w:rFonts w:eastAsia="Arial" w:cs="Arial"/>
          <w:szCs w:val="24"/>
        </w:rPr>
      </w:pPr>
      <w:r>
        <w:rPr>
          <w:rFonts w:eastAsia="Arial" w:cs="Arial"/>
          <w:szCs w:val="24"/>
        </w:rPr>
        <w:t>All research files are kept in one folder and will be kept in the researcher’s personal cloud account, both in Google and Microsoft accounts.</w:t>
      </w:r>
    </w:p>
    <w:p w14:paraId="379920DE" w14:textId="77777777" w:rsidR="007C6854" w:rsidRDefault="00E0219E" w:rsidP="00113E43">
      <w:pPr>
        <w:numPr>
          <w:ilvl w:val="1"/>
          <w:numId w:val="6"/>
        </w:numPr>
        <w:spacing w:before="280" w:line="480" w:lineRule="auto"/>
        <w:jc w:val="both"/>
        <w:rPr>
          <w:rFonts w:eastAsia="Arial" w:cs="Arial"/>
          <w:b/>
          <w:szCs w:val="24"/>
        </w:rPr>
      </w:pPr>
      <w:r>
        <w:rPr>
          <w:rFonts w:eastAsia="Arial" w:cs="Arial"/>
          <w:b/>
          <w:szCs w:val="24"/>
        </w:rPr>
        <w:t xml:space="preserve">Data Availability: </w:t>
      </w:r>
      <w:r>
        <w:rPr>
          <w:rFonts w:eastAsia="Arial" w:cs="Arial"/>
          <w:szCs w:val="24"/>
        </w:rPr>
        <w:t xml:space="preserve">The folders linked are shared with UPOU-FMDS and UPOU-IREC for easy access. Recipients of this research are encouraged to ask for the report of this research to be produced through a request addressed to UPOU-FMDS Program Chair, Dr. Myra D. </w:t>
      </w:r>
      <w:proofErr w:type="spellStart"/>
      <w:r>
        <w:rPr>
          <w:rFonts w:eastAsia="Arial" w:cs="Arial"/>
          <w:szCs w:val="24"/>
        </w:rPr>
        <w:t>Oruga</w:t>
      </w:r>
      <w:proofErr w:type="spellEnd"/>
      <w:r>
        <w:rPr>
          <w:rFonts w:eastAsia="Arial" w:cs="Arial"/>
          <w:szCs w:val="24"/>
        </w:rPr>
        <w:t>.</w:t>
      </w:r>
    </w:p>
    <w:p w14:paraId="088EC562" w14:textId="77777777" w:rsidR="007C6854" w:rsidRDefault="00E0219E" w:rsidP="00113E43">
      <w:pPr>
        <w:numPr>
          <w:ilvl w:val="1"/>
          <w:numId w:val="6"/>
        </w:numPr>
        <w:spacing w:before="280" w:line="480" w:lineRule="auto"/>
        <w:jc w:val="both"/>
        <w:rPr>
          <w:rFonts w:eastAsia="Arial" w:cs="Arial"/>
          <w:b/>
          <w:szCs w:val="24"/>
        </w:rPr>
      </w:pPr>
      <w:r>
        <w:rPr>
          <w:rFonts w:eastAsia="Arial" w:cs="Arial"/>
          <w:b/>
          <w:szCs w:val="24"/>
        </w:rPr>
        <w:t>Data Lifecycle Management</w:t>
      </w:r>
      <w:r>
        <w:rPr>
          <w:rFonts w:eastAsia="Arial" w:cs="Arial"/>
          <w:szCs w:val="24"/>
        </w:rPr>
        <w:t xml:space="preserve"> (See Use of Open-Source Mobile Applications for Data Collection and Storage, page 34)</w:t>
      </w:r>
    </w:p>
    <w:p w14:paraId="6837072F" w14:textId="77777777" w:rsidR="007C6854" w:rsidRDefault="00E0219E" w:rsidP="00113E43">
      <w:pPr>
        <w:numPr>
          <w:ilvl w:val="1"/>
          <w:numId w:val="6"/>
        </w:numPr>
        <w:spacing w:before="280" w:line="480" w:lineRule="auto"/>
        <w:jc w:val="both"/>
        <w:rPr>
          <w:rFonts w:eastAsia="Arial" w:cs="Arial"/>
          <w:b/>
          <w:szCs w:val="24"/>
        </w:rPr>
      </w:pPr>
      <w:bookmarkStart w:id="49" w:name="_heading=h.17dp8vu" w:colFirst="0" w:colLast="0"/>
      <w:bookmarkEnd w:id="49"/>
      <w:r>
        <w:rPr>
          <w:rFonts w:eastAsia="Arial" w:cs="Arial"/>
          <w:b/>
          <w:szCs w:val="24"/>
        </w:rPr>
        <w:t>Information lifecycle management</w:t>
      </w:r>
      <w:r>
        <w:rPr>
          <w:rFonts w:eastAsia="Arial" w:cs="Arial"/>
          <w:szCs w:val="24"/>
        </w:rPr>
        <w:t xml:space="preserve">: cloud-based storage is practiced to protect the data from any corruption due to machine failure, malware, or virus attack. The file will be kept for five years. After the time period of keeping, the data will be deleted from the cloud storage service.  Paper-based data collection was discouraged for this research. </w:t>
      </w:r>
    </w:p>
    <w:p w14:paraId="221B73F6" w14:textId="77777777" w:rsidR="007C6854" w:rsidRDefault="00E0219E" w:rsidP="00113E43">
      <w:pPr>
        <w:numPr>
          <w:ilvl w:val="0"/>
          <w:numId w:val="6"/>
        </w:numPr>
        <w:spacing w:before="280" w:line="480" w:lineRule="auto"/>
        <w:ind w:left="220" w:firstLine="0"/>
        <w:rPr>
          <w:rFonts w:eastAsia="Arial" w:cs="Arial"/>
          <w:b/>
          <w:szCs w:val="24"/>
        </w:rPr>
      </w:pPr>
      <w:r>
        <w:rPr>
          <w:rFonts w:eastAsia="Arial" w:cs="Arial"/>
          <w:b/>
          <w:szCs w:val="24"/>
        </w:rPr>
        <w:t>Transparency and Contact Person</w:t>
      </w:r>
    </w:p>
    <w:p w14:paraId="123C6EB3" w14:textId="77777777" w:rsidR="007C6854" w:rsidRDefault="00E0219E" w:rsidP="00113E43">
      <w:pPr>
        <w:spacing w:line="480" w:lineRule="auto"/>
        <w:ind w:left="220" w:firstLine="240"/>
        <w:jc w:val="both"/>
        <w:rPr>
          <w:rFonts w:eastAsia="Arial" w:cs="Arial"/>
          <w:szCs w:val="24"/>
        </w:rPr>
      </w:pPr>
      <w:r>
        <w:rPr>
          <w:rFonts w:eastAsia="Arial" w:cs="Arial"/>
          <w:szCs w:val="24"/>
        </w:rPr>
        <w:t xml:space="preserve">The research is a requirement for the researcher to graduate from the master’s in international health program of the University of the Philippines Open University. During the conduct of the research, the researcher ensured transparency about aspects of the research that may have an impact on participants’ rights and safety </w:t>
      </w:r>
      <w:r>
        <w:rPr>
          <w:rFonts w:eastAsia="Arial" w:cs="Arial"/>
          <w:szCs w:val="24"/>
        </w:rPr>
        <w:lastRenderedPageBreak/>
        <w:t xml:space="preserve">or information that may have a bearing on the participants' decision to give or withhold their informed consent (PHREB, 2017). In case of any questions regarding the research, the researcher can be reached through his personal email and mobile number. </w:t>
      </w:r>
    </w:p>
    <w:p w14:paraId="336F83B3" w14:textId="77777777" w:rsidR="007C6854" w:rsidRDefault="00E0219E" w:rsidP="00113E43">
      <w:pPr>
        <w:spacing w:line="480" w:lineRule="auto"/>
        <w:jc w:val="both"/>
        <w:rPr>
          <w:rFonts w:eastAsia="Arial" w:cs="Arial"/>
          <w:szCs w:val="24"/>
        </w:rPr>
      </w:pPr>
      <w:r>
        <w:rPr>
          <w:rFonts w:eastAsia="Arial" w:cs="Arial"/>
          <w:szCs w:val="24"/>
        </w:rPr>
        <w:tab/>
        <w:t>Name of the Researcher: Rammell Eric C. Martinez</w:t>
      </w:r>
    </w:p>
    <w:p w14:paraId="581C261E" w14:textId="77777777" w:rsidR="007C6854" w:rsidRDefault="00E0219E" w:rsidP="00113E43">
      <w:pPr>
        <w:spacing w:line="480" w:lineRule="auto"/>
        <w:jc w:val="both"/>
        <w:rPr>
          <w:rFonts w:eastAsia="Arial" w:cs="Arial"/>
          <w:szCs w:val="24"/>
        </w:rPr>
      </w:pPr>
      <w:r>
        <w:rPr>
          <w:rFonts w:eastAsia="Arial" w:cs="Arial"/>
          <w:szCs w:val="24"/>
        </w:rPr>
        <w:tab/>
        <w:t xml:space="preserve">Email Address: </w:t>
      </w:r>
      <w:r>
        <w:rPr>
          <w:rFonts w:eastAsia="Arial" w:cs="Arial"/>
          <w:szCs w:val="24"/>
          <w:u w:val="single"/>
        </w:rPr>
        <w:t>rcmartinez3@up.edu.ph</w:t>
      </w:r>
    </w:p>
    <w:p w14:paraId="4AEF40AA" w14:textId="77777777" w:rsidR="007C6854" w:rsidRDefault="00E0219E" w:rsidP="00113E43">
      <w:pPr>
        <w:spacing w:line="480" w:lineRule="auto"/>
        <w:jc w:val="both"/>
        <w:rPr>
          <w:rFonts w:eastAsia="Arial" w:cs="Arial"/>
          <w:szCs w:val="24"/>
        </w:rPr>
      </w:pPr>
      <w:r>
        <w:rPr>
          <w:rFonts w:eastAsia="Arial" w:cs="Arial"/>
          <w:szCs w:val="24"/>
        </w:rPr>
        <w:tab/>
        <w:t>Mobile Number: 0921-447-7490</w:t>
      </w:r>
    </w:p>
    <w:p w14:paraId="57908596" w14:textId="77777777" w:rsidR="007C6854" w:rsidRDefault="00E0219E" w:rsidP="00113E43">
      <w:pPr>
        <w:spacing w:line="480" w:lineRule="auto"/>
        <w:jc w:val="both"/>
        <w:rPr>
          <w:rFonts w:eastAsia="Arial" w:cs="Arial"/>
          <w:szCs w:val="24"/>
        </w:rPr>
      </w:pPr>
      <w:r>
        <w:rPr>
          <w:rFonts w:eastAsia="Arial" w:cs="Arial"/>
          <w:szCs w:val="24"/>
        </w:rPr>
        <w:tab/>
        <w:t>For any complaint, grievance, or concern regarding the ethical misconduct of the researcher, the study participants may contact the panel chair and the researcher's thesis adviser.</w:t>
      </w:r>
    </w:p>
    <w:p w14:paraId="5E619E70" w14:textId="77777777" w:rsidR="007C6854" w:rsidRDefault="00E0219E" w:rsidP="00113E43">
      <w:pPr>
        <w:spacing w:line="480" w:lineRule="auto"/>
        <w:ind w:left="220"/>
        <w:jc w:val="both"/>
        <w:rPr>
          <w:rFonts w:eastAsia="Arial" w:cs="Arial"/>
          <w:szCs w:val="24"/>
        </w:rPr>
      </w:pPr>
      <w:r>
        <w:rPr>
          <w:rFonts w:eastAsia="Arial" w:cs="Arial"/>
          <w:szCs w:val="24"/>
        </w:rPr>
        <w:t xml:space="preserve">Name: Dr Myra D. </w:t>
      </w:r>
      <w:proofErr w:type="spellStart"/>
      <w:r>
        <w:rPr>
          <w:rFonts w:eastAsia="Arial" w:cs="Arial"/>
          <w:szCs w:val="24"/>
        </w:rPr>
        <w:t>Oruga</w:t>
      </w:r>
      <w:proofErr w:type="spellEnd"/>
    </w:p>
    <w:p w14:paraId="62080B72" w14:textId="77777777" w:rsidR="007C6854" w:rsidRDefault="00E0219E" w:rsidP="00113E43">
      <w:pPr>
        <w:spacing w:line="480" w:lineRule="auto"/>
        <w:ind w:left="220"/>
        <w:jc w:val="both"/>
        <w:rPr>
          <w:rFonts w:eastAsia="Arial" w:cs="Arial"/>
          <w:szCs w:val="24"/>
        </w:rPr>
      </w:pPr>
      <w:r>
        <w:rPr>
          <w:rFonts w:eastAsia="Arial" w:cs="Arial"/>
          <w:szCs w:val="24"/>
        </w:rPr>
        <w:t xml:space="preserve">Email Address: </w:t>
      </w:r>
      <w:hyperlink r:id="rId40">
        <w:r>
          <w:rPr>
            <w:rFonts w:eastAsia="Arial" w:cs="Arial"/>
            <w:color w:val="000000"/>
            <w:sz w:val="23"/>
            <w:szCs w:val="23"/>
            <w:highlight w:val="white"/>
            <w:u w:val="single"/>
          </w:rPr>
          <w:t>dmihpc@upou.edu.ph</w:t>
        </w:r>
      </w:hyperlink>
      <w:r>
        <w:rPr>
          <w:rFonts w:eastAsia="Arial" w:cs="Arial"/>
        </w:rPr>
        <w:t xml:space="preserve"> or </w:t>
      </w:r>
      <w:hyperlink r:id="rId41">
        <w:r>
          <w:rPr>
            <w:rFonts w:eastAsia="Arial" w:cs="Arial"/>
            <w:color w:val="000000"/>
            <w:szCs w:val="24"/>
            <w:u w:val="single"/>
          </w:rPr>
          <w:t>mdoruga@up.edu.ph</w:t>
        </w:r>
      </w:hyperlink>
      <w:r>
        <w:rPr>
          <w:rFonts w:eastAsia="Arial" w:cs="Arial"/>
          <w:szCs w:val="24"/>
        </w:rPr>
        <w:t xml:space="preserve"> </w:t>
      </w:r>
    </w:p>
    <w:p w14:paraId="69AC0FAB" w14:textId="77777777" w:rsidR="007C6854" w:rsidRDefault="00E0219E" w:rsidP="00113E43">
      <w:pPr>
        <w:spacing w:line="480" w:lineRule="auto"/>
        <w:ind w:left="220"/>
        <w:jc w:val="both"/>
        <w:rPr>
          <w:rFonts w:eastAsia="Arial" w:cs="Arial"/>
        </w:rPr>
      </w:pPr>
      <w:r>
        <w:rPr>
          <w:rFonts w:eastAsia="Arial" w:cs="Arial"/>
          <w:szCs w:val="24"/>
        </w:rPr>
        <w:t xml:space="preserve">UPOU-FMDS Contact Number: </w:t>
      </w:r>
      <w:hyperlink r:id="rId42">
        <w:r>
          <w:rPr>
            <w:rFonts w:eastAsia="Arial" w:cs="Arial"/>
            <w:color w:val="000000"/>
            <w:sz w:val="23"/>
            <w:szCs w:val="23"/>
            <w:u w:val="single"/>
            <w:shd w:val="clear" w:color="auto" w:fill="F8F8F8"/>
          </w:rPr>
          <w:t>(+6349) 536-6001 to 06 local 821, 333</w:t>
        </w:r>
      </w:hyperlink>
      <w:r>
        <w:rPr>
          <w:rFonts w:eastAsia="Arial" w:cs="Arial"/>
        </w:rPr>
        <w:t xml:space="preserve"> </w:t>
      </w:r>
    </w:p>
    <w:p w14:paraId="08E20B9C" w14:textId="77777777" w:rsidR="007C6854" w:rsidRDefault="00E0219E" w:rsidP="00113E43">
      <w:pPr>
        <w:numPr>
          <w:ilvl w:val="0"/>
          <w:numId w:val="6"/>
        </w:numPr>
        <w:spacing w:before="280" w:line="480" w:lineRule="auto"/>
        <w:ind w:left="220" w:firstLine="0"/>
        <w:rPr>
          <w:rFonts w:eastAsia="Arial" w:cs="Arial"/>
          <w:b/>
          <w:szCs w:val="24"/>
        </w:rPr>
      </w:pPr>
      <w:r>
        <w:rPr>
          <w:rFonts w:eastAsia="Arial" w:cs="Arial"/>
          <w:b/>
          <w:szCs w:val="24"/>
        </w:rPr>
        <w:t>Use of Open-Source Mobile Applications for Collection of Data</w:t>
      </w:r>
    </w:p>
    <w:p w14:paraId="035D49D5" w14:textId="7BE5FF90" w:rsidR="00F362B2" w:rsidRPr="00F362B2" w:rsidRDefault="00E0219E" w:rsidP="00F362B2">
      <w:pPr>
        <w:spacing w:line="480" w:lineRule="auto"/>
        <w:ind w:left="220" w:firstLine="500"/>
        <w:jc w:val="both"/>
        <w:rPr>
          <w:rFonts w:eastAsia="Arial" w:cs="Arial"/>
          <w:szCs w:val="24"/>
        </w:rPr>
      </w:pPr>
      <w:r>
        <w:rPr>
          <w:rFonts w:eastAsia="Arial" w:cs="Arial"/>
          <w:szCs w:val="24"/>
        </w:rPr>
        <w:t xml:space="preserve">The researcher developed the questionnaire using </w:t>
      </w:r>
      <w:proofErr w:type="spellStart"/>
      <w:r>
        <w:rPr>
          <w:rFonts w:eastAsia="Arial" w:cs="Arial"/>
          <w:szCs w:val="24"/>
        </w:rPr>
        <w:t>KoboToolbox</w:t>
      </w:r>
      <w:proofErr w:type="spellEnd"/>
      <w:r>
        <w:rPr>
          <w:rFonts w:eastAsia="Arial" w:cs="Arial"/>
          <w:szCs w:val="24"/>
        </w:rPr>
        <w:t xml:space="preserve">, an open-source web application. A mobile application tool, </w:t>
      </w:r>
      <w:proofErr w:type="spellStart"/>
      <w:r>
        <w:rPr>
          <w:rFonts w:eastAsia="Arial" w:cs="Arial"/>
          <w:szCs w:val="24"/>
        </w:rPr>
        <w:t>KoboCollect</w:t>
      </w:r>
      <w:proofErr w:type="spellEnd"/>
      <w:r>
        <w:rPr>
          <w:rFonts w:eastAsia="Arial" w:cs="Arial"/>
          <w:szCs w:val="24"/>
        </w:rPr>
        <w:t>, was used in the survey. Using existing technology for data collection and encoding, we can simplify the process of data collection. Likewise, data efficiency and quality are observed. In the event of a client's non-response or refusal to continue the survey (breakoff interview) due to whatever reasons, the interviewers will document the event and consider it a refusal. The refusal rate is calculated to measure any error in estimates.</w:t>
      </w:r>
    </w:p>
    <w:p w14:paraId="6332654D" w14:textId="77777777" w:rsidR="007C6854" w:rsidRDefault="00E0219E" w:rsidP="00F362B2">
      <w:pPr>
        <w:pStyle w:val="Heading3"/>
        <w:spacing w:line="480" w:lineRule="auto"/>
        <w:rPr>
          <w:rFonts w:eastAsia="Arial" w:cs="Arial"/>
          <w:sz w:val="24"/>
          <w:szCs w:val="24"/>
        </w:rPr>
      </w:pPr>
      <w:bookmarkStart w:id="50" w:name="_heading=h.3tbugp1" w:colFirst="0" w:colLast="0"/>
      <w:bookmarkEnd w:id="50"/>
      <w:r>
        <w:rPr>
          <w:rFonts w:eastAsia="Arial" w:cs="Arial"/>
          <w:sz w:val="24"/>
          <w:szCs w:val="24"/>
        </w:rPr>
        <w:lastRenderedPageBreak/>
        <w:t>Funding Source</w:t>
      </w:r>
    </w:p>
    <w:p w14:paraId="2F9BF573" w14:textId="50009174" w:rsidR="00F362B2" w:rsidRDefault="00E0219E" w:rsidP="00F362B2">
      <w:pPr>
        <w:spacing w:before="280" w:line="480" w:lineRule="auto"/>
        <w:ind w:firstLine="720"/>
        <w:jc w:val="both"/>
        <w:rPr>
          <w:rFonts w:eastAsia="Arial" w:cs="Arial"/>
          <w:szCs w:val="24"/>
        </w:rPr>
      </w:pPr>
      <w:r>
        <w:rPr>
          <w:rFonts w:eastAsia="Arial" w:cs="Arial"/>
          <w:szCs w:val="24"/>
        </w:rPr>
        <w:t xml:space="preserve">The research was conducted out of the personal savings of the researcher. Thus, the research has no funding source except the interest in the research anchored in the MIH program requirements. </w:t>
      </w:r>
      <w:bookmarkStart w:id="51" w:name="_heading=h.28h4qwu" w:colFirst="0" w:colLast="0"/>
      <w:bookmarkEnd w:id="51"/>
    </w:p>
    <w:p w14:paraId="0FB67448" w14:textId="348DB8FE" w:rsidR="00F362B2" w:rsidRDefault="00E0219E" w:rsidP="00F362B2">
      <w:pPr>
        <w:pStyle w:val="Heading3"/>
        <w:spacing w:line="480" w:lineRule="auto"/>
        <w:rPr>
          <w:rFonts w:eastAsia="Arial" w:cs="Arial"/>
          <w:sz w:val="24"/>
          <w:szCs w:val="24"/>
        </w:rPr>
      </w:pPr>
      <w:r>
        <w:rPr>
          <w:rFonts w:eastAsia="Arial" w:cs="Arial"/>
          <w:sz w:val="24"/>
          <w:szCs w:val="24"/>
        </w:rPr>
        <w:t>Conflict of Interest</w:t>
      </w:r>
    </w:p>
    <w:p w14:paraId="311DE17B" w14:textId="05365062" w:rsidR="007C6854" w:rsidRPr="00F362B2" w:rsidRDefault="00E0219E" w:rsidP="00F362B2">
      <w:pPr>
        <w:pStyle w:val="Heading3"/>
        <w:spacing w:line="480" w:lineRule="auto"/>
        <w:ind w:firstLine="720"/>
        <w:rPr>
          <w:rFonts w:eastAsia="Arial" w:cs="Arial"/>
          <w:b w:val="0"/>
          <w:bCs/>
          <w:sz w:val="24"/>
          <w:szCs w:val="24"/>
        </w:rPr>
      </w:pPr>
      <w:r w:rsidRPr="00F362B2">
        <w:rPr>
          <w:rFonts w:eastAsia="Arial" w:cs="Arial"/>
          <w:b w:val="0"/>
          <w:bCs/>
          <w:sz w:val="24"/>
          <w:szCs w:val="24"/>
        </w:rPr>
        <w:t>The researcher declared no conflicts of interest because the research was conducted without funding. Moreover, the researcher was not an employee of the Municipality of Pateros. More so, this research was conducted as an independent activity whose purpose was the completion of the researcher's master's degree.</w:t>
      </w:r>
      <w:r w:rsidRPr="00F362B2">
        <w:rPr>
          <w:b w:val="0"/>
          <w:bCs/>
        </w:rPr>
        <w:br w:type="page"/>
      </w:r>
    </w:p>
    <w:p w14:paraId="62600B71" w14:textId="03AD7AFB" w:rsidR="007C6854" w:rsidRDefault="00F362B2" w:rsidP="00F362B2">
      <w:pPr>
        <w:pStyle w:val="Heading1"/>
        <w:spacing w:line="240" w:lineRule="auto"/>
        <w:jc w:val="center"/>
        <w:rPr>
          <w:rFonts w:eastAsia="Arial" w:cs="Arial"/>
          <w:sz w:val="24"/>
          <w:szCs w:val="24"/>
        </w:rPr>
      </w:pPr>
      <w:bookmarkStart w:id="52" w:name="_heading=h.nmf14n" w:colFirst="0" w:colLast="0"/>
      <w:bookmarkEnd w:id="52"/>
      <w:r>
        <w:rPr>
          <w:rFonts w:eastAsia="Arial" w:cs="Arial"/>
          <w:sz w:val="24"/>
          <w:szCs w:val="24"/>
        </w:rPr>
        <w:lastRenderedPageBreak/>
        <w:t>Chapter</w:t>
      </w:r>
      <w:r w:rsidR="00E0219E">
        <w:rPr>
          <w:rFonts w:eastAsia="Arial" w:cs="Arial"/>
          <w:sz w:val="24"/>
          <w:szCs w:val="24"/>
        </w:rPr>
        <w:t xml:space="preserve"> IV:</w:t>
      </w:r>
    </w:p>
    <w:p w14:paraId="61DFF308" w14:textId="6AD4DC4E" w:rsidR="00F362B2" w:rsidRDefault="00E0219E" w:rsidP="00F362B2">
      <w:pPr>
        <w:pStyle w:val="Heading1"/>
        <w:spacing w:line="480" w:lineRule="auto"/>
        <w:jc w:val="center"/>
        <w:rPr>
          <w:rFonts w:eastAsia="Arial" w:cs="Arial"/>
          <w:sz w:val="24"/>
          <w:szCs w:val="24"/>
        </w:rPr>
      </w:pPr>
      <w:bookmarkStart w:id="53" w:name="_heading=h.37m2jsg" w:colFirst="0" w:colLast="0"/>
      <w:bookmarkEnd w:id="53"/>
      <w:r>
        <w:rPr>
          <w:rFonts w:eastAsia="Arial" w:cs="Arial"/>
          <w:sz w:val="24"/>
          <w:szCs w:val="24"/>
        </w:rPr>
        <w:t>RESULTS AND DISCUSSION</w:t>
      </w:r>
      <w:bookmarkStart w:id="54" w:name="_heading=h.1mrcu09" w:colFirst="0" w:colLast="0"/>
      <w:bookmarkEnd w:id="54"/>
    </w:p>
    <w:p w14:paraId="205CC73D" w14:textId="40D8F950" w:rsidR="007C6854" w:rsidRPr="00E865ED" w:rsidRDefault="00E0219E" w:rsidP="00E865ED">
      <w:pPr>
        <w:pStyle w:val="Heading2"/>
        <w:spacing w:line="480" w:lineRule="auto"/>
        <w:rPr>
          <w:rFonts w:eastAsia="Arial" w:cs="Arial"/>
          <w:sz w:val="24"/>
          <w:szCs w:val="24"/>
        </w:rPr>
      </w:pPr>
      <w:r>
        <w:rPr>
          <w:rFonts w:eastAsia="Arial" w:cs="Arial"/>
          <w:sz w:val="24"/>
          <w:szCs w:val="24"/>
        </w:rPr>
        <w:t>Socio-demographic Profile of Urban Poor Settlers</w:t>
      </w:r>
    </w:p>
    <w:p w14:paraId="22543140" w14:textId="77777777" w:rsidR="007C6854" w:rsidRDefault="00E0219E" w:rsidP="00113E43">
      <w:pPr>
        <w:spacing w:after="160" w:line="480" w:lineRule="auto"/>
        <w:ind w:firstLine="720"/>
        <w:jc w:val="both"/>
        <w:rPr>
          <w:rFonts w:eastAsia="Arial" w:cs="Arial"/>
          <w:b/>
          <w:szCs w:val="24"/>
        </w:rPr>
      </w:pPr>
      <w:r>
        <w:rPr>
          <w:rFonts w:eastAsia="Arial" w:cs="Arial"/>
          <w:szCs w:val="24"/>
        </w:rPr>
        <w:t xml:space="preserve">The mean age (SD) of the respondents in this research was 59.53 (SD: 14.38323) years, while the country’s population consisted of ages 15 to 64 years of age. (PSA, 2022; Statista, 2023) The majority of surveyed participants were in the age group of 60 years and older (57.6%) and were female. In a study on blood pressure screening in the Philippines conducted by Diaz et al. (2021), 44.6 was the mean age of the participants, which was quite far from the result of this survey. On the other hand, in the last PSA census, the result on sex distribution among urban barangays in the country showed that males were dominant among females, which was the same as Diaz et al.'s (2021) study (PSA, 2022; Diaz et al., 2021). On a side note, gender disparities have been an issue among regions globally (Connely et al., 2022). The survey's variability, especially in age and gender distribution, is expected since the conduct of the survey is daytime and most of the respondents whom the interviewer came across at the time of the interview were female. In urban settings, most of the individuals who are left at home are female. More so, maybe the sampling technique that was used in this research may have contributed to the difference that was observed in this research. Non-probability sampling is prone to sampling bias, and although the research considered this at the start of the survey, participants were still selected based on accessibility and availability. On the other hand, the result also showed that 83.44% of the respondents' nature of work in the past 12 months was either self-employed, homemaker, retired, or unemployed. (Table 4) This implies that when a survey is conducted during the day and mostly on weekdays, we can </w:t>
      </w:r>
      <w:r>
        <w:rPr>
          <w:rFonts w:eastAsia="Arial" w:cs="Arial"/>
          <w:szCs w:val="24"/>
        </w:rPr>
        <w:lastRenderedPageBreak/>
        <w:t xml:space="preserve">encounter mostly female respondents, those in a higher age group, and those who are not in the working class. On the other hand, surveys such as the National Demographic Health Survey demonstrate symmetrical distribution in variables such as gender, age, and place of residence (PSA and ICF, 2018). Further, the survey showed that 64.9% were currently married. Most were Catholics. A greater number of surveyed participants have not finished high school. The dominant ethnic or sub-cultural groups living in the area were from the Visayas region, and most family households have health insurance. In the 2018 National Migration Survey (NMS), it was shown that the most migrated regions came from Western Visayas, Central Visayas, and Calabarzon. (PSA, 2020) On a side note, some of the respondents were considered lifetime migrants, specifically in the </w:t>
      </w:r>
      <w:proofErr w:type="spellStart"/>
      <w:r>
        <w:rPr>
          <w:rFonts w:eastAsia="Arial" w:cs="Arial"/>
          <w:szCs w:val="24"/>
        </w:rPr>
        <w:t>Bukuhan</w:t>
      </w:r>
      <w:proofErr w:type="spellEnd"/>
      <w:r>
        <w:rPr>
          <w:rFonts w:eastAsia="Arial" w:cs="Arial"/>
          <w:szCs w:val="24"/>
        </w:rPr>
        <w:t xml:space="preserve"> Community, considering that most survey respondents were Waray, Tagalog, and Cebuano (Table 4). It was also observed that most surveyed respondents belong to the poor (67.55%) and low-income groups (25.83%), with a median family income of PHP 6,000 (IQR = 3,600 to 10,000) (Table 4). Urbanization due to migration was a big factor in the urban community population explosion, and the survey corroborates the report of the ADB (2014) that the problem of urban poverty, particularly in Asia, is multidimensional, extending beyond income. It includes health, educational aspects, and social security, including health insurance. However, on the aspect of health insurance, the result of this survey disagrees with ADB’s report because around 87% of the survey participants have health insurance. It was good to know that in this community, residents have health insurance. This applauded the compliance of the Municipality of Pateros in promoting the government health insurance program in attaining Universal Health Care, particularly for the less fortunate and those who are at risk. Likewise, health insurance is important for the prevention and control of hypertension. Most patients covered by health insurance </w:t>
      </w:r>
      <w:r>
        <w:rPr>
          <w:rFonts w:eastAsia="Arial" w:cs="Arial"/>
          <w:szCs w:val="24"/>
        </w:rPr>
        <w:lastRenderedPageBreak/>
        <w:t>have controlled BP (Oso et al., 2019). In addition, given that the urban community population belongs to the poor and low-income group, having PhilHealth or any other health insurance can increase the community's health-seeking behavior. But proving another view</w:t>
      </w:r>
      <w:r>
        <w:rPr>
          <w:rFonts w:eastAsia="Arial" w:cs="Arial"/>
          <w:color w:val="212121"/>
          <w:szCs w:val="24"/>
          <w:highlight w:val="white"/>
        </w:rPr>
        <w:t xml:space="preserve">, in the study by El Omari and </w:t>
      </w:r>
      <w:proofErr w:type="spellStart"/>
      <w:r>
        <w:rPr>
          <w:rFonts w:eastAsia="Arial" w:cs="Arial"/>
          <w:color w:val="212121"/>
          <w:szCs w:val="24"/>
          <w:highlight w:val="white"/>
        </w:rPr>
        <w:t>Karasneh</w:t>
      </w:r>
      <w:proofErr w:type="spellEnd"/>
      <w:r>
        <w:rPr>
          <w:rFonts w:eastAsia="Arial" w:cs="Arial"/>
          <w:color w:val="212121"/>
          <w:szCs w:val="24"/>
          <w:highlight w:val="white"/>
        </w:rPr>
        <w:t xml:space="preserve"> (2021), they observed that even though the provision of health insurance to the poor is effective in the Philippines, it is not a guarantee that they will access health services.</w:t>
      </w:r>
      <w:r>
        <w:rPr>
          <w:rFonts w:eastAsia="Arial" w:cs="Arial"/>
          <w:szCs w:val="24"/>
        </w:rPr>
        <w:t xml:space="preserve"> The idea may be related to the fact that the poverty level of the community can also affect an individual's decision to be healthy. According to PSA (2021), the country’s poverty incidence increased by two points in 2018 and 2021, respectively, while in NCR district 4, where Pateros belongs, there was a significant increase compared to 2018 and 2021 data (Mapa, 2021; PSA, 2021). Adding to the low literacy of the community, it could be a risk factor for having hypertension (McNaughton, Jacobson, &amp; Kripalani, 2014; Sun, K. et al., 2021). Further, it was cited by </w:t>
      </w:r>
      <w:proofErr w:type="spellStart"/>
      <w:r>
        <w:rPr>
          <w:rFonts w:eastAsia="Arial" w:cs="Arial"/>
          <w:szCs w:val="24"/>
        </w:rPr>
        <w:t>Baydu</w:t>
      </w:r>
      <w:proofErr w:type="spellEnd"/>
      <w:r>
        <w:rPr>
          <w:rFonts w:eastAsia="Arial" w:cs="Arial"/>
          <w:szCs w:val="24"/>
        </w:rPr>
        <w:t>, Kaplan, and Bayar (2013) that low graduation rates among public high schools were high for those who were considered to be living in poverty. The results of the study and other literature suggest that literacy programs need to be enhanced among people living in poverty. Other studies agree that individuals with low literacy affect their health (UTHSC, 2022; Jayasinghe, U.W., et al., 2016).</w:t>
      </w:r>
    </w:p>
    <w:p w14:paraId="00FAB6E7" w14:textId="77777777" w:rsidR="00C00846" w:rsidRDefault="00C00846">
      <w:pPr>
        <w:rPr>
          <w:rFonts w:eastAsia="Arial" w:cs="Arial"/>
          <w:b/>
          <w:szCs w:val="24"/>
        </w:rPr>
      </w:pPr>
      <w:r>
        <w:rPr>
          <w:rFonts w:eastAsia="Arial" w:cs="Arial"/>
          <w:b/>
          <w:szCs w:val="24"/>
        </w:rPr>
        <w:br w:type="page"/>
      </w:r>
    </w:p>
    <w:p w14:paraId="12F21FAC" w14:textId="27DDBF25" w:rsidR="007C6854" w:rsidRDefault="00E0219E">
      <w:pPr>
        <w:spacing w:after="160" w:line="360" w:lineRule="auto"/>
        <w:rPr>
          <w:rFonts w:eastAsia="Arial" w:cs="Arial"/>
          <w:b/>
          <w:szCs w:val="24"/>
        </w:rPr>
      </w:pPr>
      <w:r>
        <w:rPr>
          <w:rFonts w:eastAsia="Arial" w:cs="Arial"/>
          <w:b/>
          <w:szCs w:val="24"/>
        </w:rPr>
        <w:lastRenderedPageBreak/>
        <w:t>Table 4</w:t>
      </w:r>
    </w:p>
    <w:p w14:paraId="6DB5BE88" w14:textId="77777777" w:rsidR="007C6854" w:rsidRDefault="00E0219E">
      <w:pPr>
        <w:spacing w:after="160" w:line="360" w:lineRule="auto"/>
        <w:jc w:val="both"/>
        <w:rPr>
          <w:rFonts w:eastAsia="Arial" w:cs="Arial"/>
          <w:i/>
          <w:szCs w:val="24"/>
        </w:rPr>
      </w:pPr>
      <w:r>
        <w:rPr>
          <w:rFonts w:eastAsia="Arial" w:cs="Arial"/>
          <w:i/>
          <w:szCs w:val="24"/>
        </w:rPr>
        <w:t>Distribution of Frequency and Percentage on Socio-demographic Profiles (Sex, Age Group, Marital Status, Religious Affiliation, Ethnic or Cultural Sub-group, Health Insurance Status, and Wealth Status) of Urban Poor Settlers</w:t>
      </w:r>
    </w:p>
    <w:tbl>
      <w:tblPr>
        <w:tblStyle w:val="afff4"/>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2670"/>
        <w:gridCol w:w="2095"/>
      </w:tblGrid>
      <w:tr w:rsidR="007C6854" w14:paraId="73F5821E" w14:textId="77777777" w:rsidTr="00C00846">
        <w:tc>
          <w:tcPr>
            <w:tcW w:w="4605" w:type="dxa"/>
            <w:tcBorders>
              <w:top w:val="single" w:sz="4" w:space="0" w:color="auto"/>
              <w:left w:val="nil"/>
              <w:bottom w:val="single" w:sz="4" w:space="0" w:color="auto"/>
              <w:right w:val="nil"/>
            </w:tcBorders>
            <w:vAlign w:val="center"/>
          </w:tcPr>
          <w:p w14:paraId="705B5852" w14:textId="77777777" w:rsidR="007C6854" w:rsidRDefault="00E0219E">
            <w:pPr>
              <w:spacing w:line="259" w:lineRule="auto"/>
              <w:jc w:val="center"/>
              <w:rPr>
                <w:rFonts w:eastAsia="Arial" w:cs="Arial"/>
                <w:szCs w:val="24"/>
              </w:rPr>
            </w:pPr>
            <w:r>
              <w:rPr>
                <w:rFonts w:eastAsia="Arial" w:cs="Arial"/>
                <w:szCs w:val="24"/>
              </w:rPr>
              <w:t>Socio-Demographic Profile</w:t>
            </w:r>
          </w:p>
        </w:tc>
        <w:tc>
          <w:tcPr>
            <w:tcW w:w="2670" w:type="dxa"/>
            <w:tcBorders>
              <w:top w:val="single" w:sz="4" w:space="0" w:color="auto"/>
              <w:left w:val="nil"/>
              <w:bottom w:val="single" w:sz="4" w:space="0" w:color="auto"/>
              <w:right w:val="nil"/>
            </w:tcBorders>
            <w:vAlign w:val="center"/>
          </w:tcPr>
          <w:p w14:paraId="7B5837CC" w14:textId="77777777" w:rsidR="007C6854" w:rsidRDefault="00E0219E">
            <w:pPr>
              <w:spacing w:line="259" w:lineRule="auto"/>
              <w:jc w:val="center"/>
              <w:rPr>
                <w:rFonts w:eastAsia="Arial" w:cs="Arial"/>
                <w:szCs w:val="24"/>
              </w:rPr>
            </w:pPr>
            <w:r>
              <w:rPr>
                <w:rFonts w:eastAsia="Arial" w:cs="Arial"/>
                <w:szCs w:val="24"/>
              </w:rPr>
              <w:t>Frequency</w:t>
            </w:r>
          </w:p>
        </w:tc>
        <w:tc>
          <w:tcPr>
            <w:tcW w:w="2095" w:type="dxa"/>
            <w:tcBorders>
              <w:top w:val="single" w:sz="4" w:space="0" w:color="auto"/>
              <w:left w:val="nil"/>
              <w:bottom w:val="single" w:sz="4" w:space="0" w:color="auto"/>
              <w:right w:val="nil"/>
            </w:tcBorders>
            <w:vAlign w:val="center"/>
          </w:tcPr>
          <w:p w14:paraId="0261909D" w14:textId="77777777" w:rsidR="007C6854" w:rsidRDefault="00E0219E">
            <w:pPr>
              <w:spacing w:line="259" w:lineRule="auto"/>
              <w:jc w:val="center"/>
              <w:rPr>
                <w:rFonts w:eastAsia="Arial" w:cs="Arial"/>
                <w:szCs w:val="24"/>
              </w:rPr>
            </w:pPr>
            <w:r>
              <w:rPr>
                <w:rFonts w:eastAsia="Arial" w:cs="Arial"/>
                <w:szCs w:val="24"/>
              </w:rPr>
              <w:t>Percentage</w:t>
            </w:r>
          </w:p>
        </w:tc>
      </w:tr>
      <w:tr w:rsidR="007C6854" w14:paraId="36BE45A5" w14:textId="77777777" w:rsidTr="00C00846">
        <w:tc>
          <w:tcPr>
            <w:tcW w:w="4605" w:type="dxa"/>
            <w:tcBorders>
              <w:top w:val="single" w:sz="4" w:space="0" w:color="auto"/>
              <w:left w:val="nil"/>
              <w:bottom w:val="nil"/>
              <w:right w:val="nil"/>
            </w:tcBorders>
          </w:tcPr>
          <w:p w14:paraId="2C8DA3C0" w14:textId="77777777" w:rsidR="007C6854" w:rsidRDefault="00E0219E">
            <w:pPr>
              <w:spacing w:line="259" w:lineRule="auto"/>
              <w:rPr>
                <w:rFonts w:eastAsia="Arial" w:cs="Arial"/>
                <w:szCs w:val="24"/>
              </w:rPr>
            </w:pPr>
            <w:r>
              <w:rPr>
                <w:rFonts w:eastAsia="Arial" w:cs="Arial"/>
                <w:szCs w:val="24"/>
              </w:rPr>
              <w:t>Sex</w:t>
            </w:r>
          </w:p>
        </w:tc>
        <w:tc>
          <w:tcPr>
            <w:tcW w:w="2670" w:type="dxa"/>
            <w:tcBorders>
              <w:top w:val="single" w:sz="4" w:space="0" w:color="auto"/>
              <w:left w:val="nil"/>
              <w:bottom w:val="nil"/>
              <w:right w:val="nil"/>
            </w:tcBorders>
          </w:tcPr>
          <w:p w14:paraId="50CFC80D" w14:textId="77777777" w:rsidR="007C6854" w:rsidRDefault="007C6854">
            <w:pPr>
              <w:spacing w:line="259" w:lineRule="auto"/>
              <w:jc w:val="center"/>
              <w:rPr>
                <w:rFonts w:eastAsia="Arial" w:cs="Arial"/>
                <w:szCs w:val="24"/>
              </w:rPr>
            </w:pPr>
          </w:p>
        </w:tc>
        <w:tc>
          <w:tcPr>
            <w:tcW w:w="2095" w:type="dxa"/>
            <w:tcBorders>
              <w:top w:val="single" w:sz="4" w:space="0" w:color="auto"/>
              <w:left w:val="nil"/>
              <w:bottom w:val="nil"/>
              <w:right w:val="nil"/>
            </w:tcBorders>
          </w:tcPr>
          <w:p w14:paraId="4E3A899E" w14:textId="77777777" w:rsidR="007C6854" w:rsidRDefault="007C6854">
            <w:pPr>
              <w:spacing w:line="259" w:lineRule="auto"/>
              <w:jc w:val="center"/>
              <w:rPr>
                <w:rFonts w:eastAsia="Arial" w:cs="Arial"/>
                <w:szCs w:val="24"/>
              </w:rPr>
            </w:pPr>
          </w:p>
        </w:tc>
      </w:tr>
      <w:tr w:rsidR="007C6854" w14:paraId="79330F06" w14:textId="77777777" w:rsidTr="00C00846">
        <w:tc>
          <w:tcPr>
            <w:tcW w:w="4605" w:type="dxa"/>
            <w:tcBorders>
              <w:top w:val="nil"/>
              <w:left w:val="nil"/>
              <w:bottom w:val="nil"/>
              <w:right w:val="nil"/>
            </w:tcBorders>
          </w:tcPr>
          <w:p w14:paraId="3C829D37" w14:textId="77777777" w:rsidR="007C6854" w:rsidRDefault="00E0219E">
            <w:pPr>
              <w:spacing w:line="259" w:lineRule="auto"/>
              <w:ind w:left="720"/>
              <w:rPr>
                <w:rFonts w:eastAsia="Arial" w:cs="Arial"/>
                <w:szCs w:val="24"/>
              </w:rPr>
            </w:pPr>
            <w:r>
              <w:rPr>
                <w:rFonts w:eastAsia="Arial" w:cs="Arial"/>
                <w:szCs w:val="24"/>
              </w:rPr>
              <w:t>Male</w:t>
            </w:r>
          </w:p>
        </w:tc>
        <w:tc>
          <w:tcPr>
            <w:tcW w:w="2670" w:type="dxa"/>
            <w:tcBorders>
              <w:top w:val="nil"/>
              <w:left w:val="nil"/>
              <w:bottom w:val="nil"/>
              <w:right w:val="nil"/>
            </w:tcBorders>
          </w:tcPr>
          <w:p w14:paraId="79D60B63" w14:textId="77777777" w:rsidR="007C6854" w:rsidRDefault="00E0219E">
            <w:pPr>
              <w:spacing w:line="259" w:lineRule="auto"/>
              <w:jc w:val="center"/>
              <w:rPr>
                <w:rFonts w:eastAsia="Arial" w:cs="Arial"/>
                <w:szCs w:val="24"/>
              </w:rPr>
            </w:pPr>
            <w:r>
              <w:rPr>
                <w:rFonts w:eastAsia="Arial" w:cs="Arial"/>
                <w:szCs w:val="24"/>
              </w:rPr>
              <w:t>49</w:t>
            </w:r>
          </w:p>
        </w:tc>
        <w:tc>
          <w:tcPr>
            <w:tcW w:w="2095" w:type="dxa"/>
            <w:tcBorders>
              <w:top w:val="nil"/>
              <w:left w:val="nil"/>
              <w:bottom w:val="nil"/>
              <w:right w:val="nil"/>
            </w:tcBorders>
          </w:tcPr>
          <w:p w14:paraId="237FCEF3" w14:textId="77777777" w:rsidR="007C6854" w:rsidRDefault="00E0219E">
            <w:pPr>
              <w:spacing w:line="259" w:lineRule="auto"/>
              <w:jc w:val="center"/>
              <w:rPr>
                <w:rFonts w:eastAsia="Arial" w:cs="Arial"/>
                <w:szCs w:val="24"/>
              </w:rPr>
            </w:pPr>
            <w:r>
              <w:rPr>
                <w:rFonts w:eastAsia="Arial" w:cs="Arial"/>
                <w:szCs w:val="24"/>
              </w:rPr>
              <w:t>32.45</w:t>
            </w:r>
          </w:p>
        </w:tc>
      </w:tr>
      <w:tr w:rsidR="007C6854" w14:paraId="4CDF045C" w14:textId="77777777" w:rsidTr="00C00846">
        <w:tc>
          <w:tcPr>
            <w:tcW w:w="4605" w:type="dxa"/>
            <w:tcBorders>
              <w:top w:val="nil"/>
              <w:left w:val="nil"/>
              <w:bottom w:val="nil"/>
              <w:right w:val="nil"/>
            </w:tcBorders>
          </w:tcPr>
          <w:p w14:paraId="36D455B6" w14:textId="77777777" w:rsidR="007C6854" w:rsidRDefault="00E0219E">
            <w:pPr>
              <w:spacing w:line="259" w:lineRule="auto"/>
              <w:ind w:left="720"/>
              <w:rPr>
                <w:rFonts w:eastAsia="Arial" w:cs="Arial"/>
                <w:szCs w:val="24"/>
              </w:rPr>
            </w:pPr>
            <w:r>
              <w:rPr>
                <w:rFonts w:eastAsia="Arial" w:cs="Arial"/>
                <w:szCs w:val="24"/>
              </w:rPr>
              <w:t>Female</w:t>
            </w:r>
          </w:p>
        </w:tc>
        <w:tc>
          <w:tcPr>
            <w:tcW w:w="2670" w:type="dxa"/>
            <w:tcBorders>
              <w:top w:val="nil"/>
              <w:left w:val="nil"/>
              <w:bottom w:val="nil"/>
              <w:right w:val="nil"/>
            </w:tcBorders>
          </w:tcPr>
          <w:p w14:paraId="0AE8FCC4" w14:textId="77777777" w:rsidR="007C6854" w:rsidRDefault="00E0219E">
            <w:pPr>
              <w:spacing w:line="259" w:lineRule="auto"/>
              <w:jc w:val="center"/>
              <w:rPr>
                <w:rFonts w:eastAsia="Arial" w:cs="Arial"/>
                <w:szCs w:val="24"/>
              </w:rPr>
            </w:pPr>
            <w:r>
              <w:rPr>
                <w:rFonts w:eastAsia="Arial" w:cs="Arial"/>
                <w:szCs w:val="24"/>
              </w:rPr>
              <w:t>102</w:t>
            </w:r>
          </w:p>
        </w:tc>
        <w:tc>
          <w:tcPr>
            <w:tcW w:w="2095" w:type="dxa"/>
            <w:tcBorders>
              <w:top w:val="nil"/>
              <w:left w:val="nil"/>
              <w:bottom w:val="nil"/>
              <w:right w:val="nil"/>
            </w:tcBorders>
          </w:tcPr>
          <w:p w14:paraId="27358FEB" w14:textId="77777777" w:rsidR="007C6854" w:rsidRDefault="00E0219E">
            <w:pPr>
              <w:spacing w:line="259" w:lineRule="auto"/>
              <w:jc w:val="center"/>
              <w:rPr>
                <w:rFonts w:eastAsia="Arial" w:cs="Arial"/>
                <w:szCs w:val="24"/>
              </w:rPr>
            </w:pPr>
            <w:r>
              <w:rPr>
                <w:rFonts w:eastAsia="Arial" w:cs="Arial"/>
                <w:szCs w:val="24"/>
              </w:rPr>
              <w:t>67.55</w:t>
            </w:r>
          </w:p>
        </w:tc>
      </w:tr>
      <w:tr w:rsidR="007C6854" w14:paraId="5C1A2785" w14:textId="77777777" w:rsidTr="00C00846">
        <w:tc>
          <w:tcPr>
            <w:tcW w:w="4605" w:type="dxa"/>
            <w:tcBorders>
              <w:top w:val="nil"/>
              <w:left w:val="nil"/>
              <w:bottom w:val="nil"/>
              <w:right w:val="nil"/>
            </w:tcBorders>
          </w:tcPr>
          <w:p w14:paraId="22B71D08" w14:textId="77777777" w:rsidR="007C6854" w:rsidRDefault="00E0219E">
            <w:pPr>
              <w:spacing w:line="259" w:lineRule="auto"/>
              <w:rPr>
                <w:rFonts w:eastAsia="Arial" w:cs="Arial"/>
                <w:szCs w:val="24"/>
              </w:rPr>
            </w:pPr>
            <w:r>
              <w:rPr>
                <w:rFonts w:eastAsia="Arial" w:cs="Arial"/>
                <w:szCs w:val="24"/>
              </w:rPr>
              <w:t>Age Group</w:t>
            </w:r>
          </w:p>
        </w:tc>
        <w:tc>
          <w:tcPr>
            <w:tcW w:w="2670" w:type="dxa"/>
            <w:tcBorders>
              <w:top w:val="nil"/>
              <w:left w:val="nil"/>
              <w:bottom w:val="nil"/>
              <w:right w:val="nil"/>
            </w:tcBorders>
          </w:tcPr>
          <w:p w14:paraId="65E18D0D"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18ED2110" w14:textId="77777777" w:rsidR="007C6854" w:rsidRDefault="007C6854">
            <w:pPr>
              <w:spacing w:line="259" w:lineRule="auto"/>
              <w:jc w:val="center"/>
              <w:rPr>
                <w:rFonts w:eastAsia="Arial" w:cs="Arial"/>
                <w:szCs w:val="24"/>
              </w:rPr>
            </w:pPr>
          </w:p>
        </w:tc>
      </w:tr>
      <w:tr w:rsidR="007C6854" w14:paraId="235CA5DB" w14:textId="77777777" w:rsidTr="00C00846">
        <w:tc>
          <w:tcPr>
            <w:tcW w:w="4605" w:type="dxa"/>
            <w:tcBorders>
              <w:top w:val="nil"/>
              <w:left w:val="nil"/>
              <w:bottom w:val="nil"/>
              <w:right w:val="nil"/>
            </w:tcBorders>
          </w:tcPr>
          <w:p w14:paraId="726B08CF" w14:textId="77777777" w:rsidR="007C6854" w:rsidRDefault="00E0219E">
            <w:pPr>
              <w:spacing w:line="259" w:lineRule="auto"/>
              <w:ind w:left="720"/>
              <w:rPr>
                <w:rFonts w:eastAsia="Arial" w:cs="Arial"/>
                <w:szCs w:val="24"/>
              </w:rPr>
            </w:pPr>
            <w:r>
              <w:rPr>
                <w:rFonts w:eastAsia="Arial" w:cs="Arial"/>
                <w:szCs w:val="24"/>
              </w:rPr>
              <w:t>20 to 29</w:t>
            </w:r>
          </w:p>
        </w:tc>
        <w:tc>
          <w:tcPr>
            <w:tcW w:w="2670" w:type="dxa"/>
            <w:tcBorders>
              <w:top w:val="nil"/>
              <w:left w:val="nil"/>
              <w:bottom w:val="nil"/>
              <w:right w:val="nil"/>
            </w:tcBorders>
          </w:tcPr>
          <w:p w14:paraId="0F3DD1D5" w14:textId="77777777" w:rsidR="007C6854" w:rsidRDefault="00E0219E">
            <w:pPr>
              <w:spacing w:line="259" w:lineRule="auto"/>
              <w:jc w:val="center"/>
              <w:rPr>
                <w:rFonts w:eastAsia="Arial" w:cs="Arial"/>
                <w:szCs w:val="24"/>
              </w:rPr>
            </w:pPr>
            <w:r>
              <w:rPr>
                <w:rFonts w:eastAsia="Arial" w:cs="Arial"/>
                <w:szCs w:val="24"/>
              </w:rPr>
              <w:t>4</w:t>
            </w:r>
          </w:p>
        </w:tc>
        <w:tc>
          <w:tcPr>
            <w:tcW w:w="2095" w:type="dxa"/>
            <w:tcBorders>
              <w:top w:val="nil"/>
              <w:left w:val="nil"/>
              <w:bottom w:val="nil"/>
              <w:right w:val="nil"/>
            </w:tcBorders>
          </w:tcPr>
          <w:p w14:paraId="51A789C2" w14:textId="77777777" w:rsidR="007C6854" w:rsidRDefault="00E0219E">
            <w:pPr>
              <w:spacing w:line="259" w:lineRule="auto"/>
              <w:jc w:val="center"/>
              <w:rPr>
                <w:rFonts w:eastAsia="Arial" w:cs="Arial"/>
                <w:szCs w:val="24"/>
              </w:rPr>
            </w:pPr>
            <w:r>
              <w:rPr>
                <w:rFonts w:eastAsia="Arial" w:cs="Arial"/>
                <w:szCs w:val="24"/>
              </w:rPr>
              <w:t>2.65</w:t>
            </w:r>
          </w:p>
        </w:tc>
      </w:tr>
      <w:tr w:rsidR="007C6854" w14:paraId="3ED7F15F" w14:textId="77777777" w:rsidTr="00C00846">
        <w:tc>
          <w:tcPr>
            <w:tcW w:w="4605" w:type="dxa"/>
            <w:tcBorders>
              <w:top w:val="nil"/>
              <w:left w:val="nil"/>
              <w:bottom w:val="nil"/>
              <w:right w:val="nil"/>
            </w:tcBorders>
          </w:tcPr>
          <w:p w14:paraId="345375E3" w14:textId="77777777" w:rsidR="007C6854" w:rsidRDefault="00E0219E">
            <w:pPr>
              <w:spacing w:line="259" w:lineRule="auto"/>
              <w:ind w:left="720"/>
              <w:rPr>
                <w:rFonts w:eastAsia="Arial" w:cs="Arial"/>
                <w:szCs w:val="24"/>
              </w:rPr>
            </w:pPr>
            <w:r>
              <w:rPr>
                <w:rFonts w:eastAsia="Arial" w:cs="Arial"/>
                <w:szCs w:val="24"/>
              </w:rPr>
              <w:t>30 to 39</w:t>
            </w:r>
          </w:p>
        </w:tc>
        <w:tc>
          <w:tcPr>
            <w:tcW w:w="2670" w:type="dxa"/>
            <w:tcBorders>
              <w:top w:val="nil"/>
              <w:left w:val="nil"/>
              <w:bottom w:val="nil"/>
              <w:right w:val="nil"/>
            </w:tcBorders>
          </w:tcPr>
          <w:p w14:paraId="00DE4934" w14:textId="77777777" w:rsidR="007C6854" w:rsidRDefault="00E0219E">
            <w:pPr>
              <w:spacing w:line="259" w:lineRule="auto"/>
              <w:jc w:val="center"/>
              <w:rPr>
                <w:rFonts w:eastAsia="Arial" w:cs="Arial"/>
                <w:szCs w:val="24"/>
              </w:rPr>
            </w:pPr>
            <w:r>
              <w:rPr>
                <w:rFonts w:eastAsia="Arial" w:cs="Arial"/>
                <w:szCs w:val="24"/>
              </w:rPr>
              <w:t>10</w:t>
            </w:r>
          </w:p>
        </w:tc>
        <w:tc>
          <w:tcPr>
            <w:tcW w:w="2095" w:type="dxa"/>
            <w:tcBorders>
              <w:top w:val="nil"/>
              <w:left w:val="nil"/>
              <w:bottom w:val="nil"/>
              <w:right w:val="nil"/>
            </w:tcBorders>
          </w:tcPr>
          <w:p w14:paraId="6AAB0B28" w14:textId="77777777" w:rsidR="007C6854" w:rsidRDefault="00E0219E">
            <w:pPr>
              <w:spacing w:line="259" w:lineRule="auto"/>
              <w:jc w:val="center"/>
              <w:rPr>
                <w:rFonts w:eastAsia="Arial" w:cs="Arial"/>
                <w:szCs w:val="24"/>
              </w:rPr>
            </w:pPr>
            <w:r>
              <w:rPr>
                <w:rFonts w:eastAsia="Arial" w:cs="Arial"/>
                <w:szCs w:val="24"/>
              </w:rPr>
              <w:t>6.62</w:t>
            </w:r>
          </w:p>
        </w:tc>
      </w:tr>
      <w:tr w:rsidR="007C6854" w14:paraId="3E351831" w14:textId="77777777" w:rsidTr="00C00846">
        <w:tc>
          <w:tcPr>
            <w:tcW w:w="4605" w:type="dxa"/>
            <w:tcBorders>
              <w:top w:val="nil"/>
              <w:left w:val="nil"/>
              <w:bottom w:val="nil"/>
              <w:right w:val="nil"/>
            </w:tcBorders>
          </w:tcPr>
          <w:p w14:paraId="7D53A7C5" w14:textId="77777777" w:rsidR="007C6854" w:rsidRDefault="00E0219E">
            <w:pPr>
              <w:spacing w:line="259" w:lineRule="auto"/>
              <w:ind w:left="720"/>
              <w:rPr>
                <w:rFonts w:eastAsia="Arial" w:cs="Arial"/>
                <w:szCs w:val="24"/>
              </w:rPr>
            </w:pPr>
            <w:r>
              <w:rPr>
                <w:rFonts w:eastAsia="Arial" w:cs="Arial"/>
                <w:szCs w:val="24"/>
              </w:rPr>
              <w:t>40 to 49</w:t>
            </w:r>
          </w:p>
        </w:tc>
        <w:tc>
          <w:tcPr>
            <w:tcW w:w="2670" w:type="dxa"/>
            <w:tcBorders>
              <w:top w:val="nil"/>
              <w:left w:val="nil"/>
              <w:bottom w:val="nil"/>
              <w:right w:val="nil"/>
            </w:tcBorders>
          </w:tcPr>
          <w:p w14:paraId="0D581DBE" w14:textId="77777777" w:rsidR="007C6854" w:rsidRDefault="00E0219E">
            <w:pPr>
              <w:spacing w:line="259" w:lineRule="auto"/>
              <w:jc w:val="center"/>
              <w:rPr>
                <w:rFonts w:eastAsia="Arial" w:cs="Arial"/>
                <w:szCs w:val="24"/>
              </w:rPr>
            </w:pPr>
            <w:r>
              <w:rPr>
                <w:rFonts w:eastAsia="Arial" w:cs="Arial"/>
                <w:szCs w:val="24"/>
              </w:rPr>
              <w:t>25</w:t>
            </w:r>
          </w:p>
        </w:tc>
        <w:tc>
          <w:tcPr>
            <w:tcW w:w="2095" w:type="dxa"/>
            <w:tcBorders>
              <w:top w:val="nil"/>
              <w:left w:val="nil"/>
              <w:bottom w:val="nil"/>
              <w:right w:val="nil"/>
            </w:tcBorders>
          </w:tcPr>
          <w:p w14:paraId="0879A82A" w14:textId="77777777" w:rsidR="007C6854" w:rsidRDefault="00E0219E">
            <w:pPr>
              <w:spacing w:line="259" w:lineRule="auto"/>
              <w:jc w:val="center"/>
              <w:rPr>
                <w:rFonts w:eastAsia="Arial" w:cs="Arial"/>
                <w:szCs w:val="24"/>
              </w:rPr>
            </w:pPr>
            <w:r>
              <w:rPr>
                <w:rFonts w:eastAsia="Arial" w:cs="Arial"/>
                <w:szCs w:val="24"/>
              </w:rPr>
              <w:t>16.56</w:t>
            </w:r>
          </w:p>
        </w:tc>
      </w:tr>
      <w:tr w:rsidR="007C6854" w14:paraId="1D387729" w14:textId="77777777" w:rsidTr="00C00846">
        <w:tc>
          <w:tcPr>
            <w:tcW w:w="4605" w:type="dxa"/>
            <w:tcBorders>
              <w:top w:val="nil"/>
              <w:left w:val="nil"/>
              <w:bottom w:val="nil"/>
              <w:right w:val="nil"/>
            </w:tcBorders>
          </w:tcPr>
          <w:p w14:paraId="15EDEDD7" w14:textId="77777777" w:rsidR="007C6854" w:rsidRDefault="00E0219E">
            <w:pPr>
              <w:spacing w:line="259" w:lineRule="auto"/>
              <w:ind w:left="720"/>
              <w:rPr>
                <w:rFonts w:eastAsia="Arial" w:cs="Arial"/>
                <w:szCs w:val="24"/>
              </w:rPr>
            </w:pPr>
            <w:r>
              <w:rPr>
                <w:rFonts w:eastAsia="Arial" w:cs="Arial"/>
                <w:szCs w:val="24"/>
              </w:rPr>
              <w:t>50 to 59</w:t>
            </w:r>
          </w:p>
        </w:tc>
        <w:tc>
          <w:tcPr>
            <w:tcW w:w="2670" w:type="dxa"/>
            <w:tcBorders>
              <w:top w:val="nil"/>
              <w:left w:val="nil"/>
              <w:bottom w:val="nil"/>
              <w:right w:val="nil"/>
            </w:tcBorders>
          </w:tcPr>
          <w:p w14:paraId="63CA0301" w14:textId="77777777" w:rsidR="007C6854" w:rsidRDefault="00E0219E">
            <w:pPr>
              <w:spacing w:line="259" w:lineRule="auto"/>
              <w:jc w:val="center"/>
              <w:rPr>
                <w:rFonts w:eastAsia="Arial" w:cs="Arial"/>
                <w:szCs w:val="24"/>
              </w:rPr>
            </w:pPr>
            <w:r>
              <w:rPr>
                <w:rFonts w:eastAsia="Arial" w:cs="Arial"/>
                <w:szCs w:val="24"/>
              </w:rPr>
              <w:t>25</w:t>
            </w:r>
          </w:p>
        </w:tc>
        <w:tc>
          <w:tcPr>
            <w:tcW w:w="2095" w:type="dxa"/>
            <w:tcBorders>
              <w:top w:val="nil"/>
              <w:left w:val="nil"/>
              <w:bottom w:val="nil"/>
              <w:right w:val="nil"/>
            </w:tcBorders>
          </w:tcPr>
          <w:p w14:paraId="57E23C84" w14:textId="77777777" w:rsidR="007C6854" w:rsidRDefault="00E0219E">
            <w:pPr>
              <w:spacing w:line="259" w:lineRule="auto"/>
              <w:jc w:val="center"/>
              <w:rPr>
                <w:rFonts w:eastAsia="Arial" w:cs="Arial"/>
                <w:szCs w:val="24"/>
              </w:rPr>
            </w:pPr>
            <w:r>
              <w:rPr>
                <w:rFonts w:eastAsia="Arial" w:cs="Arial"/>
                <w:szCs w:val="24"/>
              </w:rPr>
              <w:t>16.56</w:t>
            </w:r>
          </w:p>
        </w:tc>
      </w:tr>
      <w:tr w:rsidR="007C6854" w14:paraId="12FBC78E" w14:textId="77777777" w:rsidTr="00C00846">
        <w:tc>
          <w:tcPr>
            <w:tcW w:w="4605" w:type="dxa"/>
            <w:tcBorders>
              <w:top w:val="nil"/>
              <w:left w:val="nil"/>
              <w:bottom w:val="nil"/>
              <w:right w:val="nil"/>
            </w:tcBorders>
          </w:tcPr>
          <w:p w14:paraId="1A402641" w14:textId="77777777" w:rsidR="007C6854" w:rsidRDefault="00E0219E">
            <w:pPr>
              <w:spacing w:line="259" w:lineRule="auto"/>
              <w:ind w:left="720"/>
              <w:rPr>
                <w:rFonts w:eastAsia="Arial" w:cs="Arial"/>
                <w:szCs w:val="24"/>
              </w:rPr>
            </w:pPr>
            <w:r>
              <w:rPr>
                <w:rFonts w:eastAsia="Arial" w:cs="Arial"/>
                <w:szCs w:val="24"/>
              </w:rPr>
              <w:t>60 to 69</w:t>
            </w:r>
          </w:p>
        </w:tc>
        <w:tc>
          <w:tcPr>
            <w:tcW w:w="2670" w:type="dxa"/>
            <w:tcBorders>
              <w:top w:val="nil"/>
              <w:left w:val="nil"/>
              <w:bottom w:val="nil"/>
              <w:right w:val="nil"/>
            </w:tcBorders>
          </w:tcPr>
          <w:p w14:paraId="2A085498" w14:textId="77777777" w:rsidR="007C6854" w:rsidRDefault="00E0219E">
            <w:pPr>
              <w:spacing w:line="259" w:lineRule="auto"/>
              <w:jc w:val="center"/>
              <w:rPr>
                <w:rFonts w:eastAsia="Arial" w:cs="Arial"/>
                <w:szCs w:val="24"/>
              </w:rPr>
            </w:pPr>
            <w:r>
              <w:rPr>
                <w:rFonts w:eastAsia="Arial" w:cs="Arial"/>
                <w:szCs w:val="24"/>
              </w:rPr>
              <w:t>45</w:t>
            </w:r>
          </w:p>
        </w:tc>
        <w:tc>
          <w:tcPr>
            <w:tcW w:w="2095" w:type="dxa"/>
            <w:tcBorders>
              <w:top w:val="nil"/>
              <w:left w:val="nil"/>
              <w:bottom w:val="nil"/>
              <w:right w:val="nil"/>
            </w:tcBorders>
          </w:tcPr>
          <w:p w14:paraId="1CA221EA" w14:textId="77777777" w:rsidR="007C6854" w:rsidRDefault="00E0219E">
            <w:pPr>
              <w:spacing w:line="259" w:lineRule="auto"/>
              <w:jc w:val="center"/>
              <w:rPr>
                <w:rFonts w:eastAsia="Arial" w:cs="Arial"/>
                <w:szCs w:val="24"/>
              </w:rPr>
            </w:pPr>
            <w:r>
              <w:rPr>
                <w:rFonts w:eastAsia="Arial" w:cs="Arial"/>
                <w:szCs w:val="24"/>
              </w:rPr>
              <w:t>29.80</w:t>
            </w:r>
          </w:p>
        </w:tc>
      </w:tr>
      <w:tr w:rsidR="007C6854" w14:paraId="111A4DD3" w14:textId="77777777" w:rsidTr="00C00846">
        <w:tc>
          <w:tcPr>
            <w:tcW w:w="4605" w:type="dxa"/>
            <w:tcBorders>
              <w:top w:val="nil"/>
              <w:left w:val="nil"/>
              <w:bottom w:val="nil"/>
              <w:right w:val="nil"/>
            </w:tcBorders>
          </w:tcPr>
          <w:p w14:paraId="6023593E" w14:textId="77777777" w:rsidR="007C6854" w:rsidRDefault="00E0219E">
            <w:pPr>
              <w:spacing w:line="259" w:lineRule="auto"/>
              <w:ind w:left="720"/>
              <w:rPr>
                <w:rFonts w:eastAsia="Arial" w:cs="Arial"/>
                <w:szCs w:val="24"/>
              </w:rPr>
            </w:pPr>
            <w:r>
              <w:rPr>
                <w:rFonts w:eastAsia="Arial" w:cs="Arial"/>
                <w:szCs w:val="24"/>
              </w:rPr>
              <w:t>70 above</w:t>
            </w:r>
          </w:p>
        </w:tc>
        <w:tc>
          <w:tcPr>
            <w:tcW w:w="2670" w:type="dxa"/>
            <w:tcBorders>
              <w:top w:val="nil"/>
              <w:left w:val="nil"/>
              <w:bottom w:val="nil"/>
              <w:right w:val="nil"/>
            </w:tcBorders>
          </w:tcPr>
          <w:p w14:paraId="47238460" w14:textId="77777777" w:rsidR="007C6854" w:rsidRDefault="00E0219E">
            <w:pPr>
              <w:spacing w:line="259" w:lineRule="auto"/>
              <w:jc w:val="center"/>
              <w:rPr>
                <w:rFonts w:eastAsia="Arial" w:cs="Arial"/>
                <w:szCs w:val="24"/>
              </w:rPr>
            </w:pPr>
            <w:r>
              <w:rPr>
                <w:rFonts w:eastAsia="Arial" w:cs="Arial"/>
                <w:szCs w:val="24"/>
              </w:rPr>
              <w:t>42</w:t>
            </w:r>
          </w:p>
        </w:tc>
        <w:tc>
          <w:tcPr>
            <w:tcW w:w="2095" w:type="dxa"/>
            <w:tcBorders>
              <w:top w:val="nil"/>
              <w:left w:val="nil"/>
              <w:bottom w:val="nil"/>
              <w:right w:val="nil"/>
            </w:tcBorders>
          </w:tcPr>
          <w:p w14:paraId="389A4372" w14:textId="77777777" w:rsidR="007C6854" w:rsidRDefault="00E0219E">
            <w:pPr>
              <w:spacing w:line="259" w:lineRule="auto"/>
              <w:jc w:val="center"/>
              <w:rPr>
                <w:rFonts w:eastAsia="Arial" w:cs="Arial"/>
                <w:szCs w:val="24"/>
              </w:rPr>
            </w:pPr>
            <w:r>
              <w:rPr>
                <w:rFonts w:eastAsia="Arial" w:cs="Arial"/>
                <w:szCs w:val="24"/>
              </w:rPr>
              <w:t>27.81</w:t>
            </w:r>
          </w:p>
        </w:tc>
      </w:tr>
      <w:tr w:rsidR="007C6854" w14:paraId="4720C908" w14:textId="77777777" w:rsidTr="00C00846">
        <w:tc>
          <w:tcPr>
            <w:tcW w:w="4605" w:type="dxa"/>
            <w:tcBorders>
              <w:top w:val="nil"/>
              <w:left w:val="nil"/>
              <w:bottom w:val="nil"/>
              <w:right w:val="nil"/>
            </w:tcBorders>
          </w:tcPr>
          <w:p w14:paraId="39285039" w14:textId="77777777" w:rsidR="007C6854" w:rsidRDefault="00E0219E">
            <w:pPr>
              <w:spacing w:line="259" w:lineRule="auto"/>
              <w:rPr>
                <w:rFonts w:eastAsia="Arial" w:cs="Arial"/>
                <w:szCs w:val="24"/>
              </w:rPr>
            </w:pPr>
            <w:r>
              <w:rPr>
                <w:rFonts w:eastAsia="Arial" w:cs="Arial"/>
                <w:szCs w:val="24"/>
              </w:rPr>
              <w:t>Marital Status</w:t>
            </w:r>
          </w:p>
        </w:tc>
        <w:tc>
          <w:tcPr>
            <w:tcW w:w="2670" w:type="dxa"/>
            <w:tcBorders>
              <w:top w:val="nil"/>
              <w:left w:val="nil"/>
              <w:bottom w:val="nil"/>
              <w:right w:val="nil"/>
            </w:tcBorders>
          </w:tcPr>
          <w:p w14:paraId="5A9A79DD"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73420759" w14:textId="77777777" w:rsidR="007C6854" w:rsidRDefault="007C6854">
            <w:pPr>
              <w:spacing w:line="259" w:lineRule="auto"/>
              <w:jc w:val="center"/>
              <w:rPr>
                <w:rFonts w:eastAsia="Arial" w:cs="Arial"/>
                <w:szCs w:val="24"/>
              </w:rPr>
            </w:pPr>
          </w:p>
        </w:tc>
      </w:tr>
      <w:tr w:rsidR="007C6854" w14:paraId="431774E2" w14:textId="77777777" w:rsidTr="00C00846">
        <w:tc>
          <w:tcPr>
            <w:tcW w:w="4605" w:type="dxa"/>
            <w:tcBorders>
              <w:top w:val="nil"/>
              <w:left w:val="nil"/>
              <w:bottom w:val="nil"/>
              <w:right w:val="nil"/>
            </w:tcBorders>
          </w:tcPr>
          <w:p w14:paraId="4FCD20BB" w14:textId="77777777" w:rsidR="007C6854" w:rsidRDefault="00E0219E">
            <w:pPr>
              <w:spacing w:line="259" w:lineRule="auto"/>
              <w:ind w:left="720"/>
              <w:rPr>
                <w:rFonts w:eastAsia="Arial" w:cs="Arial"/>
                <w:szCs w:val="24"/>
              </w:rPr>
            </w:pPr>
            <w:r>
              <w:rPr>
                <w:rFonts w:eastAsia="Arial" w:cs="Arial"/>
                <w:szCs w:val="24"/>
              </w:rPr>
              <w:t>Never Married</w:t>
            </w:r>
          </w:p>
        </w:tc>
        <w:tc>
          <w:tcPr>
            <w:tcW w:w="2670" w:type="dxa"/>
            <w:tcBorders>
              <w:top w:val="nil"/>
              <w:left w:val="nil"/>
              <w:bottom w:val="nil"/>
              <w:right w:val="nil"/>
            </w:tcBorders>
          </w:tcPr>
          <w:p w14:paraId="0B6D8432" w14:textId="77777777" w:rsidR="007C6854" w:rsidRDefault="00E0219E">
            <w:pPr>
              <w:spacing w:line="259" w:lineRule="auto"/>
              <w:jc w:val="center"/>
              <w:rPr>
                <w:rFonts w:eastAsia="Arial" w:cs="Arial"/>
                <w:szCs w:val="24"/>
              </w:rPr>
            </w:pPr>
            <w:r>
              <w:rPr>
                <w:rFonts w:eastAsia="Arial" w:cs="Arial"/>
                <w:szCs w:val="24"/>
              </w:rPr>
              <w:t>14</w:t>
            </w:r>
          </w:p>
        </w:tc>
        <w:tc>
          <w:tcPr>
            <w:tcW w:w="2095" w:type="dxa"/>
            <w:tcBorders>
              <w:top w:val="nil"/>
              <w:left w:val="nil"/>
              <w:bottom w:val="nil"/>
              <w:right w:val="nil"/>
            </w:tcBorders>
          </w:tcPr>
          <w:p w14:paraId="037538FA" w14:textId="77777777" w:rsidR="007C6854" w:rsidRDefault="00E0219E">
            <w:pPr>
              <w:spacing w:line="259" w:lineRule="auto"/>
              <w:jc w:val="center"/>
              <w:rPr>
                <w:rFonts w:eastAsia="Arial" w:cs="Arial"/>
                <w:szCs w:val="24"/>
              </w:rPr>
            </w:pPr>
            <w:r>
              <w:rPr>
                <w:rFonts w:eastAsia="Arial" w:cs="Arial"/>
                <w:szCs w:val="24"/>
              </w:rPr>
              <w:t>9.27</w:t>
            </w:r>
          </w:p>
        </w:tc>
      </w:tr>
      <w:tr w:rsidR="007C6854" w14:paraId="49016B83" w14:textId="77777777" w:rsidTr="00C00846">
        <w:tc>
          <w:tcPr>
            <w:tcW w:w="4605" w:type="dxa"/>
            <w:tcBorders>
              <w:top w:val="nil"/>
              <w:left w:val="nil"/>
              <w:bottom w:val="nil"/>
              <w:right w:val="nil"/>
            </w:tcBorders>
          </w:tcPr>
          <w:p w14:paraId="75EBE66D" w14:textId="77777777" w:rsidR="007C6854" w:rsidRDefault="00E0219E">
            <w:pPr>
              <w:spacing w:line="259" w:lineRule="auto"/>
              <w:ind w:left="720"/>
              <w:rPr>
                <w:rFonts w:eastAsia="Arial" w:cs="Arial"/>
                <w:szCs w:val="24"/>
              </w:rPr>
            </w:pPr>
            <w:r>
              <w:rPr>
                <w:rFonts w:eastAsia="Arial" w:cs="Arial"/>
                <w:szCs w:val="24"/>
              </w:rPr>
              <w:t>Currently Married</w:t>
            </w:r>
          </w:p>
        </w:tc>
        <w:tc>
          <w:tcPr>
            <w:tcW w:w="2670" w:type="dxa"/>
            <w:tcBorders>
              <w:top w:val="nil"/>
              <w:left w:val="nil"/>
              <w:bottom w:val="nil"/>
              <w:right w:val="nil"/>
            </w:tcBorders>
          </w:tcPr>
          <w:p w14:paraId="75F3EC1D" w14:textId="77777777" w:rsidR="007C6854" w:rsidRDefault="00E0219E">
            <w:pPr>
              <w:spacing w:line="259" w:lineRule="auto"/>
              <w:jc w:val="center"/>
              <w:rPr>
                <w:rFonts w:eastAsia="Arial" w:cs="Arial"/>
                <w:szCs w:val="24"/>
              </w:rPr>
            </w:pPr>
            <w:r>
              <w:rPr>
                <w:rFonts w:eastAsia="Arial" w:cs="Arial"/>
                <w:szCs w:val="24"/>
              </w:rPr>
              <w:t>98</w:t>
            </w:r>
          </w:p>
        </w:tc>
        <w:tc>
          <w:tcPr>
            <w:tcW w:w="2095" w:type="dxa"/>
            <w:tcBorders>
              <w:top w:val="nil"/>
              <w:left w:val="nil"/>
              <w:bottom w:val="nil"/>
              <w:right w:val="nil"/>
            </w:tcBorders>
          </w:tcPr>
          <w:p w14:paraId="29B612F1" w14:textId="77777777" w:rsidR="007C6854" w:rsidRDefault="00E0219E">
            <w:pPr>
              <w:spacing w:line="259" w:lineRule="auto"/>
              <w:jc w:val="center"/>
              <w:rPr>
                <w:rFonts w:eastAsia="Arial" w:cs="Arial"/>
                <w:szCs w:val="24"/>
              </w:rPr>
            </w:pPr>
            <w:r>
              <w:rPr>
                <w:rFonts w:eastAsia="Arial" w:cs="Arial"/>
                <w:szCs w:val="24"/>
              </w:rPr>
              <w:t>64.90</w:t>
            </w:r>
          </w:p>
        </w:tc>
      </w:tr>
      <w:tr w:rsidR="007C6854" w14:paraId="04A88598" w14:textId="77777777" w:rsidTr="00C00846">
        <w:tc>
          <w:tcPr>
            <w:tcW w:w="4605" w:type="dxa"/>
            <w:tcBorders>
              <w:top w:val="nil"/>
              <w:left w:val="nil"/>
              <w:bottom w:val="nil"/>
              <w:right w:val="nil"/>
            </w:tcBorders>
          </w:tcPr>
          <w:p w14:paraId="568650C3" w14:textId="77777777" w:rsidR="007C6854" w:rsidRDefault="00E0219E">
            <w:pPr>
              <w:spacing w:line="259" w:lineRule="auto"/>
              <w:ind w:left="720"/>
              <w:rPr>
                <w:rFonts w:eastAsia="Arial" w:cs="Arial"/>
                <w:szCs w:val="24"/>
              </w:rPr>
            </w:pPr>
            <w:r>
              <w:rPr>
                <w:rFonts w:eastAsia="Arial" w:cs="Arial"/>
                <w:szCs w:val="24"/>
              </w:rPr>
              <w:t>Separated</w:t>
            </w:r>
          </w:p>
        </w:tc>
        <w:tc>
          <w:tcPr>
            <w:tcW w:w="2670" w:type="dxa"/>
            <w:tcBorders>
              <w:top w:val="nil"/>
              <w:left w:val="nil"/>
              <w:bottom w:val="nil"/>
              <w:right w:val="nil"/>
            </w:tcBorders>
          </w:tcPr>
          <w:p w14:paraId="79D53050" w14:textId="77777777" w:rsidR="007C6854" w:rsidRDefault="00E0219E">
            <w:pPr>
              <w:spacing w:line="259" w:lineRule="auto"/>
              <w:jc w:val="center"/>
              <w:rPr>
                <w:rFonts w:eastAsia="Arial" w:cs="Arial"/>
                <w:szCs w:val="24"/>
              </w:rPr>
            </w:pPr>
            <w:r>
              <w:rPr>
                <w:rFonts w:eastAsia="Arial" w:cs="Arial"/>
                <w:szCs w:val="24"/>
              </w:rPr>
              <w:t>2</w:t>
            </w:r>
          </w:p>
        </w:tc>
        <w:tc>
          <w:tcPr>
            <w:tcW w:w="2095" w:type="dxa"/>
            <w:tcBorders>
              <w:top w:val="nil"/>
              <w:left w:val="nil"/>
              <w:bottom w:val="nil"/>
              <w:right w:val="nil"/>
            </w:tcBorders>
          </w:tcPr>
          <w:p w14:paraId="02AB6759" w14:textId="77777777" w:rsidR="007C6854" w:rsidRDefault="00E0219E">
            <w:pPr>
              <w:spacing w:line="259" w:lineRule="auto"/>
              <w:jc w:val="center"/>
              <w:rPr>
                <w:rFonts w:eastAsia="Arial" w:cs="Arial"/>
                <w:szCs w:val="24"/>
              </w:rPr>
            </w:pPr>
            <w:r>
              <w:rPr>
                <w:rFonts w:eastAsia="Arial" w:cs="Arial"/>
                <w:szCs w:val="24"/>
              </w:rPr>
              <w:t>1.32</w:t>
            </w:r>
          </w:p>
        </w:tc>
      </w:tr>
      <w:tr w:rsidR="007C6854" w14:paraId="1B9E8299" w14:textId="77777777" w:rsidTr="00C00846">
        <w:tc>
          <w:tcPr>
            <w:tcW w:w="4605" w:type="dxa"/>
            <w:tcBorders>
              <w:top w:val="nil"/>
              <w:left w:val="nil"/>
              <w:bottom w:val="nil"/>
              <w:right w:val="nil"/>
            </w:tcBorders>
          </w:tcPr>
          <w:p w14:paraId="5019DDE7" w14:textId="77777777" w:rsidR="007C6854" w:rsidRDefault="00E0219E">
            <w:pPr>
              <w:spacing w:line="259" w:lineRule="auto"/>
              <w:ind w:left="720"/>
              <w:rPr>
                <w:rFonts w:eastAsia="Arial" w:cs="Arial"/>
                <w:szCs w:val="24"/>
              </w:rPr>
            </w:pPr>
            <w:r>
              <w:rPr>
                <w:rFonts w:eastAsia="Arial" w:cs="Arial"/>
                <w:szCs w:val="24"/>
              </w:rPr>
              <w:t>Widowed</w:t>
            </w:r>
          </w:p>
        </w:tc>
        <w:tc>
          <w:tcPr>
            <w:tcW w:w="2670" w:type="dxa"/>
            <w:tcBorders>
              <w:top w:val="nil"/>
              <w:left w:val="nil"/>
              <w:bottom w:val="nil"/>
              <w:right w:val="nil"/>
            </w:tcBorders>
          </w:tcPr>
          <w:p w14:paraId="0B62D4E8" w14:textId="77777777" w:rsidR="007C6854" w:rsidRDefault="00E0219E">
            <w:pPr>
              <w:spacing w:line="259" w:lineRule="auto"/>
              <w:jc w:val="center"/>
              <w:rPr>
                <w:rFonts w:eastAsia="Arial" w:cs="Arial"/>
                <w:szCs w:val="24"/>
              </w:rPr>
            </w:pPr>
            <w:r>
              <w:rPr>
                <w:rFonts w:eastAsia="Arial" w:cs="Arial"/>
                <w:szCs w:val="24"/>
              </w:rPr>
              <w:t>15</w:t>
            </w:r>
          </w:p>
        </w:tc>
        <w:tc>
          <w:tcPr>
            <w:tcW w:w="2095" w:type="dxa"/>
            <w:tcBorders>
              <w:top w:val="nil"/>
              <w:left w:val="nil"/>
              <w:bottom w:val="nil"/>
              <w:right w:val="nil"/>
            </w:tcBorders>
          </w:tcPr>
          <w:p w14:paraId="698E8558" w14:textId="77777777" w:rsidR="007C6854" w:rsidRDefault="00E0219E">
            <w:pPr>
              <w:spacing w:line="259" w:lineRule="auto"/>
              <w:jc w:val="center"/>
              <w:rPr>
                <w:rFonts w:eastAsia="Arial" w:cs="Arial"/>
                <w:szCs w:val="24"/>
              </w:rPr>
            </w:pPr>
            <w:r>
              <w:rPr>
                <w:rFonts w:eastAsia="Arial" w:cs="Arial"/>
                <w:szCs w:val="24"/>
              </w:rPr>
              <w:t>9.93</w:t>
            </w:r>
          </w:p>
        </w:tc>
      </w:tr>
      <w:tr w:rsidR="007C6854" w14:paraId="4C2473B5" w14:textId="77777777" w:rsidTr="00C00846">
        <w:tc>
          <w:tcPr>
            <w:tcW w:w="4605" w:type="dxa"/>
            <w:tcBorders>
              <w:top w:val="nil"/>
              <w:left w:val="nil"/>
              <w:bottom w:val="nil"/>
              <w:right w:val="nil"/>
            </w:tcBorders>
          </w:tcPr>
          <w:p w14:paraId="2B04E433" w14:textId="77777777" w:rsidR="007C6854" w:rsidRDefault="00E0219E">
            <w:pPr>
              <w:spacing w:line="259" w:lineRule="auto"/>
              <w:ind w:left="720"/>
              <w:rPr>
                <w:rFonts w:eastAsia="Arial" w:cs="Arial"/>
                <w:szCs w:val="24"/>
              </w:rPr>
            </w:pPr>
            <w:r>
              <w:rPr>
                <w:rFonts w:eastAsia="Arial" w:cs="Arial"/>
                <w:szCs w:val="24"/>
              </w:rPr>
              <w:t>Cohabitating (Live-in)</w:t>
            </w:r>
          </w:p>
        </w:tc>
        <w:tc>
          <w:tcPr>
            <w:tcW w:w="2670" w:type="dxa"/>
            <w:tcBorders>
              <w:top w:val="nil"/>
              <w:left w:val="nil"/>
              <w:bottom w:val="nil"/>
              <w:right w:val="nil"/>
            </w:tcBorders>
          </w:tcPr>
          <w:p w14:paraId="75B35057" w14:textId="77777777" w:rsidR="007C6854" w:rsidRDefault="00E0219E">
            <w:pPr>
              <w:spacing w:line="259" w:lineRule="auto"/>
              <w:jc w:val="center"/>
              <w:rPr>
                <w:rFonts w:eastAsia="Arial" w:cs="Arial"/>
                <w:szCs w:val="24"/>
              </w:rPr>
            </w:pPr>
            <w:r>
              <w:rPr>
                <w:rFonts w:eastAsia="Arial" w:cs="Arial"/>
                <w:szCs w:val="24"/>
              </w:rPr>
              <w:t>21</w:t>
            </w:r>
          </w:p>
        </w:tc>
        <w:tc>
          <w:tcPr>
            <w:tcW w:w="2095" w:type="dxa"/>
            <w:tcBorders>
              <w:top w:val="nil"/>
              <w:left w:val="nil"/>
              <w:bottom w:val="nil"/>
              <w:right w:val="nil"/>
            </w:tcBorders>
          </w:tcPr>
          <w:p w14:paraId="7B1E154F" w14:textId="77777777" w:rsidR="007C6854" w:rsidRDefault="00E0219E">
            <w:pPr>
              <w:spacing w:line="259" w:lineRule="auto"/>
              <w:jc w:val="center"/>
              <w:rPr>
                <w:rFonts w:eastAsia="Arial" w:cs="Arial"/>
                <w:szCs w:val="24"/>
              </w:rPr>
            </w:pPr>
            <w:r>
              <w:rPr>
                <w:rFonts w:eastAsia="Arial" w:cs="Arial"/>
                <w:szCs w:val="24"/>
              </w:rPr>
              <w:t>13.91</w:t>
            </w:r>
          </w:p>
        </w:tc>
      </w:tr>
      <w:tr w:rsidR="007C6854" w14:paraId="1ED556D4" w14:textId="77777777" w:rsidTr="00C00846">
        <w:tc>
          <w:tcPr>
            <w:tcW w:w="4605" w:type="dxa"/>
            <w:tcBorders>
              <w:top w:val="nil"/>
              <w:left w:val="nil"/>
              <w:bottom w:val="nil"/>
              <w:right w:val="nil"/>
            </w:tcBorders>
          </w:tcPr>
          <w:p w14:paraId="2D77B1E9" w14:textId="77777777" w:rsidR="007C6854" w:rsidRDefault="00E0219E">
            <w:pPr>
              <w:spacing w:line="259" w:lineRule="auto"/>
              <w:ind w:left="720"/>
              <w:rPr>
                <w:rFonts w:eastAsia="Arial" w:cs="Arial"/>
                <w:szCs w:val="24"/>
              </w:rPr>
            </w:pPr>
            <w:r>
              <w:rPr>
                <w:rFonts w:eastAsia="Arial" w:cs="Arial"/>
                <w:szCs w:val="24"/>
              </w:rPr>
              <w:t>Refused to answer</w:t>
            </w:r>
          </w:p>
        </w:tc>
        <w:tc>
          <w:tcPr>
            <w:tcW w:w="2670" w:type="dxa"/>
            <w:tcBorders>
              <w:top w:val="nil"/>
              <w:left w:val="nil"/>
              <w:bottom w:val="nil"/>
              <w:right w:val="nil"/>
            </w:tcBorders>
          </w:tcPr>
          <w:p w14:paraId="63F0F23D" w14:textId="77777777" w:rsidR="007C6854" w:rsidRDefault="00E0219E">
            <w:pPr>
              <w:spacing w:line="259" w:lineRule="auto"/>
              <w:jc w:val="center"/>
              <w:rPr>
                <w:rFonts w:eastAsia="Arial" w:cs="Arial"/>
                <w:szCs w:val="24"/>
              </w:rPr>
            </w:pPr>
            <w:r>
              <w:rPr>
                <w:rFonts w:eastAsia="Arial" w:cs="Arial"/>
                <w:szCs w:val="24"/>
              </w:rPr>
              <w:t>1</w:t>
            </w:r>
          </w:p>
        </w:tc>
        <w:tc>
          <w:tcPr>
            <w:tcW w:w="2095" w:type="dxa"/>
            <w:tcBorders>
              <w:top w:val="nil"/>
              <w:left w:val="nil"/>
              <w:bottom w:val="nil"/>
              <w:right w:val="nil"/>
            </w:tcBorders>
          </w:tcPr>
          <w:p w14:paraId="2D89E9A6" w14:textId="77777777" w:rsidR="007C6854" w:rsidRDefault="00E0219E">
            <w:pPr>
              <w:spacing w:line="259" w:lineRule="auto"/>
              <w:jc w:val="center"/>
              <w:rPr>
                <w:rFonts w:eastAsia="Arial" w:cs="Arial"/>
                <w:szCs w:val="24"/>
              </w:rPr>
            </w:pPr>
            <w:r>
              <w:rPr>
                <w:rFonts w:eastAsia="Arial" w:cs="Arial"/>
                <w:szCs w:val="24"/>
              </w:rPr>
              <w:t>0.66</w:t>
            </w:r>
          </w:p>
        </w:tc>
      </w:tr>
      <w:tr w:rsidR="007C6854" w14:paraId="35373CC3" w14:textId="77777777" w:rsidTr="00C00846">
        <w:tc>
          <w:tcPr>
            <w:tcW w:w="4605" w:type="dxa"/>
            <w:tcBorders>
              <w:top w:val="nil"/>
              <w:left w:val="nil"/>
              <w:bottom w:val="nil"/>
              <w:right w:val="nil"/>
            </w:tcBorders>
          </w:tcPr>
          <w:p w14:paraId="7970CE77" w14:textId="77777777" w:rsidR="007C6854" w:rsidRDefault="00E0219E">
            <w:pPr>
              <w:spacing w:line="259" w:lineRule="auto"/>
              <w:rPr>
                <w:rFonts w:eastAsia="Arial" w:cs="Arial"/>
                <w:szCs w:val="24"/>
              </w:rPr>
            </w:pPr>
            <w:r>
              <w:rPr>
                <w:rFonts w:eastAsia="Arial" w:cs="Arial"/>
                <w:szCs w:val="24"/>
              </w:rPr>
              <w:t>Work Status over the past 12 months</w:t>
            </w:r>
          </w:p>
        </w:tc>
        <w:tc>
          <w:tcPr>
            <w:tcW w:w="2670" w:type="dxa"/>
            <w:tcBorders>
              <w:top w:val="nil"/>
              <w:left w:val="nil"/>
              <w:bottom w:val="nil"/>
              <w:right w:val="nil"/>
            </w:tcBorders>
          </w:tcPr>
          <w:p w14:paraId="77ADA80F"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5C1538F7" w14:textId="77777777" w:rsidR="007C6854" w:rsidRDefault="007C6854">
            <w:pPr>
              <w:spacing w:line="259" w:lineRule="auto"/>
              <w:jc w:val="center"/>
              <w:rPr>
                <w:rFonts w:eastAsia="Arial" w:cs="Arial"/>
                <w:szCs w:val="24"/>
              </w:rPr>
            </w:pPr>
          </w:p>
        </w:tc>
      </w:tr>
      <w:tr w:rsidR="007C6854" w14:paraId="70858C50" w14:textId="77777777" w:rsidTr="00C00846">
        <w:tc>
          <w:tcPr>
            <w:tcW w:w="4605" w:type="dxa"/>
            <w:tcBorders>
              <w:top w:val="nil"/>
              <w:left w:val="nil"/>
              <w:bottom w:val="nil"/>
              <w:right w:val="nil"/>
            </w:tcBorders>
          </w:tcPr>
          <w:p w14:paraId="2322E74C" w14:textId="77777777" w:rsidR="007C6854" w:rsidRDefault="00E0219E">
            <w:pPr>
              <w:spacing w:line="259" w:lineRule="auto"/>
              <w:ind w:left="720"/>
              <w:rPr>
                <w:rFonts w:eastAsia="Arial" w:cs="Arial"/>
                <w:szCs w:val="24"/>
              </w:rPr>
            </w:pPr>
            <w:r>
              <w:rPr>
                <w:rFonts w:eastAsia="Arial" w:cs="Arial"/>
                <w:szCs w:val="24"/>
              </w:rPr>
              <w:t>Government employee</w:t>
            </w:r>
          </w:p>
        </w:tc>
        <w:tc>
          <w:tcPr>
            <w:tcW w:w="2670" w:type="dxa"/>
            <w:tcBorders>
              <w:top w:val="nil"/>
              <w:left w:val="nil"/>
              <w:bottom w:val="nil"/>
              <w:right w:val="nil"/>
            </w:tcBorders>
          </w:tcPr>
          <w:p w14:paraId="0D101C04" w14:textId="77777777" w:rsidR="007C6854" w:rsidRDefault="00E0219E">
            <w:pPr>
              <w:spacing w:line="259" w:lineRule="auto"/>
              <w:jc w:val="center"/>
              <w:rPr>
                <w:rFonts w:eastAsia="Arial" w:cs="Arial"/>
                <w:szCs w:val="24"/>
              </w:rPr>
            </w:pPr>
            <w:r>
              <w:rPr>
                <w:rFonts w:eastAsia="Arial" w:cs="Arial"/>
                <w:szCs w:val="24"/>
              </w:rPr>
              <w:t>6</w:t>
            </w:r>
          </w:p>
        </w:tc>
        <w:tc>
          <w:tcPr>
            <w:tcW w:w="2095" w:type="dxa"/>
            <w:tcBorders>
              <w:top w:val="nil"/>
              <w:left w:val="nil"/>
              <w:bottom w:val="nil"/>
              <w:right w:val="nil"/>
            </w:tcBorders>
          </w:tcPr>
          <w:p w14:paraId="3E0F6AEB" w14:textId="77777777" w:rsidR="007C6854" w:rsidRDefault="00E0219E">
            <w:pPr>
              <w:spacing w:line="259" w:lineRule="auto"/>
              <w:jc w:val="center"/>
              <w:rPr>
                <w:rFonts w:eastAsia="Arial" w:cs="Arial"/>
                <w:szCs w:val="24"/>
              </w:rPr>
            </w:pPr>
            <w:r>
              <w:rPr>
                <w:rFonts w:eastAsia="Arial" w:cs="Arial"/>
                <w:szCs w:val="24"/>
              </w:rPr>
              <w:t>3.97</w:t>
            </w:r>
          </w:p>
        </w:tc>
      </w:tr>
      <w:tr w:rsidR="007C6854" w14:paraId="481BA59E" w14:textId="77777777" w:rsidTr="00C00846">
        <w:tc>
          <w:tcPr>
            <w:tcW w:w="4605" w:type="dxa"/>
            <w:tcBorders>
              <w:top w:val="nil"/>
              <w:left w:val="nil"/>
              <w:bottom w:val="nil"/>
              <w:right w:val="nil"/>
            </w:tcBorders>
          </w:tcPr>
          <w:p w14:paraId="4E64DC30" w14:textId="77777777" w:rsidR="007C6854" w:rsidRDefault="00E0219E">
            <w:pPr>
              <w:spacing w:line="259" w:lineRule="auto"/>
              <w:ind w:left="720"/>
              <w:rPr>
                <w:rFonts w:eastAsia="Arial" w:cs="Arial"/>
                <w:szCs w:val="24"/>
              </w:rPr>
            </w:pPr>
            <w:r>
              <w:rPr>
                <w:rFonts w:eastAsia="Arial" w:cs="Arial"/>
                <w:szCs w:val="24"/>
              </w:rPr>
              <w:t>Private employee</w:t>
            </w:r>
          </w:p>
        </w:tc>
        <w:tc>
          <w:tcPr>
            <w:tcW w:w="2670" w:type="dxa"/>
            <w:tcBorders>
              <w:top w:val="nil"/>
              <w:left w:val="nil"/>
              <w:bottom w:val="nil"/>
              <w:right w:val="nil"/>
            </w:tcBorders>
          </w:tcPr>
          <w:p w14:paraId="0E5FF27C" w14:textId="77777777" w:rsidR="007C6854" w:rsidRDefault="00E0219E">
            <w:pPr>
              <w:spacing w:line="259" w:lineRule="auto"/>
              <w:jc w:val="center"/>
              <w:rPr>
                <w:rFonts w:eastAsia="Arial" w:cs="Arial"/>
                <w:szCs w:val="24"/>
              </w:rPr>
            </w:pPr>
            <w:r>
              <w:rPr>
                <w:rFonts w:eastAsia="Arial" w:cs="Arial"/>
                <w:szCs w:val="24"/>
              </w:rPr>
              <w:t>5</w:t>
            </w:r>
          </w:p>
        </w:tc>
        <w:tc>
          <w:tcPr>
            <w:tcW w:w="2095" w:type="dxa"/>
            <w:tcBorders>
              <w:top w:val="nil"/>
              <w:left w:val="nil"/>
              <w:bottom w:val="nil"/>
              <w:right w:val="nil"/>
            </w:tcBorders>
          </w:tcPr>
          <w:p w14:paraId="11E638BF" w14:textId="77777777" w:rsidR="007C6854" w:rsidRDefault="00E0219E">
            <w:pPr>
              <w:spacing w:line="259" w:lineRule="auto"/>
              <w:jc w:val="center"/>
              <w:rPr>
                <w:rFonts w:eastAsia="Arial" w:cs="Arial"/>
                <w:szCs w:val="24"/>
              </w:rPr>
            </w:pPr>
            <w:r>
              <w:rPr>
                <w:rFonts w:eastAsia="Arial" w:cs="Arial"/>
                <w:szCs w:val="24"/>
              </w:rPr>
              <w:t>3.31</w:t>
            </w:r>
          </w:p>
        </w:tc>
      </w:tr>
      <w:tr w:rsidR="007C6854" w14:paraId="52CED44B" w14:textId="77777777" w:rsidTr="00C00846">
        <w:tc>
          <w:tcPr>
            <w:tcW w:w="4605" w:type="dxa"/>
            <w:tcBorders>
              <w:top w:val="nil"/>
              <w:left w:val="nil"/>
              <w:bottom w:val="nil"/>
              <w:right w:val="nil"/>
            </w:tcBorders>
          </w:tcPr>
          <w:p w14:paraId="67AD7B02" w14:textId="77777777" w:rsidR="007C6854" w:rsidRDefault="00E0219E">
            <w:pPr>
              <w:spacing w:line="259" w:lineRule="auto"/>
              <w:ind w:left="720"/>
              <w:rPr>
                <w:rFonts w:eastAsia="Arial" w:cs="Arial"/>
                <w:szCs w:val="24"/>
              </w:rPr>
            </w:pPr>
            <w:r>
              <w:rPr>
                <w:rFonts w:eastAsia="Arial" w:cs="Arial"/>
                <w:szCs w:val="24"/>
              </w:rPr>
              <w:t>Self-employed</w:t>
            </w:r>
          </w:p>
        </w:tc>
        <w:tc>
          <w:tcPr>
            <w:tcW w:w="2670" w:type="dxa"/>
            <w:tcBorders>
              <w:top w:val="nil"/>
              <w:left w:val="nil"/>
              <w:bottom w:val="nil"/>
              <w:right w:val="nil"/>
            </w:tcBorders>
          </w:tcPr>
          <w:p w14:paraId="0554E90D" w14:textId="77777777" w:rsidR="007C6854" w:rsidRDefault="00E0219E">
            <w:pPr>
              <w:spacing w:line="259" w:lineRule="auto"/>
              <w:jc w:val="center"/>
              <w:rPr>
                <w:rFonts w:eastAsia="Arial" w:cs="Arial"/>
                <w:szCs w:val="24"/>
              </w:rPr>
            </w:pPr>
            <w:r>
              <w:rPr>
                <w:rFonts w:eastAsia="Arial" w:cs="Arial"/>
                <w:szCs w:val="24"/>
              </w:rPr>
              <w:t>73</w:t>
            </w:r>
          </w:p>
        </w:tc>
        <w:tc>
          <w:tcPr>
            <w:tcW w:w="2095" w:type="dxa"/>
            <w:tcBorders>
              <w:top w:val="nil"/>
              <w:left w:val="nil"/>
              <w:bottom w:val="nil"/>
              <w:right w:val="nil"/>
            </w:tcBorders>
          </w:tcPr>
          <w:p w14:paraId="257D4BBA" w14:textId="77777777" w:rsidR="007C6854" w:rsidRDefault="00E0219E">
            <w:pPr>
              <w:spacing w:line="259" w:lineRule="auto"/>
              <w:jc w:val="center"/>
              <w:rPr>
                <w:rFonts w:eastAsia="Arial" w:cs="Arial"/>
                <w:szCs w:val="24"/>
              </w:rPr>
            </w:pPr>
            <w:r>
              <w:rPr>
                <w:rFonts w:eastAsia="Arial" w:cs="Arial"/>
                <w:szCs w:val="24"/>
              </w:rPr>
              <w:t>48.34</w:t>
            </w:r>
          </w:p>
        </w:tc>
      </w:tr>
      <w:tr w:rsidR="007C6854" w14:paraId="2009DB91" w14:textId="77777777" w:rsidTr="00C00846">
        <w:tc>
          <w:tcPr>
            <w:tcW w:w="4605" w:type="dxa"/>
            <w:tcBorders>
              <w:top w:val="nil"/>
              <w:left w:val="nil"/>
              <w:bottom w:val="nil"/>
              <w:right w:val="nil"/>
            </w:tcBorders>
          </w:tcPr>
          <w:p w14:paraId="63B32426" w14:textId="77777777" w:rsidR="007C6854" w:rsidRDefault="00E0219E">
            <w:pPr>
              <w:spacing w:line="259" w:lineRule="auto"/>
              <w:ind w:left="720"/>
              <w:rPr>
                <w:rFonts w:eastAsia="Arial" w:cs="Arial"/>
                <w:szCs w:val="24"/>
              </w:rPr>
            </w:pPr>
            <w:r>
              <w:rPr>
                <w:rFonts w:eastAsia="Arial" w:cs="Arial"/>
                <w:szCs w:val="24"/>
              </w:rPr>
              <w:t>Student</w:t>
            </w:r>
          </w:p>
        </w:tc>
        <w:tc>
          <w:tcPr>
            <w:tcW w:w="2670" w:type="dxa"/>
            <w:tcBorders>
              <w:top w:val="nil"/>
              <w:left w:val="nil"/>
              <w:bottom w:val="nil"/>
              <w:right w:val="nil"/>
            </w:tcBorders>
          </w:tcPr>
          <w:p w14:paraId="6A7EBD03" w14:textId="77777777" w:rsidR="007C6854" w:rsidRDefault="00E0219E">
            <w:pPr>
              <w:spacing w:line="259" w:lineRule="auto"/>
              <w:jc w:val="center"/>
              <w:rPr>
                <w:rFonts w:eastAsia="Arial" w:cs="Arial"/>
                <w:szCs w:val="24"/>
              </w:rPr>
            </w:pPr>
            <w:r>
              <w:rPr>
                <w:rFonts w:eastAsia="Arial" w:cs="Arial"/>
                <w:szCs w:val="24"/>
              </w:rPr>
              <w:t>1</w:t>
            </w:r>
          </w:p>
        </w:tc>
        <w:tc>
          <w:tcPr>
            <w:tcW w:w="2095" w:type="dxa"/>
            <w:tcBorders>
              <w:top w:val="nil"/>
              <w:left w:val="nil"/>
              <w:bottom w:val="nil"/>
              <w:right w:val="nil"/>
            </w:tcBorders>
          </w:tcPr>
          <w:p w14:paraId="1B261BEC" w14:textId="77777777" w:rsidR="007C6854" w:rsidRDefault="00E0219E">
            <w:pPr>
              <w:spacing w:line="259" w:lineRule="auto"/>
              <w:jc w:val="center"/>
              <w:rPr>
                <w:rFonts w:eastAsia="Arial" w:cs="Arial"/>
                <w:szCs w:val="24"/>
              </w:rPr>
            </w:pPr>
            <w:r>
              <w:rPr>
                <w:rFonts w:eastAsia="Arial" w:cs="Arial"/>
                <w:szCs w:val="24"/>
              </w:rPr>
              <w:t>0.66</w:t>
            </w:r>
          </w:p>
        </w:tc>
      </w:tr>
      <w:tr w:rsidR="007C6854" w14:paraId="5865EBE8" w14:textId="77777777" w:rsidTr="00C00846">
        <w:tc>
          <w:tcPr>
            <w:tcW w:w="4605" w:type="dxa"/>
            <w:tcBorders>
              <w:top w:val="nil"/>
              <w:left w:val="nil"/>
              <w:bottom w:val="nil"/>
              <w:right w:val="nil"/>
            </w:tcBorders>
          </w:tcPr>
          <w:p w14:paraId="3539114F" w14:textId="77777777" w:rsidR="007C6854" w:rsidRDefault="00E0219E">
            <w:pPr>
              <w:spacing w:line="259" w:lineRule="auto"/>
              <w:ind w:left="720"/>
              <w:rPr>
                <w:rFonts w:eastAsia="Arial" w:cs="Arial"/>
                <w:szCs w:val="24"/>
              </w:rPr>
            </w:pPr>
            <w:r>
              <w:rPr>
                <w:rFonts w:eastAsia="Arial" w:cs="Arial"/>
                <w:szCs w:val="24"/>
              </w:rPr>
              <w:lastRenderedPageBreak/>
              <w:t>Homemaker</w:t>
            </w:r>
          </w:p>
        </w:tc>
        <w:tc>
          <w:tcPr>
            <w:tcW w:w="2670" w:type="dxa"/>
            <w:tcBorders>
              <w:top w:val="nil"/>
              <w:left w:val="nil"/>
              <w:bottom w:val="nil"/>
              <w:right w:val="nil"/>
            </w:tcBorders>
          </w:tcPr>
          <w:p w14:paraId="6959D00D" w14:textId="77777777" w:rsidR="007C6854" w:rsidRDefault="00E0219E">
            <w:pPr>
              <w:spacing w:line="259" w:lineRule="auto"/>
              <w:jc w:val="center"/>
              <w:rPr>
                <w:rFonts w:eastAsia="Arial" w:cs="Arial"/>
                <w:szCs w:val="24"/>
              </w:rPr>
            </w:pPr>
            <w:r>
              <w:rPr>
                <w:rFonts w:eastAsia="Arial" w:cs="Arial"/>
                <w:szCs w:val="24"/>
              </w:rPr>
              <w:t>14</w:t>
            </w:r>
          </w:p>
        </w:tc>
        <w:tc>
          <w:tcPr>
            <w:tcW w:w="2095" w:type="dxa"/>
            <w:tcBorders>
              <w:top w:val="nil"/>
              <w:left w:val="nil"/>
              <w:bottom w:val="nil"/>
              <w:right w:val="nil"/>
            </w:tcBorders>
          </w:tcPr>
          <w:p w14:paraId="358F6016" w14:textId="77777777" w:rsidR="007C6854" w:rsidRDefault="00E0219E">
            <w:pPr>
              <w:spacing w:line="259" w:lineRule="auto"/>
              <w:jc w:val="center"/>
              <w:rPr>
                <w:rFonts w:eastAsia="Arial" w:cs="Arial"/>
                <w:szCs w:val="24"/>
              </w:rPr>
            </w:pPr>
            <w:r>
              <w:rPr>
                <w:rFonts w:eastAsia="Arial" w:cs="Arial"/>
                <w:szCs w:val="24"/>
              </w:rPr>
              <w:t>9.27</w:t>
            </w:r>
          </w:p>
        </w:tc>
      </w:tr>
      <w:tr w:rsidR="007C6854" w14:paraId="7FB4AEEB" w14:textId="77777777" w:rsidTr="00C00846">
        <w:tc>
          <w:tcPr>
            <w:tcW w:w="4605" w:type="dxa"/>
            <w:tcBorders>
              <w:top w:val="nil"/>
              <w:left w:val="nil"/>
              <w:bottom w:val="nil"/>
              <w:right w:val="nil"/>
            </w:tcBorders>
          </w:tcPr>
          <w:p w14:paraId="5917FACC" w14:textId="77777777" w:rsidR="007C6854" w:rsidRDefault="00E0219E">
            <w:pPr>
              <w:spacing w:line="259" w:lineRule="auto"/>
              <w:ind w:left="720"/>
              <w:rPr>
                <w:rFonts w:eastAsia="Arial" w:cs="Arial"/>
                <w:szCs w:val="24"/>
              </w:rPr>
            </w:pPr>
            <w:r>
              <w:rPr>
                <w:rFonts w:eastAsia="Arial" w:cs="Arial"/>
                <w:szCs w:val="24"/>
              </w:rPr>
              <w:t>Businessman</w:t>
            </w:r>
          </w:p>
        </w:tc>
        <w:tc>
          <w:tcPr>
            <w:tcW w:w="2670" w:type="dxa"/>
            <w:tcBorders>
              <w:top w:val="nil"/>
              <w:left w:val="nil"/>
              <w:bottom w:val="nil"/>
              <w:right w:val="nil"/>
            </w:tcBorders>
          </w:tcPr>
          <w:p w14:paraId="07FD43F2" w14:textId="77777777" w:rsidR="007C6854" w:rsidRDefault="00E0219E">
            <w:pPr>
              <w:spacing w:line="259" w:lineRule="auto"/>
              <w:jc w:val="center"/>
              <w:rPr>
                <w:rFonts w:eastAsia="Arial" w:cs="Arial"/>
                <w:szCs w:val="24"/>
              </w:rPr>
            </w:pPr>
            <w:r>
              <w:rPr>
                <w:rFonts w:eastAsia="Arial" w:cs="Arial"/>
                <w:szCs w:val="24"/>
              </w:rPr>
              <w:t>11</w:t>
            </w:r>
          </w:p>
        </w:tc>
        <w:tc>
          <w:tcPr>
            <w:tcW w:w="2095" w:type="dxa"/>
            <w:tcBorders>
              <w:top w:val="nil"/>
              <w:left w:val="nil"/>
              <w:bottom w:val="nil"/>
              <w:right w:val="nil"/>
            </w:tcBorders>
          </w:tcPr>
          <w:p w14:paraId="1A245A9B" w14:textId="77777777" w:rsidR="007C6854" w:rsidRDefault="00E0219E">
            <w:pPr>
              <w:spacing w:line="259" w:lineRule="auto"/>
              <w:jc w:val="center"/>
              <w:rPr>
                <w:rFonts w:eastAsia="Arial" w:cs="Arial"/>
                <w:szCs w:val="24"/>
              </w:rPr>
            </w:pPr>
            <w:r>
              <w:rPr>
                <w:rFonts w:eastAsia="Arial" w:cs="Arial"/>
                <w:szCs w:val="24"/>
              </w:rPr>
              <w:t>7.28</w:t>
            </w:r>
          </w:p>
        </w:tc>
      </w:tr>
      <w:tr w:rsidR="007C6854" w14:paraId="7F9E9154" w14:textId="77777777" w:rsidTr="00C00846">
        <w:tc>
          <w:tcPr>
            <w:tcW w:w="4605" w:type="dxa"/>
            <w:tcBorders>
              <w:top w:val="nil"/>
              <w:left w:val="nil"/>
              <w:bottom w:val="nil"/>
              <w:right w:val="nil"/>
            </w:tcBorders>
          </w:tcPr>
          <w:p w14:paraId="51A75991" w14:textId="77777777" w:rsidR="007C6854" w:rsidRDefault="00E0219E">
            <w:pPr>
              <w:spacing w:line="259" w:lineRule="auto"/>
              <w:ind w:left="720"/>
              <w:rPr>
                <w:rFonts w:eastAsia="Arial" w:cs="Arial"/>
                <w:szCs w:val="24"/>
              </w:rPr>
            </w:pPr>
            <w:r>
              <w:rPr>
                <w:rFonts w:eastAsia="Arial" w:cs="Arial"/>
                <w:szCs w:val="24"/>
              </w:rPr>
              <w:t>Retired</w:t>
            </w:r>
          </w:p>
        </w:tc>
        <w:tc>
          <w:tcPr>
            <w:tcW w:w="2670" w:type="dxa"/>
            <w:tcBorders>
              <w:top w:val="nil"/>
              <w:left w:val="nil"/>
              <w:bottom w:val="nil"/>
              <w:right w:val="nil"/>
            </w:tcBorders>
          </w:tcPr>
          <w:p w14:paraId="1C23F49B" w14:textId="77777777" w:rsidR="007C6854" w:rsidRDefault="00E0219E">
            <w:pPr>
              <w:spacing w:line="259" w:lineRule="auto"/>
              <w:jc w:val="center"/>
              <w:rPr>
                <w:rFonts w:eastAsia="Arial" w:cs="Arial"/>
                <w:szCs w:val="24"/>
              </w:rPr>
            </w:pPr>
            <w:r>
              <w:rPr>
                <w:rFonts w:eastAsia="Arial" w:cs="Arial"/>
                <w:szCs w:val="24"/>
              </w:rPr>
              <w:t>21</w:t>
            </w:r>
          </w:p>
        </w:tc>
        <w:tc>
          <w:tcPr>
            <w:tcW w:w="2095" w:type="dxa"/>
            <w:tcBorders>
              <w:top w:val="nil"/>
              <w:left w:val="nil"/>
              <w:bottom w:val="nil"/>
              <w:right w:val="nil"/>
            </w:tcBorders>
          </w:tcPr>
          <w:p w14:paraId="2A6BAB7D" w14:textId="77777777" w:rsidR="007C6854" w:rsidRDefault="00E0219E">
            <w:pPr>
              <w:spacing w:line="259" w:lineRule="auto"/>
              <w:jc w:val="center"/>
              <w:rPr>
                <w:rFonts w:eastAsia="Arial" w:cs="Arial"/>
                <w:szCs w:val="24"/>
              </w:rPr>
            </w:pPr>
            <w:r>
              <w:rPr>
                <w:rFonts w:eastAsia="Arial" w:cs="Arial"/>
                <w:szCs w:val="24"/>
              </w:rPr>
              <w:t>13.91</w:t>
            </w:r>
          </w:p>
        </w:tc>
      </w:tr>
      <w:tr w:rsidR="007C6854" w14:paraId="42A3387F" w14:textId="77777777" w:rsidTr="00C00846">
        <w:tc>
          <w:tcPr>
            <w:tcW w:w="4605" w:type="dxa"/>
            <w:tcBorders>
              <w:top w:val="nil"/>
              <w:left w:val="nil"/>
              <w:bottom w:val="nil"/>
              <w:right w:val="nil"/>
            </w:tcBorders>
          </w:tcPr>
          <w:p w14:paraId="013A4931" w14:textId="77777777" w:rsidR="007C6854" w:rsidRDefault="00E0219E">
            <w:pPr>
              <w:spacing w:line="259" w:lineRule="auto"/>
              <w:ind w:left="720"/>
              <w:rPr>
                <w:rFonts w:eastAsia="Arial" w:cs="Arial"/>
                <w:szCs w:val="24"/>
              </w:rPr>
            </w:pPr>
            <w:r>
              <w:rPr>
                <w:rFonts w:eastAsia="Arial" w:cs="Arial"/>
                <w:szCs w:val="24"/>
              </w:rPr>
              <w:t>Unemployed (able to work)</w:t>
            </w:r>
          </w:p>
        </w:tc>
        <w:tc>
          <w:tcPr>
            <w:tcW w:w="2670" w:type="dxa"/>
            <w:tcBorders>
              <w:top w:val="nil"/>
              <w:left w:val="nil"/>
              <w:bottom w:val="nil"/>
              <w:right w:val="nil"/>
            </w:tcBorders>
          </w:tcPr>
          <w:p w14:paraId="34169213" w14:textId="77777777" w:rsidR="007C6854" w:rsidRDefault="00E0219E">
            <w:pPr>
              <w:spacing w:line="259" w:lineRule="auto"/>
              <w:jc w:val="center"/>
              <w:rPr>
                <w:rFonts w:eastAsia="Arial" w:cs="Arial"/>
                <w:szCs w:val="24"/>
              </w:rPr>
            </w:pPr>
            <w:r>
              <w:rPr>
                <w:rFonts w:eastAsia="Arial" w:cs="Arial"/>
                <w:szCs w:val="24"/>
              </w:rPr>
              <w:t>12</w:t>
            </w:r>
          </w:p>
        </w:tc>
        <w:tc>
          <w:tcPr>
            <w:tcW w:w="2095" w:type="dxa"/>
            <w:tcBorders>
              <w:top w:val="nil"/>
              <w:left w:val="nil"/>
              <w:bottom w:val="nil"/>
              <w:right w:val="nil"/>
            </w:tcBorders>
          </w:tcPr>
          <w:p w14:paraId="60EEC25C" w14:textId="77777777" w:rsidR="007C6854" w:rsidRDefault="00E0219E">
            <w:pPr>
              <w:spacing w:line="259" w:lineRule="auto"/>
              <w:jc w:val="center"/>
              <w:rPr>
                <w:rFonts w:eastAsia="Arial" w:cs="Arial"/>
                <w:szCs w:val="24"/>
              </w:rPr>
            </w:pPr>
            <w:r>
              <w:rPr>
                <w:rFonts w:eastAsia="Arial" w:cs="Arial"/>
                <w:szCs w:val="24"/>
              </w:rPr>
              <w:t>7.95</w:t>
            </w:r>
          </w:p>
        </w:tc>
      </w:tr>
      <w:tr w:rsidR="007C6854" w14:paraId="652D1E20" w14:textId="77777777" w:rsidTr="00C00846">
        <w:tc>
          <w:tcPr>
            <w:tcW w:w="4605" w:type="dxa"/>
            <w:tcBorders>
              <w:top w:val="nil"/>
              <w:left w:val="nil"/>
              <w:bottom w:val="nil"/>
              <w:right w:val="nil"/>
            </w:tcBorders>
          </w:tcPr>
          <w:p w14:paraId="0ABB460B" w14:textId="77777777" w:rsidR="007C6854" w:rsidRDefault="00E0219E">
            <w:pPr>
              <w:spacing w:line="259" w:lineRule="auto"/>
              <w:ind w:left="720"/>
              <w:rPr>
                <w:rFonts w:eastAsia="Arial" w:cs="Arial"/>
                <w:szCs w:val="24"/>
              </w:rPr>
            </w:pPr>
            <w:r>
              <w:rPr>
                <w:rFonts w:eastAsia="Arial" w:cs="Arial"/>
                <w:szCs w:val="24"/>
              </w:rPr>
              <w:t>Unemployed (unable to work)</w:t>
            </w:r>
          </w:p>
        </w:tc>
        <w:tc>
          <w:tcPr>
            <w:tcW w:w="2670" w:type="dxa"/>
            <w:tcBorders>
              <w:top w:val="nil"/>
              <w:left w:val="nil"/>
              <w:bottom w:val="nil"/>
              <w:right w:val="nil"/>
            </w:tcBorders>
          </w:tcPr>
          <w:p w14:paraId="4D7AC8AC" w14:textId="77777777" w:rsidR="007C6854" w:rsidRDefault="00E0219E">
            <w:pPr>
              <w:spacing w:line="259" w:lineRule="auto"/>
              <w:jc w:val="center"/>
              <w:rPr>
                <w:rFonts w:eastAsia="Arial" w:cs="Arial"/>
                <w:szCs w:val="24"/>
              </w:rPr>
            </w:pPr>
            <w:r>
              <w:rPr>
                <w:rFonts w:eastAsia="Arial" w:cs="Arial"/>
                <w:szCs w:val="24"/>
              </w:rPr>
              <w:t>6</w:t>
            </w:r>
          </w:p>
        </w:tc>
        <w:tc>
          <w:tcPr>
            <w:tcW w:w="2095" w:type="dxa"/>
            <w:tcBorders>
              <w:top w:val="nil"/>
              <w:left w:val="nil"/>
              <w:bottom w:val="nil"/>
              <w:right w:val="nil"/>
            </w:tcBorders>
          </w:tcPr>
          <w:p w14:paraId="7A713C8E" w14:textId="77777777" w:rsidR="007C6854" w:rsidRDefault="00E0219E">
            <w:pPr>
              <w:spacing w:line="259" w:lineRule="auto"/>
              <w:jc w:val="center"/>
              <w:rPr>
                <w:rFonts w:eastAsia="Arial" w:cs="Arial"/>
                <w:szCs w:val="24"/>
              </w:rPr>
            </w:pPr>
            <w:r>
              <w:rPr>
                <w:rFonts w:eastAsia="Arial" w:cs="Arial"/>
                <w:szCs w:val="24"/>
              </w:rPr>
              <w:t>3.97</w:t>
            </w:r>
          </w:p>
        </w:tc>
      </w:tr>
      <w:tr w:rsidR="007C6854" w14:paraId="415825BC" w14:textId="77777777" w:rsidTr="00C00846">
        <w:tc>
          <w:tcPr>
            <w:tcW w:w="4605" w:type="dxa"/>
            <w:tcBorders>
              <w:top w:val="nil"/>
              <w:left w:val="nil"/>
              <w:bottom w:val="nil"/>
              <w:right w:val="nil"/>
            </w:tcBorders>
          </w:tcPr>
          <w:p w14:paraId="0EE9AC49" w14:textId="77777777" w:rsidR="007C6854" w:rsidRDefault="00E0219E">
            <w:pPr>
              <w:spacing w:line="259" w:lineRule="auto"/>
              <w:ind w:left="720"/>
              <w:rPr>
                <w:rFonts w:eastAsia="Arial" w:cs="Arial"/>
                <w:szCs w:val="24"/>
              </w:rPr>
            </w:pPr>
            <w:r>
              <w:rPr>
                <w:rFonts w:eastAsia="Arial" w:cs="Arial"/>
                <w:szCs w:val="24"/>
              </w:rPr>
              <w:t>Refused to answer</w:t>
            </w:r>
          </w:p>
        </w:tc>
        <w:tc>
          <w:tcPr>
            <w:tcW w:w="2670" w:type="dxa"/>
            <w:tcBorders>
              <w:top w:val="nil"/>
              <w:left w:val="nil"/>
              <w:bottom w:val="nil"/>
              <w:right w:val="nil"/>
            </w:tcBorders>
          </w:tcPr>
          <w:p w14:paraId="35832D42" w14:textId="77777777" w:rsidR="007C6854" w:rsidRDefault="00E0219E">
            <w:pPr>
              <w:spacing w:line="259" w:lineRule="auto"/>
              <w:jc w:val="center"/>
              <w:rPr>
                <w:rFonts w:eastAsia="Arial" w:cs="Arial"/>
                <w:szCs w:val="24"/>
              </w:rPr>
            </w:pPr>
            <w:r>
              <w:rPr>
                <w:rFonts w:eastAsia="Arial" w:cs="Arial"/>
                <w:szCs w:val="24"/>
              </w:rPr>
              <w:t>2</w:t>
            </w:r>
          </w:p>
        </w:tc>
        <w:tc>
          <w:tcPr>
            <w:tcW w:w="2095" w:type="dxa"/>
            <w:tcBorders>
              <w:top w:val="nil"/>
              <w:left w:val="nil"/>
              <w:bottom w:val="nil"/>
              <w:right w:val="nil"/>
            </w:tcBorders>
          </w:tcPr>
          <w:p w14:paraId="046C146C" w14:textId="77777777" w:rsidR="007C6854" w:rsidRDefault="00E0219E">
            <w:pPr>
              <w:spacing w:line="259" w:lineRule="auto"/>
              <w:jc w:val="center"/>
              <w:rPr>
                <w:rFonts w:eastAsia="Arial" w:cs="Arial"/>
                <w:szCs w:val="24"/>
              </w:rPr>
            </w:pPr>
            <w:r>
              <w:rPr>
                <w:rFonts w:eastAsia="Arial" w:cs="Arial"/>
                <w:szCs w:val="24"/>
              </w:rPr>
              <w:t>1.32</w:t>
            </w:r>
          </w:p>
        </w:tc>
      </w:tr>
      <w:tr w:rsidR="007C6854" w14:paraId="5C74337C" w14:textId="77777777" w:rsidTr="00C00846">
        <w:tc>
          <w:tcPr>
            <w:tcW w:w="4605" w:type="dxa"/>
            <w:tcBorders>
              <w:top w:val="nil"/>
              <w:left w:val="nil"/>
              <w:bottom w:val="nil"/>
              <w:right w:val="nil"/>
            </w:tcBorders>
          </w:tcPr>
          <w:p w14:paraId="6DAC8778" w14:textId="77777777" w:rsidR="007C6854" w:rsidRDefault="00E0219E">
            <w:pPr>
              <w:spacing w:line="259" w:lineRule="auto"/>
              <w:rPr>
                <w:rFonts w:eastAsia="Arial" w:cs="Arial"/>
                <w:szCs w:val="24"/>
              </w:rPr>
            </w:pPr>
            <w:r>
              <w:rPr>
                <w:rFonts w:eastAsia="Arial" w:cs="Arial"/>
                <w:szCs w:val="24"/>
              </w:rPr>
              <w:t>Religious Affiliation</w:t>
            </w:r>
          </w:p>
        </w:tc>
        <w:tc>
          <w:tcPr>
            <w:tcW w:w="2670" w:type="dxa"/>
            <w:tcBorders>
              <w:top w:val="nil"/>
              <w:left w:val="nil"/>
              <w:bottom w:val="nil"/>
              <w:right w:val="nil"/>
            </w:tcBorders>
          </w:tcPr>
          <w:p w14:paraId="0ED5EF32"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40461A85" w14:textId="77777777" w:rsidR="007C6854" w:rsidRDefault="007C6854">
            <w:pPr>
              <w:spacing w:line="259" w:lineRule="auto"/>
              <w:jc w:val="center"/>
              <w:rPr>
                <w:rFonts w:eastAsia="Arial" w:cs="Arial"/>
                <w:szCs w:val="24"/>
              </w:rPr>
            </w:pPr>
          </w:p>
        </w:tc>
      </w:tr>
      <w:tr w:rsidR="007C6854" w14:paraId="29B30184" w14:textId="77777777" w:rsidTr="00C00846">
        <w:tc>
          <w:tcPr>
            <w:tcW w:w="4605" w:type="dxa"/>
            <w:tcBorders>
              <w:top w:val="nil"/>
              <w:left w:val="nil"/>
              <w:bottom w:val="nil"/>
              <w:right w:val="nil"/>
            </w:tcBorders>
          </w:tcPr>
          <w:p w14:paraId="70E80DB6" w14:textId="77777777" w:rsidR="007C6854" w:rsidRDefault="00E0219E">
            <w:pPr>
              <w:spacing w:line="259" w:lineRule="auto"/>
              <w:ind w:left="720"/>
              <w:rPr>
                <w:rFonts w:eastAsia="Arial" w:cs="Arial"/>
                <w:szCs w:val="24"/>
              </w:rPr>
            </w:pPr>
            <w:r>
              <w:rPr>
                <w:rFonts w:eastAsia="Arial" w:cs="Arial"/>
                <w:szCs w:val="24"/>
              </w:rPr>
              <w:t>Catholic</w:t>
            </w:r>
          </w:p>
        </w:tc>
        <w:tc>
          <w:tcPr>
            <w:tcW w:w="2670" w:type="dxa"/>
            <w:tcBorders>
              <w:top w:val="nil"/>
              <w:left w:val="nil"/>
              <w:bottom w:val="nil"/>
              <w:right w:val="nil"/>
            </w:tcBorders>
          </w:tcPr>
          <w:p w14:paraId="1162EE04" w14:textId="77777777" w:rsidR="007C6854" w:rsidRDefault="00E0219E">
            <w:pPr>
              <w:spacing w:line="259" w:lineRule="auto"/>
              <w:jc w:val="center"/>
              <w:rPr>
                <w:rFonts w:eastAsia="Arial" w:cs="Arial"/>
                <w:szCs w:val="24"/>
              </w:rPr>
            </w:pPr>
            <w:r>
              <w:rPr>
                <w:rFonts w:eastAsia="Arial" w:cs="Arial"/>
                <w:szCs w:val="24"/>
              </w:rPr>
              <w:t>144</w:t>
            </w:r>
          </w:p>
        </w:tc>
        <w:tc>
          <w:tcPr>
            <w:tcW w:w="2095" w:type="dxa"/>
            <w:tcBorders>
              <w:top w:val="nil"/>
              <w:left w:val="nil"/>
              <w:bottom w:val="nil"/>
              <w:right w:val="nil"/>
            </w:tcBorders>
          </w:tcPr>
          <w:p w14:paraId="1B51BC56" w14:textId="77777777" w:rsidR="007C6854" w:rsidRDefault="00E0219E">
            <w:pPr>
              <w:spacing w:line="259" w:lineRule="auto"/>
              <w:jc w:val="center"/>
              <w:rPr>
                <w:rFonts w:eastAsia="Arial" w:cs="Arial"/>
                <w:szCs w:val="24"/>
              </w:rPr>
            </w:pPr>
            <w:r>
              <w:rPr>
                <w:rFonts w:eastAsia="Arial" w:cs="Arial"/>
                <w:szCs w:val="24"/>
              </w:rPr>
              <w:t>95.36</w:t>
            </w:r>
          </w:p>
        </w:tc>
      </w:tr>
      <w:tr w:rsidR="007C6854" w14:paraId="3BD133A6" w14:textId="77777777" w:rsidTr="00C00846">
        <w:tc>
          <w:tcPr>
            <w:tcW w:w="4605" w:type="dxa"/>
            <w:tcBorders>
              <w:top w:val="nil"/>
              <w:left w:val="nil"/>
              <w:bottom w:val="nil"/>
              <w:right w:val="nil"/>
            </w:tcBorders>
          </w:tcPr>
          <w:p w14:paraId="534DE95D" w14:textId="77777777" w:rsidR="007C6854" w:rsidRDefault="00E0219E">
            <w:pPr>
              <w:spacing w:line="259" w:lineRule="auto"/>
              <w:ind w:left="720"/>
              <w:rPr>
                <w:rFonts w:eastAsia="Arial" w:cs="Arial"/>
                <w:szCs w:val="24"/>
              </w:rPr>
            </w:pPr>
            <w:r>
              <w:rPr>
                <w:rFonts w:eastAsia="Arial" w:cs="Arial"/>
                <w:szCs w:val="24"/>
              </w:rPr>
              <w:t>Born Again Christian</w:t>
            </w:r>
          </w:p>
        </w:tc>
        <w:tc>
          <w:tcPr>
            <w:tcW w:w="2670" w:type="dxa"/>
            <w:tcBorders>
              <w:top w:val="nil"/>
              <w:left w:val="nil"/>
              <w:bottom w:val="nil"/>
              <w:right w:val="nil"/>
            </w:tcBorders>
          </w:tcPr>
          <w:p w14:paraId="6EFE6867" w14:textId="77777777" w:rsidR="007C6854" w:rsidRDefault="00E0219E">
            <w:pPr>
              <w:spacing w:line="259" w:lineRule="auto"/>
              <w:jc w:val="center"/>
              <w:rPr>
                <w:rFonts w:eastAsia="Arial" w:cs="Arial"/>
                <w:szCs w:val="24"/>
              </w:rPr>
            </w:pPr>
            <w:r>
              <w:rPr>
                <w:rFonts w:eastAsia="Arial" w:cs="Arial"/>
                <w:szCs w:val="24"/>
              </w:rPr>
              <w:t>3</w:t>
            </w:r>
          </w:p>
        </w:tc>
        <w:tc>
          <w:tcPr>
            <w:tcW w:w="2095" w:type="dxa"/>
            <w:tcBorders>
              <w:top w:val="nil"/>
              <w:left w:val="nil"/>
              <w:bottom w:val="nil"/>
              <w:right w:val="nil"/>
            </w:tcBorders>
          </w:tcPr>
          <w:p w14:paraId="30F82C88" w14:textId="77777777" w:rsidR="007C6854" w:rsidRDefault="00E0219E">
            <w:pPr>
              <w:spacing w:line="259" w:lineRule="auto"/>
              <w:jc w:val="center"/>
              <w:rPr>
                <w:rFonts w:eastAsia="Arial" w:cs="Arial"/>
                <w:szCs w:val="24"/>
              </w:rPr>
            </w:pPr>
            <w:r>
              <w:rPr>
                <w:rFonts w:eastAsia="Arial" w:cs="Arial"/>
                <w:szCs w:val="24"/>
              </w:rPr>
              <w:t>1.99</w:t>
            </w:r>
          </w:p>
        </w:tc>
      </w:tr>
      <w:tr w:rsidR="007C6854" w14:paraId="5494606B" w14:textId="77777777" w:rsidTr="00C00846">
        <w:tc>
          <w:tcPr>
            <w:tcW w:w="4605" w:type="dxa"/>
            <w:tcBorders>
              <w:top w:val="nil"/>
              <w:left w:val="nil"/>
              <w:bottom w:val="nil"/>
              <w:right w:val="nil"/>
            </w:tcBorders>
          </w:tcPr>
          <w:p w14:paraId="63B743C4" w14:textId="77777777" w:rsidR="007C6854" w:rsidRDefault="00E0219E">
            <w:pPr>
              <w:spacing w:line="259" w:lineRule="auto"/>
              <w:ind w:left="720"/>
              <w:rPr>
                <w:rFonts w:eastAsia="Arial" w:cs="Arial"/>
                <w:szCs w:val="24"/>
              </w:rPr>
            </w:pPr>
            <w:r>
              <w:rPr>
                <w:rFonts w:eastAsia="Arial" w:cs="Arial"/>
                <w:szCs w:val="24"/>
              </w:rPr>
              <w:t>Baptist</w:t>
            </w:r>
          </w:p>
        </w:tc>
        <w:tc>
          <w:tcPr>
            <w:tcW w:w="2670" w:type="dxa"/>
            <w:tcBorders>
              <w:top w:val="nil"/>
              <w:left w:val="nil"/>
              <w:bottom w:val="nil"/>
              <w:right w:val="nil"/>
            </w:tcBorders>
          </w:tcPr>
          <w:p w14:paraId="08AF9597" w14:textId="77777777" w:rsidR="007C6854" w:rsidRDefault="00E0219E">
            <w:pPr>
              <w:spacing w:line="259" w:lineRule="auto"/>
              <w:jc w:val="center"/>
              <w:rPr>
                <w:rFonts w:eastAsia="Arial" w:cs="Arial"/>
                <w:szCs w:val="24"/>
              </w:rPr>
            </w:pPr>
            <w:r>
              <w:rPr>
                <w:rFonts w:eastAsia="Arial" w:cs="Arial"/>
                <w:szCs w:val="24"/>
              </w:rPr>
              <w:t>1</w:t>
            </w:r>
          </w:p>
        </w:tc>
        <w:tc>
          <w:tcPr>
            <w:tcW w:w="2095" w:type="dxa"/>
            <w:tcBorders>
              <w:top w:val="nil"/>
              <w:left w:val="nil"/>
              <w:bottom w:val="nil"/>
              <w:right w:val="nil"/>
            </w:tcBorders>
          </w:tcPr>
          <w:p w14:paraId="530A7E19" w14:textId="77777777" w:rsidR="007C6854" w:rsidRDefault="00E0219E">
            <w:pPr>
              <w:spacing w:line="259" w:lineRule="auto"/>
              <w:jc w:val="center"/>
              <w:rPr>
                <w:rFonts w:eastAsia="Arial" w:cs="Arial"/>
                <w:szCs w:val="24"/>
              </w:rPr>
            </w:pPr>
            <w:r>
              <w:rPr>
                <w:rFonts w:eastAsia="Arial" w:cs="Arial"/>
                <w:szCs w:val="24"/>
              </w:rPr>
              <w:t>0.66</w:t>
            </w:r>
          </w:p>
        </w:tc>
      </w:tr>
      <w:tr w:rsidR="007C6854" w14:paraId="57B794C0" w14:textId="77777777" w:rsidTr="00C00846">
        <w:tc>
          <w:tcPr>
            <w:tcW w:w="4605" w:type="dxa"/>
            <w:tcBorders>
              <w:top w:val="nil"/>
              <w:left w:val="nil"/>
              <w:bottom w:val="nil"/>
              <w:right w:val="nil"/>
            </w:tcBorders>
          </w:tcPr>
          <w:p w14:paraId="5B43D2D1" w14:textId="77777777" w:rsidR="007C6854" w:rsidRDefault="00E0219E">
            <w:pPr>
              <w:spacing w:line="259" w:lineRule="auto"/>
              <w:ind w:left="720"/>
              <w:rPr>
                <w:rFonts w:eastAsia="Arial" w:cs="Arial"/>
                <w:szCs w:val="24"/>
              </w:rPr>
            </w:pPr>
            <w:r>
              <w:rPr>
                <w:rFonts w:eastAsia="Arial" w:cs="Arial"/>
                <w:szCs w:val="24"/>
              </w:rPr>
              <w:t>Jehovah’s Witness</w:t>
            </w:r>
          </w:p>
        </w:tc>
        <w:tc>
          <w:tcPr>
            <w:tcW w:w="2670" w:type="dxa"/>
            <w:tcBorders>
              <w:top w:val="nil"/>
              <w:left w:val="nil"/>
              <w:bottom w:val="nil"/>
              <w:right w:val="nil"/>
            </w:tcBorders>
          </w:tcPr>
          <w:p w14:paraId="53FB95FC" w14:textId="77777777" w:rsidR="007C6854" w:rsidRDefault="00E0219E">
            <w:pPr>
              <w:spacing w:line="259" w:lineRule="auto"/>
              <w:jc w:val="center"/>
              <w:rPr>
                <w:rFonts w:eastAsia="Arial" w:cs="Arial"/>
                <w:szCs w:val="24"/>
              </w:rPr>
            </w:pPr>
            <w:r>
              <w:rPr>
                <w:rFonts w:eastAsia="Arial" w:cs="Arial"/>
                <w:szCs w:val="24"/>
              </w:rPr>
              <w:t>3</w:t>
            </w:r>
          </w:p>
        </w:tc>
        <w:tc>
          <w:tcPr>
            <w:tcW w:w="2095" w:type="dxa"/>
            <w:tcBorders>
              <w:top w:val="nil"/>
              <w:left w:val="nil"/>
              <w:bottom w:val="nil"/>
              <w:right w:val="nil"/>
            </w:tcBorders>
          </w:tcPr>
          <w:p w14:paraId="75B5BA43" w14:textId="77777777" w:rsidR="007C6854" w:rsidRDefault="00E0219E">
            <w:pPr>
              <w:spacing w:line="259" w:lineRule="auto"/>
              <w:jc w:val="center"/>
              <w:rPr>
                <w:rFonts w:eastAsia="Arial" w:cs="Arial"/>
                <w:szCs w:val="24"/>
              </w:rPr>
            </w:pPr>
            <w:r>
              <w:rPr>
                <w:rFonts w:eastAsia="Arial" w:cs="Arial"/>
                <w:szCs w:val="24"/>
              </w:rPr>
              <w:t>1.99</w:t>
            </w:r>
          </w:p>
        </w:tc>
      </w:tr>
      <w:tr w:rsidR="007C6854" w14:paraId="4E0BDB14" w14:textId="77777777" w:rsidTr="00C00846">
        <w:tc>
          <w:tcPr>
            <w:tcW w:w="4605" w:type="dxa"/>
            <w:tcBorders>
              <w:top w:val="nil"/>
              <w:left w:val="nil"/>
              <w:bottom w:val="nil"/>
              <w:right w:val="nil"/>
            </w:tcBorders>
          </w:tcPr>
          <w:p w14:paraId="38D25FB2" w14:textId="77777777" w:rsidR="007C6854" w:rsidRDefault="00E0219E">
            <w:pPr>
              <w:spacing w:line="259" w:lineRule="auto"/>
              <w:rPr>
                <w:rFonts w:eastAsia="Arial" w:cs="Arial"/>
                <w:szCs w:val="24"/>
              </w:rPr>
            </w:pPr>
            <w:r>
              <w:rPr>
                <w:rFonts w:eastAsia="Arial" w:cs="Arial"/>
                <w:szCs w:val="24"/>
              </w:rPr>
              <w:t>Educational Level</w:t>
            </w:r>
          </w:p>
        </w:tc>
        <w:tc>
          <w:tcPr>
            <w:tcW w:w="2670" w:type="dxa"/>
            <w:tcBorders>
              <w:top w:val="nil"/>
              <w:left w:val="nil"/>
              <w:bottom w:val="nil"/>
              <w:right w:val="nil"/>
            </w:tcBorders>
          </w:tcPr>
          <w:p w14:paraId="79ADF040"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20E6B71F" w14:textId="77777777" w:rsidR="007C6854" w:rsidRDefault="007C6854">
            <w:pPr>
              <w:spacing w:line="259" w:lineRule="auto"/>
              <w:jc w:val="center"/>
              <w:rPr>
                <w:rFonts w:eastAsia="Arial" w:cs="Arial"/>
                <w:szCs w:val="24"/>
              </w:rPr>
            </w:pPr>
          </w:p>
        </w:tc>
      </w:tr>
      <w:tr w:rsidR="007C6854" w14:paraId="31DFA929" w14:textId="77777777" w:rsidTr="00C00846">
        <w:tc>
          <w:tcPr>
            <w:tcW w:w="4605" w:type="dxa"/>
            <w:tcBorders>
              <w:top w:val="nil"/>
              <w:left w:val="nil"/>
              <w:bottom w:val="nil"/>
              <w:right w:val="nil"/>
            </w:tcBorders>
          </w:tcPr>
          <w:p w14:paraId="37E07EA9" w14:textId="77777777" w:rsidR="007C6854" w:rsidRDefault="00E0219E">
            <w:pPr>
              <w:spacing w:line="259" w:lineRule="auto"/>
              <w:ind w:left="720"/>
              <w:rPr>
                <w:rFonts w:eastAsia="Arial" w:cs="Arial"/>
                <w:szCs w:val="24"/>
              </w:rPr>
            </w:pPr>
            <w:r>
              <w:rPr>
                <w:rFonts w:eastAsia="Arial" w:cs="Arial"/>
                <w:color w:val="323232"/>
                <w:szCs w:val="24"/>
              </w:rPr>
              <w:t>No formal schooling</w:t>
            </w:r>
          </w:p>
        </w:tc>
        <w:tc>
          <w:tcPr>
            <w:tcW w:w="2670" w:type="dxa"/>
            <w:tcBorders>
              <w:top w:val="nil"/>
              <w:left w:val="nil"/>
              <w:bottom w:val="nil"/>
              <w:right w:val="nil"/>
            </w:tcBorders>
          </w:tcPr>
          <w:p w14:paraId="3A67DE8E" w14:textId="77777777" w:rsidR="007C6854" w:rsidRDefault="00E0219E">
            <w:pPr>
              <w:spacing w:line="259" w:lineRule="auto"/>
              <w:jc w:val="center"/>
              <w:rPr>
                <w:rFonts w:eastAsia="Arial" w:cs="Arial"/>
                <w:szCs w:val="24"/>
              </w:rPr>
            </w:pPr>
            <w:r>
              <w:rPr>
                <w:rFonts w:eastAsia="Arial" w:cs="Arial"/>
                <w:szCs w:val="24"/>
              </w:rPr>
              <w:t>2</w:t>
            </w:r>
          </w:p>
        </w:tc>
        <w:tc>
          <w:tcPr>
            <w:tcW w:w="2095" w:type="dxa"/>
            <w:tcBorders>
              <w:top w:val="nil"/>
              <w:left w:val="nil"/>
              <w:bottom w:val="nil"/>
              <w:right w:val="nil"/>
            </w:tcBorders>
          </w:tcPr>
          <w:p w14:paraId="3DD1BA2A" w14:textId="77777777" w:rsidR="007C6854" w:rsidRDefault="00E0219E">
            <w:pPr>
              <w:spacing w:line="259" w:lineRule="auto"/>
              <w:jc w:val="center"/>
              <w:rPr>
                <w:rFonts w:eastAsia="Arial" w:cs="Arial"/>
                <w:szCs w:val="24"/>
              </w:rPr>
            </w:pPr>
            <w:r>
              <w:rPr>
                <w:rFonts w:eastAsia="Arial" w:cs="Arial"/>
                <w:szCs w:val="24"/>
              </w:rPr>
              <w:t>1.32</w:t>
            </w:r>
          </w:p>
        </w:tc>
      </w:tr>
      <w:tr w:rsidR="007C6854" w14:paraId="516A3E58" w14:textId="77777777" w:rsidTr="00C00846">
        <w:tc>
          <w:tcPr>
            <w:tcW w:w="4605" w:type="dxa"/>
            <w:tcBorders>
              <w:top w:val="nil"/>
              <w:left w:val="nil"/>
              <w:bottom w:val="nil"/>
              <w:right w:val="nil"/>
            </w:tcBorders>
          </w:tcPr>
          <w:p w14:paraId="6C6963CE" w14:textId="77777777" w:rsidR="007C6854" w:rsidRDefault="00E0219E">
            <w:pPr>
              <w:spacing w:line="259" w:lineRule="auto"/>
              <w:ind w:left="720"/>
              <w:rPr>
                <w:rFonts w:eastAsia="Arial" w:cs="Arial"/>
                <w:szCs w:val="24"/>
              </w:rPr>
            </w:pPr>
            <w:r>
              <w:rPr>
                <w:rFonts w:eastAsia="Arial" w:cs="Arial"/>
                <w:szCs w:val="24"/>
              </w:rPr>
              <w:t>Primary School Level</w:t>
            </w:r>
          </w:p>
        </w:tc>
        <w:tc>
          <w:tcPr>
            <w:tcW w:w="2670" w:type="dxa"/>
            <w:tcBorders>
              <w:top w:val="nil"/>
              <w:left w:val="nil"/>
              <w:bottom w:val="nil"/>
              <w:right w:val="nil"/>
            </w:tcBorders>
          </w:tcPr>
          <w:p w14:paraId="2226D4D7" w14:textId="77777777" w:rsidR="007C6854" w:rsidRDefault="00E0219E">
            <w:pPr>
              <w:spacing w:line="259" w:lineRule="auto"/>
              <w:jc w:val="center"/>
              <w:rPr>
                <w:rFonts w:eastAsia="Arial" w:cs="Arial"/>
                <w:szCs w:val="24"/>
              </w:rPr>
            </w:pPr>
            <w:r>
              <w:rPr>
                <w:rFonts w:eastAsia="Arial" w:cs="Arial"/>
                <w:szCs w:val="24"/>
              </w:rPr>
              <w:t xml:space="preserve">  33</w:t>
            </w:r>
          </w:p>
        </w:tc>
        <w:tc>
          <w:tcPr>
            <w:tcW w:w="2095" w:type="dxa"/>
            <w:tcBorders>
              <w:top w:val="nil"/>
              <w:left w:val="nil"/>
              <w:bottom w:val="nil"/>
              <w:right w:val="nil"/>
            </w:tcBorders>
          </w:tcPr>
          <w:p w14:paraId="46C01173" w14:textId="77777777" w:rsidR="007C6854" w:rsidRDefault="00E0219E">
            <w:pPr>
              <w:spacing w:line="259" w:lineRule="auto"/>
              <w:jc w:val="center"/>
              <w:rPr>
                <w:rFonts w:eastAsia="Arial" w:cs="Arial"/>
                <w:szCs w:val="24"/>
              </w:rPr>
            </w:pPr>
            <w:r>
              <w:rPr>
                <w:rFonts w:eastAsia="Arial" w:cs="Arial"/>
                <w:szCs w:val="24"/>
              </w:rPr>
              <w:t>21.85</w:t>
            </w:r>
          </w:p>
        </w:tc>
      </w:tr>
      <w:tr w:rsidR="007C6854" w14:paraId="51D24FBB" w14:textId="77777777" w:rsidTr="00C00846">
        <w:tc>
          <w:tcPr>
            <w:tcW w:w="4605" w:type="dxa"/>
            <w:tcBorders>
              <w:top w:val="nil"/>
              <w:left w:val="nil"/>
              <w:bottom w:val="nil"/>
              <w:right w:val="nil"/>
            </w:tcBorders>
          </w:tcPr>
          <w:p w14:paraId="73E6A070" w14:textId="77777777" w:rsidR="007C6854" w:rsidRDefault="00E0219E">
            <w:pPr>
              <w:spacing w:line="259" w:lineRule="auto"/>
              <w:ind w:left="720"/>
              <w:rPr>
                <w:rFonts w:eastAsia="Arial" w:cs="Arial"/>
                <w:szCs w:val="24"/>
              </w:rPr>
            </w:pPr>
            <w:r>
              <w:rPr>
                <w:rFonts w:eastAsia="Arial" w:cs="Arial"/>
                <w:szCs w:val="24"/>
              </w:rPr>
              <w:t>Primary School Completed</w:t>
            </w:r>
          </w:p>
        </w:tc>
        <w:tc>
          <w:tcPr>
            <w:tcW w:w="2670" w:type="dxa"/>
            <w:tcBorders>
              <w:top w:val="nil"/>
              <w:left w:val="nil"/>
              <w:bottom w:val="nil"/>
              <w:right w:val="nil"/>
            </w:tcBorders>
          </w:tcPr>
          <w:p w14:paraId="71A5ED28" w14:textId="77777777" w:rsidR="007C6854" w:rsidRDefault="00E0219E">
            <w:pPr>
              <w:spacing w:line="259" w:lineRule="auto"/>
              <w:jc w:val="center"/>
              <w:rPr>
                <w:rFonts w:eastAsia="Arial" w:cs="Arial"/>
                <w:szCs w:val="24"/>
              </w:rPr>
            </w:pPr>
            <w:r>
              <w:rPr>
                <w:rFonts w:eastAsia="Arial" w:cs="Arial"/>
                <w:szCs w:val="24"/>
              </w:rPr>
              <w:t>46</w:t>
            </w:r>
          </w:p>
        </w:tc>
        <w:tc>
          <w:tcPr>
            <w:tcW w:w="2095" w:type="dxa"/>
            <w:tcBorders>
              <w:top w:val="nil"/>
              <w:left w:val="nil"/>
              <w:bottom w:val="nil"/>
              <w:right w:val="nil"/>
            </w:tcBorders>
          </w:tcPr>
          <w:p w14:paraId="05881D22" w14:textId="77777777" w:rsidR="007C6854" w:rsidRDefault="00E0219E">
            <w:pPr>
              <w:spacing w:line="259" w:lineRule="auto"/>
              <w:jc w:val="center"/>
              <w:rPr>
                <w:rFonts w:eastAsia="Arial" w:cs="Arial"/>
                <w:szCs w:val="24"/>
              </w:rPr>
            </w:pPr>
            <w:r>
              <w:rPr>
                <w:rFonts w:eastAsia="Arial" w:cs="Arial"/>
                <w:szCs w:val="24"/>
              </w:rPr>
              <w:t>30.46</w:t>
            </w:r>
          </w:p>
        </w:tc>
      </w:tr>
      <w:tr w:rsidR="007C6854" w14:paraId="2EF3A6B0" w14:textId="77777777" w:rsidTr="00C00846">
        <w:tc>
          <w:tcPr>
            <w:tcW w:w="4605" w:type="dxa"/>
            <w:tcBorders>
              <w:top w:val="nil"/>
              <w:left w:val="nil"/>
              <w:bottom w:val="nil"/>
              <w:right w:val="nil"/>
            </w:tcBorders>
          </w:tcPr>
          <w:p w14:paraId="0C49A37C" w14:textId="77777777" w:rsidR="007C6854" w:rsidRDefault="00E0219E">
            <w:pPr>
              <w:spacing w:line="259" w:lineRule="auto"/>
              <w:ind w:left="720"/>
              <w:rPr>
                <w:rFonts w:eastAsia="Arial" w:cs="Arial"/>
                <w:szCs w:val="24"/>
              </w:rPr>
            </w:pPr>
            <w:r>
              <w:rPr>
                <w:rFonts w:eastAsia="Arial" w:cs="Arial"/>
                <w:szCs w:val="24"/>
              </w:rPr>
              <w:t>Secondary School Level</w:t>
            </w:r>
          </w:p>
        </w:tc>
        <w:tc>
          <w:tcPr>
            <w:tcW w:w="2670" w:type="dxa"/>
            <w:tcBorders>
              <w:top w:val="nil"/>
              <w:left w:val="nil"/>
              <w:bottom w:val="nil"/>
              <w:right w:val="nil"/>
            </w:tcBorders>
          </w:tcPr>
          <w:p w14:paraId="00118AC4" w14:textId="77777777" w:rsidR="007C6854" w:rsidRDefault="00E0219E">
            <w:pPr>
              <w:spacing w:line="259" w:lineRule="auto"/>
              <w:jc w:val="center"/>
              <w:rPr>
                <w:rFonts w:eastAsia="Arial" w:cs="Arial"/>
                <w:szCs w:val="24"/>
              </w:rPr>
            </w:pPr>
            <w:r>
              <w:rPr>
                <w:rFonts w:eastAsia="Arial" w:cs="Arial"/>
                <w:szCs w:val="24"/>
              </w:rPr>
              <w:t>20</w:t>
            </w:r>
          </w:p>
        </w:tc>
        <w:tc>
          <w:tcPr>
            <w:tcW w:w="2095" w:type="dxa"/>
            <w:tcBorders>
              <w:top w:val="nil"/>
              <w:left w:val="nil"/>
              <w:bottom w:val="nil"/>
              <w:right w:val="nil"/>
            </w:tcBorders>
          </w:tcPr>
          <w:p w14:paraId="3C0535F4" w14:textId="77777777" w:rsidR="007C6854" w:rsidRDefault="00E0219E">
            <w:pPr>
              <w:spacing w:line="259" w:lineRule="auto"/>
              <w:jc w:val="center"/>
              <w:rPr>
                <w:rFonts w:eastAsia="Arial" w:cs="Arial"/>
                <w:szCs w:val="24"/>
              </w:rPr>
            </w:pPr>
            <w:r>
              <w:rPr>
                <w:rFonts w:eastAsia="Arial" w:cs="Arial"/>
                <w:szCs w:val="24"/>
              </w:rPr>
              <w:t>13.25</w:t>
            </w:r>
          </w:p>
        </w:tc>
      </w:tr>
      <w:tr w:rsidR="007C6854" w14:paraId="642CF867" w14:textId="77777777" w:rsidTr="00C00846">
        <w:tc>
          <w:tcPr>
            <w:tcW w:w="4605" w:type="dxa"/>
            <w:tcBorders>
              <w:top w:val="nil"/>
              <w:left w:val="nil"/>
              <w:bottom w:val="nil"/>
              <w:right w:val="nil"/>
            </w:tcBorders>
          </w:tcPr>
          <w:p w14:paraId="544E7545" w14:textId="77777777" w:rsidR="007C6854" w:rsidRDefault="00E0219E">
            <w:pPr>
              <w:spacing w:line="259" w:lineRule="auto"/>
              <w:ind w:left="720"/>
              <w:rPr>
                <w:rFonts w:eastAsia="Arial" w:cs="Arial"/>
                <w:szCs w:val="24"/>
              </w:rPr>
            </w:pPr>
            <w:r>
              <w:rPr>
                <w:rFonts w:eastAsia="Arial" w:cs="Arial"/>
                <w:szCs w:val="24"/>
              </w:rPr>
              <w:t>Secondary School Completed</w:t>
            </w:r>
          </w:p>
        </w:tc>
        <w:tc>
          <w:tcPr>
            <w:tcW w:w="2670" w:type="dxa"/>
            <w:tcBorders>
              <w:top w:val="nil"/>
              <w:left w:val="nil"/>
              <w:bottom w:val="nil"/>
              <w:right w:val="nil"/>
            </w:tcBorders>
          </w:tcPr>
          <w:p w14:paraId="60F5AEE8" w14:textId="77777777" w:rsidR="007C6854" w:rsidRDefault="00E0219E">
            <w:pPr>
              <w:spacing w:line="259" w:lineRule="auto"/>
              <w:jc w:val="center"/>
              <w:rPr>
                <w:rFonts w:eastAsia="Arial" w:cs="Arial"/>
                <w:szCs w:val="24"/>
              </w:rPr>
            </w:pPr>
            <w:r>
              <w:rPr>
                <w:rFonts w:eastAsia="Arial" w:cs="Arial"/>
                <w:szCs w:val="24"/>
              </w:rPr>
              <w:t>39</w:t>
            </w:r>
          </w:p>
        </w:tc>
        <w:tc>
          <w:tcPr>
            <w:tcW w:w="2095" w:type="dxa"/>
            <w:tcBorders>
              <w:top w:val="nil"/>
              <w:left w:val="nil"/>
              <w:bottom w:val="nil"/>
              <w:right w:val="nil"/>
            </w:tcBorders>
          </w:tcPr>
          <w:p w14:paraId="4C43E820" w14:textId="77777777" w:rsidR="007C6854" w:rsidRDefault="00E0219E">
            <w:pPr>
              <w:spacing w:line="259" w:lineRule="auto"/>
              <w:jc w:val="center"/>
              <w:rPr>
                <w:rFonts w:eastAsia="Arial" w:cs="Arial"/>
                <w:szCs w:val="24"/>
              </w:rPr>
            </w:pPr>
            <w:r>
              <w:rPr>
                <w:rFonts w:eastAsia="Arial" w:cs="Arial"/>
                <w:szCs w:val="24"/>
              </w:rPr>
              <w:t>25.83</w:t>
            </w:r>
          </w:p>
        </w:tc>
      </w:tr>
      <w:tr w:rsidR="007C6854" w14:paraId="56A7E1B9" w14:textId="77777777" w:rsidTr="00C00846">
        <w:tc>
          <w:tcPr>
            <w:tcW w:w="4605" w:type="dxa"/>
            <w:tcBorders>
              <w:top w:val="nil"/>
              <w:left w:val="nil"/>
              <w:bottom w:val="nil"/>
              <w:right w:val="nil"/>
            </w:tcBorders>
          </w:tcPr>
          <w:p w14:paraId="2C426D06" w14:textId="77777777" w:rsidR="007C6854" w:rsidRDefault="00E0219E">
            <w:pPr>
              <w:spacing w:line="259" w:lineRule="auto"/>
              <w:ind w:left="720"/>
              <w:rPr>
                <w:rFonts w:eastAsia="Arial" w:cs="Arial"/>
                <w:szCs w:val="24"/>
              </w:rPr>
            </w:pPr>
            <w:r>
              <w:rPr>
                <w:rFonts w:eastAsia="Arial" w:cs="Arial"/>
                <w:szCs w:val="24"/>
              </w:rPr>
              <w:t>College/University Level</w:t>
            </w:r>
          </w:p>
        </w:tc>
        <w:tc>
          <w:tcPr>
            <w:tcW w:w="2670" w:type="dxa"/>
            <w:tcBorders>
              <w:top w:val="nil"/>
              <w:left w:val="nil"/>
              <w:bottom w:val="nil"/>
              <w:right w:val="nil"/>
            </w:tcBorders>
          </w:tcPr>
          <w:p w14:paraId="0B5D3E59" w14:textId="77777777" w:rsidR="007C6854" w:rsidRDefault="00E0219E">
            <w:pPr>
              <w:spacing w:line="259" w:lineRule="auto"/>
              <w:jc w:val="center"/>
              <w:rPr>
                <w:rFonts w:eastAsia="Arial" w:cs="Arial"/>
                <w:szCs w:val="24"/>
              </w:rPr>
            </w:pPr>
            <w:r>
              <w:rPr>
                <w:rFonts w:eastAsia="Arial" w:cs="Arial"/>
                <w:szCs w:val="24"/>
              </w:rPr>
              <w:t>10</w:t>
            </w:r>
          </w:p>
        </w:tc>
        <w:tc>
          <w:tcPr>
            <w:tcW w:w="2095" w:type="dxa"/>
            <w:tcBorders>
              <w:top w:val="nil"/>
              <w:left w:val="nil"/>
              <w:bottom w:val="nil"/>
              <w:right w:val="nil"/>
            </w:tcBorders>
          </w:tcPr>
          <w:p w14:paraId="132D9488" w14:textId="77777777" w:rsidR="007C6854" w:rsidRDefault="00E0219E">
            <w:pPr>
              <w:spacing w:line="259" w:lineRule="auto"/>
              <w:jc w:val="center"/>
              <w:rPr>
                <w:rFonts w:eastAsia="Arial" w:cs="Arial"/>
                <w:szCs w:val="24"/>
              </w:rPr>
            </w:pPr>
            <w:r>
              <w:rPr>
                <w:rFonts w:eastAsia="Arial" w:cs="Arial"/>
                <w:szCs w:val="24"/>
              </w:rPr>
              <w:t>6.62</w:t>
            </w:r>
          </w:p>
        </w:tc>
      </w:tr>
      <w:tr w:rsidR="007C6854" w14:paraId="33029E36" w14:textId="77777777" w:rsidTr="00C00846">
        <w:tc>
          <w:tcPr>
            <w:tcW w:w="4605" w:type="dxa"/>
            <w:tcBorders>
              <w:top w:val="nil"/>
              <w:left w:val="nil"/>
              <w:bottom w:val="nil"/>
              <w:right w:val="nil"/>
            </w:tcBorders>
          </w:tcPr>
          <w:p w14:paraId="018B5884" w14:textId="77777777" w:rsidR="007C6854" w:rsidRDefault="00E0219E">
            <w:pPr>
              <w:spacing w:line="259" w:lineRule="auto"/>
              <w:ind w:left="720"/>
              <w:rPr>
                <w:rFonts w:eastAsia="Arial" w:cs="Arial"/>
                <w:szCs w:val="24"/>
              </w:rPr>
            </w:pPr>
            <w:r>
              <w:rPr>
                <w:rFonts w:eastAsia="Arial" w:cs="Arial"/>
                <w:szCs w:val="24"/>
              </w:rPr>
              <w:t>College/University Completed</w:t>
            </w:r>
          </w:p>
        </w:tc>
        <w:tc>
          <w:tcPr>
            <w:tcW w:w="2670" w:type="dxa"/>
            <w:tcBorders>
              <w:top w:val="nil"/>
              <w:left w:val="nil"/>
              <w:bottom w:val="nil"/>
              <w:right w:val="nil"/>
            </w:tcBorders>
          </w:tcPr>
          <w:p w14:paraId="59CF7F6B" w14:textId="77777777" w:rsidR="007C6854" w:rsidRDefault="00E0219E">
            <w:pPr>
              <w:spacing w:line="259" w:lineRule="auto"/>
              <w:jc w:val="center"/>
              <w:rPr>
                <w:rFonts w:eastAsia="Arial" w:cs="Arial"/>
                <w:szCs w:val="24"/>
              </w:rPr>
            </w:pPr>
            <w:r>
              <w:rPr>
                <w:rFonts w:eastAsia="Arial" w:cs="Arial"/>
                <w:szCs w:val="24"/>
              </w:rPr>
              <w:t>1</w:t>
            </w:r>
          </w:p>
        </w:tc>
        <w:tc>
          <w:tcPr>
            <w:tcW w:w="2095" w:type="dxa"/>
            <w:tcBorders>
              <w:top w:val="nil"/>
              <w:left w:val="nil"/>
              <w:bottom w:val="nil"/>
              <w:right w:val="nil"/>
            </w:tcBorders>
          </w:tcPr>
          <w:p w14:paraId="0857FFF2" w14:textId="77777777" w:rsidR="007C6854" w:rsidRDefault="00E0219E">
            <w:pPr>
              <w:spacing w:line="259" w:lineRule="auto"/>
              <w:jc w:val="center"/>
              <w:rPr>
                <w:rFonts w:eastAsia="Arial" w:cs="Arial"/>
                <w:szCs w:val="24"/>
              </w:rPr>
            </w:pPr>
            <w:r>
              <w:rPr>
                <w:rFonts w:eastAsia="Arial" w:cs="Arial"/>
                <w:szCs w:val="24"/>
              </w:rPr>
              <w:t>0.66</w:t>
            </w:r>
          </w:p>
        </w:tc>
      </w:tr>
      <w:tr w:rsidR="007C6854" w14:paraId="021D7E3C" w14:textId="77777777" w:rsidTr="00C00846">
        <w:tc>
          <w:tcPr>
            <w:tcW w:w="4605" w:type="dxa"/>
            <w:tcBorders>
              <w:top w:val="nil"/>
              <w:left w:val="nil"/>
              <w:bottom w:val="nil"/>
              <w:right w:val="nil"/>
            </w:tcBorders>
          </w:tcPr>
          <w:p w14:paraId="067C5968" w14:textId="77777777" w:rsidR="007C6854" w:rsidRDefault="00E0219E">
            <w:pPr>
              <w:spacing w:line="259" w:lineRule="auto"/>
              <w:rPr>
                <w:rFonts w:eastAsia="Arial" w:cs="Arial"/>
                <w:i/>
                <w:szCs w:val="24"/>
              </w:rPr>
            </w:pPr>
            <w:r>
              <w:rPr>
                <w:rFonts w:eastAsia="Arial" w:cs="Arial"/>
                <w:szCs w:val="24"/>
              </w:rPr>
              <w:t>Ethnic / Cultural Sub-group</w:t>
            </w:r>
          </w:p>
        </w:tc>
        <w:tc>
          <w:tcPr>
            <w:tcW w:w="2670" w:type="dxa"/>
            <w:tcBorders>
              <w:top w:val="nil"/>
              <w:left w:val="nil"/>
              <w:bottom w:val="nil"/>
              <w:right w:val="nil"/>
            </w:tcBorders>
          </w:tcPr>
          <w:p w14:paraId="6B7EB1D0"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767859E4" w14:textId="77777777" w:rsidR="007C6854" w:rsidRDefault="007C6854">
            <w:pPr>
              <w:spacing w:line="259" w:lineRule="auto"/>
              <w:jc w:val="center"/>
              <w:rPr>
                <w:rFonts w:eastAsia="Arial" w:cs="Arial"/>
                <w:szCs w:val="24"/>
              </w:rPr>
            </w:pPr>
          </w:p>
        </w:tc>
      </w:tr>
      <w:tr w:rsidR="007C6854" w14:paraId="6597A4DF" w14:textId="77777777" w:rsidTr="00C00846">
        <w:tc>
          <w:tcPr>
            <w:tcW w:w="4605" w:type="dxa"/>
            <w:tcBorders>
              <w:top w:val="nil"/>
              <w:left w:val="nil"/>
              <w:bottom w:val="nil"/>
              <w:right w:val="nil"/>
            </w:tcBorders>
          </w:tcPr>
          <w:p w14:paraId="408087C2" w14:textId="77777777" w:rsidR="007C6854" w:rsidRDefault="00E0219E">
            <w:pPr>
              <w:spacing w:line="259" w:lineRule="auto"/>
              <w:ind w:left="720"/>
              <w:rPr>
                <w:rFonts w:eastAsia="Arial" w:cs="Arial"/>
                <w:szCs w:val="24"/>
              </w:rPr>
            </w:pPr>
            <w:r>
              <w:rPr>
                <w:rFonts w:eastAsia="Arial" w:cs="Arial"/>
                <w:szCs w:val="24"/>
              </w:rPr>
              <w:t>Tagalog</w:t>
            </w:r>
          </w:p>
        </w:tc>
        <w:tc>
          <w:tcPr>
            <w:tcW w:w="2670" w:type="dxa"/>
            <w:tcBorders>
              <w:top w:val="nil"/>
              <w:left w:val="nil"/>
              <w:bottom w:val="nil"/>
              <w:right w:val="nil"/>
            </w:tcBorders>
          </w:tcPr>
          <w:p w14:paraId="1DE4EDA8" w14:textId="77777777" w:rsidR="007C6854" w:rsidRDefault="00E0219E">
            <w:pPr>
              <w:spacing w:line="259" w:lineRule="auto"/>
              <w:jc w:val="center"/>
              <w:rPr>
                <w:rFonts w:eastAsia="Arial" w:cs="Arial"/>
                <w:szCs w:val="24"/>
              </w:rPr>
            </w:pPr>
            <w:r>
              <w:rPr>
                <w:rFonts w:eastAsia="Arial" w:cs="Arial"/>
                <w:szCs w:val="24"/>
              </w:rPr>
              <w:t>35</w:t>
            </w:r>
          </w:p>
        </w:tc>
        <w:tc>
          <w:tcPr>
            <w:tcW w:w="2095" w:type="dxa"/>
            <w:tcBorders>
              <w:top w:val="nil"/>
              <w:left w:val="nil"/>
              <w:bottom w:val="nil"/>
              <w:right w:val="nil"/>
            </w:tcBorders>
          </w:tcPr>
          <w:p w14:paraId="727DF7C8" w14:textId="77777777" w:rsidR="007C6854" w:rsidRDefault="00E0219E">
            <w:pPr>
              <w:spacing w:line="259" w:lineRule="auto"/>
              <w:jc w:val="center"/>
              <w:rPr>
                <w:rFonts w:eastAsia="Arial" w:cs="Arial"/>
                <w:szCs w:val="24"/>
              </w:rPr>
            </w:pPr>
            <w:r>
              <w:rPr>
                <w:rFonts w:eastAsia="Arial" w:cs="Arial"/>
                <w:szCs w:val="24"/>
              </w:rPr>
              <w:t>23.18</w:t>
            </w:r>
          </w:p>
        </w:tc>
      </w:tr>
      <w:tr w:rsidR="007C6854" w14:paraId="79AFB7C8" w14:textId="77777777" w:rsidTr="00C00846">
        <w:tc>
          <w:tcPr>
            <w:tcW w:w="4605" w:type="dxa"/>
            <w:tcBorders>
              <w:top w:val="nil"/>
              <w:left w:val="nil"/>
              <w:bottom w:val="nil"/>
              <w:right w:val="nil"/>
            </w:tcBorders>
          </w:tcPr>
          <w:p w14:paraId="059CEA8A" w14:textId="77777777" w:rsidR="007C6854" w:rsidRDefault="00E0219E">
            <w:pPr>
              <w:spacing w:line="259" w:lineRule="auto"/>
              <w:ind w:left="720"/>
              <w:rPr>
                <w:rFonts w:eastAsia="Arial" w:cs="Arial"/>
                <w:szCs w:val="24"/>
              </w:rPr>
            </w:pPr>
            <w:r>
              <w:rPr>
                <w:rFonts w:eastAsia="Arial" w:cs="Arial"/>
                <w:szCs w:val="24"/>
              </w:rPr>
              <w:t>Waray</w:t>
            </w:r>
          </w:p>
        </w:tc>
        <w:tc>
          <w:tcPr>
            <w:tcW w:w="2670" w:type="dxa"/>
            <w:tcBorders>
              <w:top w:val="nil"/>
              <w:left w:val="nil"/>
              <w:bottom w:val="nil"/>
              <w:right w:val="nil"/>
            </w:tcBorders>
          </w:tcPr>
          <w:p w14:paraId="6FDE5658" w14:textId="77777777" w:rsidR="007C6854" w:rsidRDefault="00E0219E">
            <w:pPr>
              <w:spacing w:line="259" w:lineRule="auto"/>
              <w:jc w:val="center"/>
              <w:rPr>
                <w:rFonts w:eastAsia="Arial" w:cs="Arial"/>
                <w:szCs w:val="24"/>
              </w:rPr>
            </w:pPr>
            <w:r>
              <w:rPr>
                <w:rFonts w:eastAsia="Arial" w:cs="Arial"/>
                <w:szCs w:val="24"/>
              </w:rPr>
              <w:t>49</w:t>
            </w:r>
          </w:p>
        </w:tc>
        <w:tc>
          <w:tcPr>
            <w:tcW w:w="2095" w:type="dxa"/>
            <w:tcBorders>
              <w:top w:val="nil"/>
              <w:left w:val="nil"/>
              <w:bottom w:val="nil"/>
              <w:right w:val="nil"/>
            </w:tcBorders>
          </w:tcPr>
          <w:p w14:paraId="3FA3603C" w14:textId="77777777" w:rsidR="007C6854" w:rsidRDefault="00E0219E">
            <w:pPr>
              <w:spacing w:line="259" w:lineRule="auto"/>
              <w:jc w:val="center"/>
              <w:rPr>
                <w:rFonts w:eastAsia="Arial" w:cs="Arial"/>
                <w:szCs w:val="24"/>
              </w:rPr>
            </w:pPr>
            <w:r>
              <w:rPr>
                <w:rFonts w:eastAsia="Arial" w:cs="Arial"/>
                <w:szCs w:val="24"/>
              </w:rPr>
              <w:t>32.45</w:t>
            </w:r>
          </w:p>
        </w:tc>
      </w:tr>
      <w:tr w:rsidR="007C6854" w14:paraId="46CD7E83" w14:textId="77777777" w:rsidTr="00C00846">
        <w:tc>
          <w:tcPr>
            <w:tcW w:w="4605" w:type="dxa"/>
            <w:tcBorders>
              <w:top w:val="nil"/>
              <w:left w:val="nil"/>
              <w:bottom w:val="nil"/>
              <w:right w:val="nil"/>
            </w:tcBorders>
          </w:tcPr>
          <w:p w14:paraId="652A79A0" w14:textId="77777777" w:rsidR="007C6854" w:rsidRDefault="00E0219E">
            <w:pPr>
              <w:spacing w:line="259" w:lineRule="auto"/>
              <w:ind w:left="720"/>
              <w:rPr>
                <w:rFonts w:eastAsia="Arial" w:cs="Arial"/>
                <w:szCs w:val="24"/>
              </w:rPr>
            </w:pPr>
            <w:r>
              <w:rPr>
                <w:rFonts w:eastAsia="Arial" w:cs="Arial"/>
                <w:szCs w:val="24"/>
              </w:rPr>
              <w:t>Cebuano</w:t>
            </w:r>
          </w:p>
        </w:tc>
        <w:tc>
          <w:tcPr>
            <w:tcW w:w="2670" w:type="dxa"/>
            <w:tcBorders>
              <w:top w:val="nil"/>
              <w:left w:val="nil"/>
              <w:bottom w:val="nil"/>
              <w:right w:val="nil"/>
            </w:tcBorders>
          </w:tcPr>
          <w:p w14:paraId="2988E6A3" w14:textId="77777777" w:rsidR="007C6854" w:rsidRDefault="00E0219E">
            <w:pPr>
              <w:spacing w:line="259" w:lineRule="auto"/>
              <w:jc w:val="center"/>
              <w:rPr>
                <w:rFonts w:eastAsia="Arial" w:cs="Arial"/>
                <w:szCs w:val="24"/>
              </w:rPr>
            </w:pPr>
            <w:r>
              <w:rPr>
                <w:rFonts w:eastAsia="Arial" w:cs="Arial"/>
                <w:szCs w:val="24"/>
              </w:rPr>
              <w:t>17</w:t>
            </w:r>
          </w:p>
        </w:tc>
        <w:tc>
          <w:tcPr>
            <w:tcW w:w="2095" w:type="dxa"/>
            <w:tcBorders>
              <w:top w:val="nil"/>
              <w:left w:val="nil"/>
              <w:bottom w:val="nil"/>
              <w:right w:val="nil"/>
            </w:tcBorders>
          </w:tcPr>
          <w:p w14:paraId="0404CA31" w14:textId="77777777" w:rsidR="007C6854" w:rsidRDefault="00E0219E">
            <w:pPr>
              <w:spacing w:line="259" w:lineRule="auto"/>
              <w:jc w:val="center"/>
              <w:rPr>
                <w:rFonts w:eastAsia="Arial" w:cs="Arial"/>
                <w:szCs w:val="24"/>
              </w:rPr>
            </w:pPr>
            <w:r>
              <w:rPr>
                <w:rFonts w:eastAsia="Arial" w:cs="Arial"/>
                <w:szCs w:val="24"/>
              </w:rPr>
              <w:t>11.26</w:t>
            </w:r>
          </w:p>
        </w:tc>
      </w:tr>
      <w:tr w:rsidR="007C6854" w14:paraId="7DE39587" w14:textId="77777777" w:rsidTr="00C00846">
        <w:tc>
          <w:tcPr>
            <w:tcW w:w="4605" w:type="dxa"/>
            <w:tcBorders>
              <w:top w:val="nil"/>
              <w:left w:val="nil"/>
              <w:bottom w:val="nil"/>
              <w:right w:val="nil"/>
            </w:tcBorders>
          </w:tcPr>
          <w:p w14:paraId="547B30B8" w14:textId="77777777" w:rsidR="007C6854" w:rsidRDefault="00E0219E">
            <w:pPr>
              <w:spacing w:line="259" w:lineRule="auto"/>
              <w:ind w:left="720"/>
              <w:rPr>
                <w:rFonts w:eastAsia="Arial" w:cs="Arial"/>
                <w:szCs w:val="24"/>
              </w:rPr>
            </w:pPr>
            <w:r>
              <w:rPr>
                <w:rFonts w:eastAsia="Arial" w:cs="Arial"/>
                <w:szCs w:val="24"/>
              </w:rPr>
              <w:t>Ilocano</w:t>
            </w:r>
          </w:p>
        </w:tc>
        <w:tc>
          <w:tcPr>
            <w:tcW w:w="2670" w:type="dxa"/>
            <w:tcBorders>
              <w:top w:val="nil"/>
              <w:left w:val="nil"/>
              <w:bottom w:val="nil"/>
              <w:right w:val="nil"/>
            </w:tcBorders>
          </w:tcPr>
          <w:p w14:paraId="1508E77A" w14:textId="77777777" w:rsidR="007C6854" w:rsidRDefault="00E0219E">
            <w:pPr>
              <w:spacing w:line="259" w:lineRule="auto"/>
              <w:jc w:val="center"/>
              <w:rPr>
                <w:rFonts w:eastAsia="Arial" w:cs="Arial"/>
                <w:szCs w:val="24"/>
              </w:rPr>
            </w:pPr>
            <w:r>
              <w:rPr>
                <w:rFonts w:eastAsia="Arial" w:cs="Arial"/>
                <w:szCs w:val="24"/>
              </w:rPr>
              <w:t>8</w:t>
            </w:r>
          </w:p>
        </w:tc>
        <w:tc>
          <w:tcPr>
            <w:tcW w:w="2095" w:type="dxa"/>
            <w:tcBorders>
              <w:top w:val="nil"/>
              <w:left w:val="nil"/>
              <w:bottom w:val="nil"/>
              <w:right w:val="nil"/>
            </w:tcBorders>
          </w:tcPr>
          <w:p w14:paraId="11A4E4A0" w14:textId="77777777" w:rsidR="007C6854" w:rsidRDefault="00E0219E">
            <w:pPr>
              <w:spacing w:line="259" w:lineRule="auto"/>
              <w:jc w:val="center"/>
              <w:rPr>
                <w:rFonts w:eastAsia="Arial" w:cs="Arial"/>
                <w:szCs w:val="24"/>
              </w:rPr>
            </w:pPr>
            <w:r>
              <w:rPr>
                <w:rFonts w:eastAsia="Arial" w:cs="Arial"/>
                <w:szCs w:val="24"/>
              </w:rPr>
              <w:t>5.30</w:t>
            </w:r>
          </w:p>
        </w:tc>
      </w:tr>
      <w:tr w:rsidR="007C6854" w14:paraId="4395DBBA" w14:textId="77777777" w:rsidTr="00A8068A">
        <w:tc>
          <w:tcPr>
            <w:tcW w:w="4605" w:type="dxa"/>
            <w:tcBorders>
              <w:top w:val="nil"/>
              <w:left w:val="nil"/>
              <w:bottom w:val="nil"/>
              <w:right w:val="nil"/>
            </w:tcBorders>
          </w:tcPr>
          <w:p w14:paraId="1EEC6038" w14:textId="77777777" w:rsidR="007C6854" w:rsidRDefault="00E0219E">
            <w:pPr>
              <w:spacing w:line="259" w:lineRule="auto"/>
              <w:ind w:left="720"/>
              <w:rPr>
                <w:rFonts w:eastAsia="Arial" w:cs="Arial"/>
                <w:szCs w:val="24"/>
              </w:rPr>
            </w:pPr>
            <w:r>
              <w:rPr>
                <w:rFonts w:eastAsia="Arial" w:cs="Arial"/>
                <w:szCs w:val="24"/>
              </w:rPr>
              <w:t>Ilonggo</w:t>
            </w:r>
          </w:p>
        </w:tc>
        <w:tc>
          <w:tcPr>
            <w:tcW w:w="2670" w:type="dxa"/>
            <w:tcBorders>
              <w:top w:val="nil"/>
              <w:left w:val="nil"/>
              <w:bottom w:val="nil"/>
              <w:right w:val="nil"/>
            </w:tcBorders>
          </w:tcPr>
          <w:p w14:paraId="6D3407B4" w14:textId="77777777" w:rsidR="007C6854" w:rsidRDefault="00E0219E">
            <w:pPr>
              <w:spacing w:line="259" w:lineRule="auto"/>
              <w:jc w:val="center"/>
              <w:rPr>
                <w:rFonts w:eastAsia="Arial" w:cs="Arial"/>
                <w:szCs w:val="24"/>
              </w:rPr>
            </w:pPr>
            <w:r>
              <w:rPr>
                <w:rFonts w:eastAsia="Arial" w:cs="Arial"/>
                <w:szCs w:val="24"/>
              </w:rPr>
              <w:t xml:space="preserve"> 10</w:t>
            </w:r>
          </w:p>
        </w:tc>
        <w:tc>
          <w:tcPr>
            <w:tcW w:w="2095" w:type="dxa"/>
            <w:tcBorders>
              <w:top w:val="nil"/>
              <w:left w:val="nil"/>
              <w:bottom w:val="nil"/>
              <w:right w:val="nil"/>
            </w:tcBorders>
          </w:tcPr>
          <w:p w14:paraId="0018698C" w14:textId="77777777" w:rsidR="007C6854" w:rsidRDefault="00E0219E">
            <w:pPr>
              <w:spacing w:line="259" w:lineRule="auto"/>
              <w:jc w:val="center"/>
              <w:rPr>
                <w:rFonts w:eastAsia="Arial" w:cs="Arial"/>
                <w:szCs w:val="24"/>
              </w:rPr>
            </w:pPr>
            <w:r>
              <w:rPr>
                <w:rFonts w:eastAsia="Arial" w:cs="Arial"/>
                <w:szCs w:val="24"/>
              </w:rPr>
              <w:t>6.62</w:t>
            </w:r>
          </w:p>
        </w:tc>
      </w:tr>
      <w:tr w:rsidR="007C6854" w14:paraId="07DAF357" w14:textId="77777777" w:rsidTr="00C00846">
        <w:tc>
          <w:tcPr>
            <w:tcW w:w="4605" w:type="dxa"/>
            <w:tcBorders>
              <w:top w:val="nil"/>
              <w:left w:val="nil"/>
              <w:bottom w:val="nil"/>
              <w:right w:val="nil"/>
            </w:tcBorders>
          </w:tcPr>
          <w:p w14:paraId="671B4D6E" w14:textId="77777777" w:rsidR="007C6854" w:rsidRDefault="00E0219E">
            <w:pPr>
              <w:spacing w:line="259" w:lineRule="auto"/>
              <w:ind w:left="720"/>
              <w:rPr>
                <w:rFonts w:eastAsia="Arial" w:cs="Arial"/>
                <w:szCs w:val="24"/>
              </w:rPr>
            </w:pPr>
            <w:r>
              <w:rPr>
                <w:rFonts w:eastAsia="Arial" w:cs="Arial"/>
                <w:szCs w:val="24"/>
              </w:rPr>
              <w:t>Bicolano</w:t>
            </w:r>
          </w:p>
        </w:tc>
        <w:tc>
          <w:tcPr>
            <w:tcW w:w="2670" w:type="dxa"/>
            <w:tcBorders>
              <w:top w:val="nil"/>
              <w:left w:val="nil"/>
              <w:bottom w:val="nil"/>
              <w:right w:val="nil"/>
            </w:tcBorders>
          </w:tcPr>
          <w:p w14:paraId="1D765ACA" w14:textId="77777777" w:rsidR="007C6854" w:rsidRDefault="00E0219E">
            <w:pPr>
              <w:spacing w:line="259" w:lineRule="auto"/>
              <w:jc w:val="center"/>
              <w:rPr>
                <w:rFonts w:eastAsia="Arial" w:cs="Arial"/>
                <w:szCs w:val="24"/>
              </w:rPr>
            </w:pPr>
            <w:r>
              <w:rPr>
                <w:rFonts w:eastAsia="Arial" w:cs="Arial"/>
                <w:szCs w:val="24"/>
              </w:rPr>
              <w:t xml:space="preserve">  12</w:t>
            </w:r>
          </w:p>
        </w:tc>
        <w:tc>
          <w:tcPr>
            <w:tcW w:w="2095" w:type="dxa"/>
            <w:tcBorders>
              <w:top w:val="nil"/>
              <w:left w:val="nil"/>
              <w:bottom w:val="nil"/>
              <w:right w:val="nil"/>
            </w:tcBorders>
          </w:tcPr>
          <w:p w14:paraId="6085CB73" w14:textId="77777777" w:rsidR="007C6854" w:rsidRDefault="00E0219E">
            <w:pPr>
              <w:spacing w:line="259" w:lineRule="auto"/>
              <w:jc w:val="center"/>
              <w:rPr>
                <w:rFonts w:eastAsia="Arial" w:cs="Arial"/>
                <w:szCs w:val="24"/>
              </w:rPr>
            </w:pPr>
            <w:r>
              <w:rPr>
                <w:rFonts w:eastAsia="Arial" w:cs="Arial"/>
                <w:szCs w:val="24"/>
              </w:rPr>
              <w:t>7.95</w:t>
            </w:r>
          </w:p>
        </w:tc>
      </w:tr>
      <w:tr w:rsidR="007C6854" w14:paraId="65E342D9" w14:textId="77777777" w:rsidTr="00A8068A">
        <w:tc>
          <w:tcPr>
            <w:tcW w:w="4605" w:type="dxa"/>
            <w:tcBorders>
              <w:top w:val="nil"/>
              <w:left w:val="nil"/>
              <w:bottom w:val="nil"/>
              <w:right w:val="nil"/>
            </w:tcBorders>
          </w:tcPr>
          <w:p w14:paraId="75B60E0B" w14:textId="77777777" w:rsidR="007C6854" w:rsidRDefault="00E0219E">
            <w:pPr>
              <w:spacing w:line="259" w:lineRule="auto"/>
              <w:ind w:left="720"/>
              <w:rPr>
                <w:rFonts w:eastAsia="Arial" w:cs="Arial"/>
                <w:szCs w:val="24"/>
              </w:rPr>
            </w:pPr>
            <w:r>
              <w:rPr>
                <w:rFonts w:eastAsia="Arial" w:cs="Arial"/>
                <w:szCs w:val="24"/>
              </w:rPr>
              <w:t>Bisaya</w:t>
            </w:r>
          </w:p>
        </w:tc>
        <w:tc>
          <w:tcPr>
            <w:tcW w:w="2670" w:type="dxa"/>
            <w:tcBorders>
              <w:top w:val="nil"/>
              <w:left w:val="nil"/>
              <w:bottom w:val="nil"/>
              <w:right w:val="nil"/>
            </w:tcBorders>
          </w:tcPr>
          <w:p w14:paraId="6445BA19" w14:textId="77777777" w:rsidR="007C6854" w:rsidRDefault="00E0219E">
            <w:pPr>
              <w:spacing w:line="259" w:lineRule="auto"/>
              <w:jc w:val="center"/>
              <w:rPr>
                <w:rFonts w:eastAsia="Arial" w:cs="Arial"/>
                <w:szCs w:val="24"/>
              </w:rPr>
            </w:pPr>
            <w:r>
              <w:rPr>
                <w:rFonts w:eastAsia="Arial" w:cs="Arial"/>
                <w:szCs w:val="24"/>
              </w:rPr>
              <w:t>20</w:t>
            </w:r>
          </w:p>
        </w:tc>
        <w:tc>
          <w:tcPr>
            <w:tcW w:w="2095" w:type="dxa"/>
            <w:tcBorders>
              <w:top w:val="nil"/>
              <w:left w:val="nil"/>
              <w:bottom w:val="nil"/>
              <w:right w:val="nil"/>
            </w:tcBorders>
          </w:tcPr>
          <w:p w14:paraId="620145E5" w14:textId="77777777" w:rsidR="007C6854" w:rsidRDefault="00E0219E">
            <w:pPr>
              <w:spacing w:line="259" w:lineRule="auto"/>
              <w:jc w:val="center"/>
              <w:rPr>
                <w:rFonts w:eastAsia="Arial" w:cs="Arial"/>
                <w:szCs w:val="24"/>
              </w:rPr>
            </w:pPr>
            <w:r>
              <w:rPr>
                <w:rFonts w:eastAsia="Arial" w:cs="Arial"/>
                <w:szCs w:val="24"/>
              </w:rPr>
              <w:t>13.25</w:t>
            </w:r>
          </w:p>
        </w:tc>
      </w:tr>
      <w:tr w:rsidR="007C6854" w14:paraId="5C2C17CE" w14:textId="77777777" w:rsidTr="00A8068A">
        <w:tc>
          <w:tcPr>
            <w:tcW w:w="4605" w:type="dxa"/>
            <w:tcBorders>
              <w:top w:val="nil"/>
              <w:left w:val="nil"/>
              <w:bottom w:val="nil"/>
              <w:right w:val="nil"/>
            </w:tcBorders>
          </w:tcPr>
          <w:p w14:paraId="5A8864CF" w14:textId="77777777" w:rsidR="007C6854" w:rsidRDefault="00E0219E">
            <w:pPr>
              <w:spacing w:line="259" w:lineRule="auto"/>
              <w:rPr>
                <w:rFonts w:eastAsia="Arial" w:cs="Arial"/>
                <w:i/>
                <w:szCs w:val="24"/>
              </w:rPr>
            </w:pPr>
            <w:r>
              <w:rPr>
                <w:rFonts w:eastAsia="Arial" w:cs="Arial"/>
                <w:szCs w:val="24"/>
              </w:rPr>
              <w:lastRenderedPageBreak/>
              <w:t>Health Insurance Coverage</w:t>
            </w:r>
          </w:p>
        </w:tc>
        <w:tc>
          <w:tcPr>
            <w:tcW w:w="2670" w:type="dxa"/>
            <w:tcBorders>
              <w:top w:val="nil"/>
              <w:left w:val="nil"/>
              <w:bottom w:val="nil"/>
              <w:right w:val="nil"/>
            </w:tcBorders>
          </w:tcPr>
          <w:p w14:paraId="3D903B35" w14:textId="77777777" w:rsidR="007C6854" w:rsidRDefault="007C6854">
            <w:pPr>
              <w:spacing w:line="259" w:lineRule="auto"/>
              <w:jc w:val="center"/>
              <w:rPr>
                <w:rFonts w:eastAsia="Arial" w:cs="Arial"/>
                <w:szCs w:val="24"/>
              </w:rPr>
            </w:pPr>
          </w:p>
        </w:tc>
        <w:tc>
          <w:tcPr>
            <w:tcW w:w="2095" w:type="dxa"/>
            <w:tcBorders>
              <w:top w:val="nil"/>
              <w:left w:val="nil"/>
              <w:bottom w:val="nil"/>
              <w:right w:val="nil"/>
            </w:tcBorders>
          </w:tcPr>
          <w:p w14:paraId="613C2A35" w14:textId="77777777" w:rsidR="007C6854" w:rsidRDefault="007C6854">
            <w:pPr>
              <w:spacing w:line="259" w:lineRule="auto"/>
              <w:jc w:val="center"/>
              <w:rPr>
                <w:rFonts w:eastAsia="Arial" w:cs="Arial"/>
                <w:szCs w:val="24"/>
              </w:rPr>
            </w:pPr>
          </w:p>
        </w:tc>
      </w:tr>
      <w:tr w:rsidR="007C6854" w14:paraId="3C67F50F" w14:textId="77777777" w:rsidTr="00A8068A">
        <w:tc>
          <w:tcPr>
            <w:tcW w:w="4605" w:type="dxa"/>
            <w:tcBorders>
              <w:top w:val="nil"/>
              <w:left w:val="nil"/>
              <w:bottom w:val="nil"/>
              <w:right w:val="nil"/>
            </w:tcBorders>
          </w:tcPr>
          <w:p w14:paraId="229A30E6" w14:textId="77777777" w:rsidR="007C6854" w:rsidRDefault="00E0219E">
            <w:pPr>
              <w:spacing w:line="259" w:lineRule="auto"/>
              <w:ind w:left="720"/>
              <w:rPr>
                <w:rFonts w:eastAsia="Arial" w:cs="Arial"/>
                <w:szCs w:val="24"/>
              </w:rPr>
            </w:pPr>
            <w:r>
              <w:rPr>
                <w:rFonts w:eastAsia="Arial" w:cs="Arial"/>
                <w:szCs w:val="24"/>
              </w:rPr>
              <w:t>PhilHealth</w:t>
            </w:r>
          </w:p>
        </w:tc>
        <w:tc>
          <w:tcPr>
            <w:tcW w:w="2670" w:type="dxa"/>
            <w:tcBorders>
              <w:top w:val="nil"/>
              <w:left w:val="nil"/>
              <w:bottom w:val="nil"/>
              <w:right w:val="nil"/>
            </w:tcBorders>
          </w:tcPr>
          <w:p w14:paraId="1052B316" w14:textId="77777777" w:rsidR="007C6854" w:rsidRDefault="00E0219E">
            <w:pPr>
              <w:spacing w:line="259" w:lineRule="auto"/>
              <w:jc w:val="center"/>
              <w:rPr>
                <w:rFonts w:eastAsia="Arial" w:cs="Arial"/>
                <w:szCs w:val="24"/>
              </w:rPr>
            </w:pPr>
            <w:r>
              <w:rPr>
                <w:rFonts w:eastAsia="Arial" w:cs="Arial"/>
                <w:szCs w:val="24"/>
              </w:rPr>
              <w:t>104</w:t>
            </w:r>
          </w:p>
        </w:tc>
        <w:tc>
          <w:tcPr>
            <w:tcW w:w="2095" w:type="dxa"/>
            <w:tcBorders>
              <w:top w:val="nil"/>
              <w:left w:val="nil"/>
              <w:bottom w:val="nil"/>
              <w:right w:val="nil"/>
            </w:tcBorders>
          </w:tcPr>
          <w:p w14:paraId="4FAD0A10" w14:textId="77777777" w:rsidR="007C6854" w:rsidRDefault="00E0219E">
            <w:pPr>
              <w:spacing w:line="259" w:lineRule="auto"/>
              <w:jc w:val="center"/>
              <w:rPr>
                <w:rFonts w:eastAsia="Arial" w:cs="Arial"/>
                <w:szCs w:val="24"/>
              </w:rPr>
            </w:pPr>
            <w:r>
              <w:rPr>
                <w:rFonts w:eastAsia="Arial" w:cs="Arial"/>
                <w:szCs w:val="24"/>
              </w:rPr>
              <w:t>68.87</w:t>
            </w:r>
          </w:p>
        </w:tc>
      </w:tr>
      <w:tr w:rsidR="007C6854" w14:paraId="22079D9C" w14:textId="77777777" w:rsidTr="00A8068A">
        <w:tc>
          <w:tcPr>
            <w:tcW w:w="4605" w:type="dxa"/>
            <w:tcBorders>
              <w:top w:val="nil"/>
              <w:left w:val="nil"/>
              <w:bottom w:val="nil"/>
              <w:right w:val="nil"/>
            </w:tcBorders>
          </w:tcPr>
          <w:p w14:paraId="7B3113D7" w14:textId="77777777" w:rsidR="007C6854" w:rsidRDefault="00E0219E">
            <w:pPr>
              <w:spacing w:line="259" w:lineRule="auto"/>
              <w:ind w:left="720"/>
              <w:rPr>
                <w:rFonts w:eastAsia="Arial" w:cs="Arial"/>
                <w:szCs w:val="24"/>
              </w:rPr>
            </w:pPr>
            <w:r>
              <w:rPr>
                <w:rFonts w:eastAsia="Arial" w:cs="Arial"/>
                <w:szCs w:val="24"/>
              </w:rPr>
              <w:t>Both PhilHealth and Health Maintenance Organization (HMO)</w:t>
            </w:r>
          </w:p>
        </w:tc>
        <w:tc>
          <w:tcPr>
            <w:tcW w:w="2670" w:type="dxa"/>
            <w:tcBorders>
              <w:top w:val="nil"/>
              <w:left w:val="nil"/>
              <w:bottom w:val="nil"/>
              <w:right w:val="nil"/>
            </w:tcBorders>
          </w:tcPr>
          <w:p w14:paraId="24D325AE" w14:textId="77777777" w:rsidR="007C6854" w:rsidRDefault="00E0219E">
            <w:pPr>
              <w:spacing w:line="259" w:lineRule="auto"/>
              <w:jc w:val="center"/>
              <w:rPr>
                <w:rFonts w:eastAsia="Arial" w:cs="Arial"/>
                <w:szCs w:val="24"/>
              </w:rPr>
            </w:pPr>
            <w:r>
              <w:rPr>
                <w:rFonts w:eastAsia="Arial" w:cs="Arial"/>
                <w:szCs w:val="24"/>
              </w:rPr>
              <w:t>26</w:t>
            </w:r>
          </w:p>
        </w:tc>
        <w:tc>
          <w:tcPr>
            <w:tcW w:w="2095" w:type="dxa"/>
            <w:tcBorders>
              <w:top w:val="nil"/>
              <w:left w:val="nil"/>
              <w:bottom w:val="nil"/>
              <w:right w:val="nil"/>
            </w:tcBorders>
          </w:tcPr>
          <w:p w14:paraId="53594061" w14:textId="77777777" w:rsidR="007C6854" w:rsidRDefault="00E0219E">
            <w:pPr>
              <w:spacing w:line="259" w:lineRule="auto"/>
              <w:jc w:val="center"/>
              <w:rPr>
                <w:rFonts w:eastAsia="Arial" w:cs="Arial"/>
                <w:szCs w:val="24"/>
              </w:rPr>
            </w:pPr>
            <w:r>
              <w:rPr>
                <w:rFonts w:eastAsia="Arial" w:cs="Arial"/>
                <w:szCs w:val="24"/>
              </w:rPr>
              <w:t>17.22</w:t>
            </w:r>
          </w:p>
        </w:tc>
      </w:tr>
      <w:tr w:rsidR="007C6854" w14:paraId="63D01416" w14:textId="77777777" w:rsidTr="00A8068A">
        <w:tc>
          <w:tcPr>
            <w:tcW w:w="4605" w:type="dxa"/>
            <w:tcBorders>
              <w:top w:val="nil"/>
              <w:left w:val="nil"/>
              <w:bottom w:val="nil"/>
              <w:right w:val="nil"/>
            </w:tcBorders>
          </w:tcPr>
          <w:p w14:paraId="19363162" w14:textId="77777777" w:rsidR="007C6854" w:rsidRDefault="00E0219E">
            <w:pPr>
              <w:spacing w:line="259" w:lineRule="auto"/>
              <w:ind w:left="720"/>
              <w:rPr>
                <w:rFonts w:eastAsia="Arial" w:cs="Arial"/>
                <w:szCs w:val="24"/>
              </w:rPr>
            </w:pPr>
            <w:r>
              <w:rPr>
                <w:rFonts w:eastAsia="Arial" w:cs="Arial"/>
                <w:szCs w:val="24"/>
              </w:rPr>
              <w:t>None</w:t>
            </w:r>
          </w:p>
        </w:tc>
        <w:tc>
          <w:tcPr>
            <w:tcW w:w="2670" w:type="dxa"/>
            <w:tcBorders>
              <w:top w:val="nil"/>
              <w:left w:val="nil"/>
              <w:bottom w:val="nil"/>
              <w:right w:val="nil"/>
            </w:tcBorders>
          </w:tcPr>
          <w:p w14:paraId="4F11298F" w14:textId="77777777" w:rsidR="007C6854" w:rsidRDefault="00E0219E">
            <w:pPr>
              <w:spacing w:line="259" w:lineRule="auto"/>
              <w:jc w:val="center"/>
              <w:rPr>
                <w:rFonts w:eastAsia="Arial" w:cs="Arial"/>
                <w:szCs w:val="24"/>
              </w:rPr>
            </w:pPr>
            <w:r>
              <w:rPr>
                <w:rFonts w:eastAsia="Arial" w:cs="Arial"/>
                <w:szCs w:val="24"/>
              </w:rPr>
              <w:t>20</w:t>
            </w:r>
          </w:p>
        </w:tc>
        <w:tc>
          <w:tcPr>
            <w:tcW w:w="2095" w:type="dxa"/>
            <w:tcBorders>
              <w:top w:val="nil"/>
              <w:left w:val="nil"/>
              <w:bottom w:val="nil"/>
              <w:right w:val="nil"/>
            </w:tcBorders>
          </w:tcPr>
          <w:p w14:paraId="60742C30" w14:textId="77777777" w:rsidR="007C6854" w:rsidRDefault="00E0219E">
            <w:pPr>
              <w:spacing w:line="259" w:lineRule="auto"/>
              <w:jc w:val="center"/>
              <w:rPr>
                <w:rFonts w:eastAsia="Arial" w:cs="Arial"/>
                <w:szCs w:val="24"/>
              </w:rPr>
            </w:pPr>
            <w:r>
              <w:rPr>
                <w:rFonts w:eastAsia="Arial" w:cs="Arial"/>
                <w:szCs w:val="24"/>
              </w:rPr>
              <w:t>13.25</w:t>
            </w:r>
          </w:p>
        </w:tc>
      </w:tr>
      <w:tr w:rsidR="007C6854" w14:paraId="71E7ACC2" w14:textId="77777777" w:rsidTr="00A8068A">
        <w:tc>
          <w:tcPr>
            <w:tcW w:w="4605" w:type="dxa"/>
            <w:tcBorders>
              <w:top w:val="nil"/>
              <w:left w:val="nil"/>
              <w:bottom w:val="nil"/>
              <w:right w:val="nil"/>
            </w:tcBorders>
          </w:tcPr>
          <w:p w14:paraId="409F8A5A" w14:textId="77777777" w:rsidR="007C6854" w:rsidRDefault="00E0219E">
            <w:pPr>
              <w:spacing w:line="259" w:lineRule="auto"/>
              <w:ind w:left="720"/>
              <w:rPr>
                <w:rFonts w:eastAsia="Arial" w:cs="Arial"/>
                <w:szCs w:val="24"/>
              </w:rPr>
            </w:pPr>
            <w:r>
              <w:rPr>
                <w:rFonts w:eastAsia="Arial" w:cs="Arial"/>
                <w:szCs w:val="24"/>
              </w:rPr>
              <w:t>Refused</w:t>
            </w:r>
          </w:p>
        </w:tc>
        <w:tc>
          <w:tcPr>
            <w:tcW w:w="2670" w:type="dxa"/>
            <w:tcBorders>
              <w:top w:val="nil"/>
              <w:left w:val="nil"/>
              <w:bottom w:val="nil"/>
              <w:right w:val="nil"/>
            </w:tcBorders>
          </w:tcPr>
          <w:p w14:paraId="438B69EC" w14:textId="77777777" w:rsidR="007C6854" w:rsidRDefault="00E0219E">
            <w:pPr>
              <w:spacing w:line="259" w:lineRule="auto"/>
              <w:jc w:val="center"/>
              <w:rPr>
                <w:rFonts w:eastAsia="Arial" w:cs="Arial"/>
                <w:szCs w:val="24"/>
              </w:rPr>
            </w:pPr>
            <w:r>
              <w:rPr>
                <w:rFonts w:eastAsia="Arial" w:cs="Arial"/>
                <w:szCs w:val="24"/>
              </w:rPr>
              <w:t>1</w:t>
            </w:r>
          </w:p>
        </w:tc>
        <w:tc>
          <w:tcPr>
            <w:tcW w:w="2095" w:type="dxa"/>
            <w:tcBorders>
              <w:top w:val="nil"/>
              <w:left w:val="nil"/>
              <w:bottom w:val="nil"/>
              <w:right w:val="nil"/>
            </w:tcBorders>
          </w:tcPr>
          <w:p w14:paraId="566B6AA9" w14:textId="77777777" w:rsidR="007C6854" w:rsidRDefault="00E0219E">
            <w:pPr>
              <w:spacing w:line="259" w:lineRule="auto"/>
              <w:jc w:val="center"/>
              <w:rPr>
                <w:rFonts w:eastAsia="Arial" w:cs="Arial"/>
                <w:szCs w:val="24"/>
              </w:rPr>
            </w:pPr>
            <w:r>
              <w:rPr>
                <w:rFonts w:eastAsia="Arial" w:cs="Arial"/>
                <w:szCs w:val="24"/>
              </w:rPr>
              <w:t>0.66</w:t>
            </w:r>
          </w:p>
        </w:tc>
      </w:tr>
      <w:tr w:rsidR="007C6854" w14:paraId="0F062966" w14:textId="77777777" w:rsidTr="00A8068A">
        <w:tc>
          <w:tcPr>
            <w:tcW w:w="4605" w:type="dxa"/>
            <w:tcBorders>
              <w:top w:val="nil"/>
              <w:left w:val="nil"/>
              <w:bottom w:val="nil"/>
              <w:right w:val="nil"/>
            </w:tcBorders>
            <w:vAlign w:val="center"/>
          </w:tcPr>
          <w:p w14:paraId="5FDB86BC" w14:textId="77777777" w:rsidR="007C6854" w:rsidRDefault="00E0219E">
            <w:pPr>
              <w:tabs>
                <w:tab w:val="left" w:pos="1488"/>
              </w:tabs>
              <w:rPr>
                <w:rFonts w:eastAsia="Arial" w:cs="Arial"/>
                <w:szCs w:val="24"/>
              </w:rPr>
            </w:pPr>
            <w:r>
              <w:rPr>
                <w:rFonts w:eastAsia="Arial" w:cs="Arial"/>
                <w:szCs w:val="24"/>
              </w:rPr>
              <w:t>Wealth Status</w:t>
            </w:r>
          </w:p>
        </w:tc>
        <w:tc>
          <w:tcPr>
            <w:tcW w:w="2670" w:type="dxa"/>
            <w:tcBorders>
              <w:top w:val="nil"/>
              <w:left w:val="nil"/>
              <w:bottom w:val="nil"/>
              <w:right w:val="nil"/>
            </w:tcBorders>
          </w:tcPr>
          <w:p w14:paraId="03CCC8AC" w14:textId="77777777" w:rsidR="007C6854" w:rsidRDefault="007C6854">
            <w:pPr>
              <w:jc w:val="center"/>
              <w:rPr>
                <w:rFonts w:eastAsia="Arial" w:cs="Arial"/>
                <w:szCs w:val="24"/>
              </w:rPr>
            </w:pPr>
          </w:p>
        </w:tc>
        <w:tc>
          <w:tcPr>
            <w:tcW w:w="2095" w:type="dxa"/>
            <w:tcBorders>
              <w:top w:val="nil"/>
              <w:left w:val="nil"/>
              <w:bottom w:val="nil"/>
              <w:right w:val="nil"/>
            </w:tcBorders>
          </w:tcPr>
          <w:p w14:paraId="623B10F3" w14:textId="77777777" w:rsidR="007C6854" w:rsidRDefault="007C6854">
            <w:pPr>
              <w:jc w:val="center"/>
              <w:rPr>
                <w:rFonts w:eastAsia="Arial" w:cs="Arial"/>
                <w:szCs w:val="24"/>
              </w:rPr>
            </w:pPr>
          </w:p>
        </w:tc>
      </w:tr>
      <w:tr w:rsidR="007C6854" w14:paraId="139499DC" w14:textId="77777777" w:rsidTr="00A8068A">
        <w:tc>
          <w:tcPr>
            <w:tcW w:w="4605" w:type="dxa"/>
            <w:tcBorders>
              <w:top w:val="nil"/>
              <w:left w:val="nil"/>
              <w:bottom w:val="nil"/>
              <w:right w:val="nil"/>
            </w:tcBorders>
            <w:vAlign w:val="center"/>
          </w:tcPr>
          <w:p w14:paraId="7A6EEFD7" w14:textId="77777777" w:rsidR="007C6854" w:rsidRDefault="00E0219E">
            <w:pPr>
              <w:spacing w:line="259" w:lineRule="auto"/>
              <w:ind w:left="720"/>
              <w:rPr>
                <w:rFonts w:eastAsia="Arial" w:cs="Arial"/>
                <w:szCs w:val="24"/>
              </w:rPr>
            </w:pPr>
            <w:r>
              <w:rPr>
                <w:rFonts w:eastAsia="Arial" w:cs="Arial"/>
                <w:szCs w:val="24"/>
              </w:rPr>
              <w:t>Poor (less than P9,520)</w:t>
            </w:r>
          </w:p>
        </w:tc>
        <w:tc>
          <w:tcPr>
            <w:tcW w:w="2670" w:type="dxa"/>
            <w:tcBorders>
              <w:top w:val="nil"/>
              <w:left w:val="nil"/>
              <w:bottom w:val="nil"/>
              <w:right w:val="nil"/>
            </w:tcBorders>
            <w:vAlign w:val="center"/>
          </w:tcPr>
          <w:p w14:paraId="0CF3F761" w14:textId="77777777" w:rsidR="007C6854" w:rsidRDefault="00E0219E">
            <w:pPr>
              <w:spacing w:line="259" w:lineRule="auto"/>
              <w:jc w:val="center"/>
              <w:rPr>
                <w:rFonts w:eastAsia="Arial" w:cs="Arial"/>
                <w:szCs w:val="24"/>
              </w:rPr>
            </w:pPr>
            <w:r>
              <w:rPr>
                <w:rFonts w:eastAsia="Arial" w:cs="Arial"/>
                <w:szCs w:val="24"/>
              </w:rPr>
              <w:t>102</w:t>
            </w:r>
          </w:p>
        </w:tc>
        <w:tc>
          <w:tcPr>
            <w:tcW w:w="2095" w:type="dxa"/>
            <w:tcBorders>
              <w:top w:val="nil"/>
              <w:left w:val="nil"/>
              <w:bottom w:val="nil"/>
              <w:right w:val="nil"/>
            </w:tcBorders>
            <w:vAlign w:val="center"/>
          </w:tcPr>
          <w:p w14:paraId="066609DA" w14:textId="77777777" w:rsidR="007C6854" w:rsidRDefault="00E0219E">
            <w:pPr>
              <w:spacing w:line="259" w:lineRule="auto"/>
              <w:jc w:val="center"/>
              <w:rPr>
                <w:rFonts w:eastAsia="Arial" w:cs="Arial"/>
                <w:szCs w:val="24"/>
              </w:rPr>
            </w:pPr>
            <w:r>
              <w:rPr>
                <w:rFonts w:eastAsia="Arial" w:cs="Arial"/>
                <w:szCs w:val="24"/>
              </w:rPr>
              <w:t>67.55</w:t>
            </w:r>
          </w:p>
        </w:tc>
      </w:tr>
      <w:tr w:rsidR="007C6854" w14:paraId="71B9ECDA" w14:textId="77777777" w:rsidTr="00A8068A">
        <w:tc>
          <w:tcPr>
            <w:tcW w:w="4605" w:type="dxa"/>
            <w:tcBorders>
              <w:top w:val="nil"/>
              <w:left w:val="nil"/>
              <w:bottom w:val="nil"/>
              <w:right w:val="nil"/>
            </w:tcBorders>
            <w:vAlign w:val="center"/>
          </w:tcPr>
          <w:p w14:paraId="46DF4019" w14:textId="77777777" w:rsidR="007C6854" w:rsidRDefault="00E0219E">
            <w:pPr>
              <w:spacing w:line="259" w:lineRule="auto"/>
              <w:ind w:left="720"/>
              <w:rPr>
                <w:rFonts w:eastAsia="Arial" w:cs="Arial"/>
                <w:szCs w:val="24"/>
              </w:rPr>
            </w:pPr>
            <w:r>
              <w:rPr>
                <w:rFonts w:eastAsia="Arial" w:cs="Arial"/>
                <w:szCs w:val="24"/>
              </w:rPr>
              <w:t>Low-Income (Between P 9,520 to P 19,040)</w:t>
            </w:r>
          </w:p>
        </w:tc>
        <w:tc>
          <w:tcPr>
            <w:tcW w:w="2670" w:type="dxa"/>
            <w:tcBorders>
              <w:top w:val="nil"/>
              <w:left w:val="nil"/>
              <w:bottom w:val="nil"/>
              <w:right w:val="nil"/>
            </w:tcBorders>
            <w:vAlign w:val="center"/>
          </w:tcPr>
          <w:p w14:paraId="7DAADB3E" w14:textId="77777777" w:rsidR="007C6854" w:rsidRDefault="00E0219E">
            <w:pPr>
              <w:spacing w:line="259" w:lineRule="auto"/>
              <w:jc w:val="center"/>
              <w:rPr>
                <w:rFonts w:eastAsia="Arial" w:cs="Arial"/>
                <w:szCs w:val="24"/>
              </w:rPr>
            </w:pPr>
            <w:r>
              <w:rPr>
                <w:rFonts w:eastAsia="Arial" w:cs="Arial"/>
                <w:szCs w:val="24"/>
              </w:rPr>
              <w:t>39</w:t>
            </w:r>
          </w:p>
        </w:tc>
        <w:tc>
          <w:tcPr>
            <w:tcW w:w="2095" w:type="dxa"/>
            <w:tcBorders>
              <w:top w:val="nil"/>
              <w:left w:val="nil"/>
              <w:bottom w:val="nil"/>
              <w:right w:val="nil"/>
            </w:tcBorders>
            <w:vAlign w:val="center"/>
          </w:tcPr>
          <w:p w14:paraId="1EA9C366" w14:textId="77777777" w:rsidR="007C6854" w:rsidRDefault="00E0219E">
            <w:pPr>
              <w:spacing w:line="259" w:lineRule="auto"/>
              <w:jc w:val="center"/>
              <w:rPr>
                <w:rFonts w:eastAsia="Arial" w:cs="Arial"/>
                <w:szCs w:val="24"/>
              </w:rPr>
            </w:pPr>
            <w:r>
              <w:rPr>
                <w:rFonts w:eastAsia="Arial" w:cs="Arial"/>
                <w:szCs w:val="24"/>
              </w:rPr>
              <w:t>25.83</w:t>
            </w:r>
          </w:p>
        </w:tc>
      </w:tr>
      <w:tr w:rsidR="007C6854" w14:paraId="72821372" w14:textId="77777777" w:rsidTr="00A8068A">
        <w:tc>
          <w:tcPr>
            <w:tcW w:w="4605" w:type="dxa"/>
            <w:tcBorders>
              <w:top w:val="nil"/>
              <w:left w:val="nil"/>
              <w:bottom w:val="nil"/>
              <w:right w:val="nil"/>
            </w:tcBorders>
            <w:vAlign w:val="center"/>
          </w:tcPr>
          <w:p w14:paraId="04C06E5F" w14:textId="77777777" w:rsidR="007C6854" w:rsidRDefault="00E0219E">
            <w:pPr>
              <w:spacing w:line="259" w:lineRule="auto"/>
              <w:ind w:left="720"/>
              <w:rPr>
                <w:rFonts w:eastAsia="Arial" w:cs="Arial"/>
                <w:szCs w:val="24"/>
              </w:rPr>
            </w:pPr>
            <w:r>
              <w:rPr>
                <w:rFonts w:eastAsia="Arial" w:cs="Arial"/>
                <w:szCs w:val="24"/>
              </w:rPr>
              <w:t>Lower-Middle Income (Between P 19,040 to P 38,080)</w:t>
            </w:r>
          </w:p>
        </w:tc>
        <w:tc>
          <w:tcPr>
            <w:tcW w:w="2670" w:type="dxa"/>
            <w:tcBorders>
              <w:top w:val="nil"/>
              <w:left w:val="nil"/>
              <w:bottom w:val="nil"/>
              <w:right w:val="nil"/>
            </w:tcBorders>
            <w:vAlign w:val="center"/>
          </w:tcPr>
          <w:p w14:paraId="6556D9B3" w14:textId="77777777" w:rsidR="007C6854" w:rsidRDefault="00E0219E">
            <w:pPr>
              <w:spacing w:line="259" w:lineRule="auto"/>
              <w:jc w:val="center"/>
              <w:rPr>
                <w:rFonts w:eastAsia="Arial" w:cs="Arial"/>
                <w:szCs w:val="24"/>
              </w:rPr>
            </w:pPr>
            <w:r>
              <w:rPr>
                <w:rFonts w:eastAsia="Arial" w:cs="Arial"/>
                <w:szCs w:val="24"/>
              </w:rPr>
              <w:t>8</w:t>
            </w:r>
          </w:p>
        </w:tc>
        <w:tc>
          <w:tcPr>
            <w:tcW w:w="2095" w:type="dxa"/>
            <w:tcBorders>
              <w:top w:val="nil"/>
              <w:left w:val="nil"/>
              <w:bottom w:val="nil"/>
              <w:right w:val="nil"/>
            </w:tcBorders>
            <w:vAlign w:val="center"/>
          </w:tcPr>
          <w:p w14:paraId="4FEA81CA" w14:textId="77777777" w:rsidR="007C6854" w:rsidRDefault="00E0219E">
            <w:pPr>
              <w:spacing w:line="259" w:lineRule="auto"/>
              <w:jc w:val="center"/>
              <w:rPr>
                <w:rFonts w:eastAsia="Arial" w:cs="Arial"/>
                <w:szCs w:val="24"/>
              </w:rPr>
            </w:pPr>
            <w:r>
              <w:rPr>
                <w:rFonts w:eastAsia="Arial" w:cs="Arial"/>
                <w:szCs w:val="24"/>
              </w:rPr>
              <w:t>5.30</w:t>
            </w:r>
          </w:p>
        </w:tc>
      </w:tr>
      <w:tr w:rsidR="007C6854" w14:paraId="6B530B9D" w14:textId="77777777" w:rsidTr="00A8068A">
        <w:tc>
          <w:tcPr>
            <w:tcW w:w="4605" w:type="dxa"/>
            <w:tcBorders>
              <w:top w:val="nil"/>
              <w:left w:val="nil"/>
              <w:bottom w:val="single" w:sz="4" w:space="0" w:color="auto"/>
              <w:right w:val="nil"/>
            </w:tcBorders>
            <w:vAlign w:val="center"/>
          </w:tcPr>
          <w:p w14:paraId="0331004B" w14:textId="77777777" w:rsidR="007C6854" w:rsidRDefault="00E0219E">
            <w:pPr>
              <w:spacing w:line="259" w:lineRule="auto"/>
              <w:ind w:left="720"/>
              <w:rPr>
                <w:rFonts w:eastAsia="Arial" w:cs="Arial"/>
                <w:szCs w:val="24"/>
              </w:rPr>
            </w:pPr>
            <w:r>
              <w:rPr>
                <w:rFonts w:eastAsia="Arial" w:cs="Arial"/>
                <w:szCs w:val="24"/>
              </w:rPr>
              <w:t>Missing</w:t>
            </w:r>
          </w:p>
        </w:tc>
        <w:tc>
          <w:tcPr>
            <w:tcW w:w="2670" w:type="dxa"/>
            <w:tcBorders>
              <w:top w:val="nil"/>
              <w:left w:val="nil"/>
              <w:bottom w:val="single" w:sz="4" w:space="0" w:color="auto"/>
              <w:right w:val="nil"/>
            </w:tcBorders>
            <w:vAlign w:val="center"/>
          </w:tcPr>
          <w:p w14:paraId="09E4E4BD" w14:textId="77777777" w:rsidR="007C6854" w:rsidRDefault="00E0219E">
            <w:pPr>
              <w:spacing w:line="259" w:lineRule="auto"/>
              <w:jc w:val="center"/>
              <w:rPr>
                <w:rFonts w:eastAsia="Arial" w:cs="Arial"/>
                <w:szCs w:val="24"/>
              </w:rPr>
            </w:pPr>
            <w:r>
              <w:rPr>
                <w:rFonts w:eastAsia="Arial" w:cs="Arial"/>
                <w:szCs w:val="24"/>
              </w:rPr>
              <w:t>2</w:t>
            </w:r>
          </w:p>
        </w:tc>
        <w:tc>
          <w:tcPr>
            <w:tcW w:w="2095" w:type="dxa"/>
            <w:tcBorders>
              <w:top w:val="nil"/>
              <w:left w:val="nil"/>
              <w:bottom w:val="single" w:sz="4" w:space="0" w:color="auto"/>
              <w:right w:val="nil"/>
            </w:tcBorders>
            <w:vAlign w:val="center"/>
          </w:tcPr>
          <w:p w14:paraId="2D27CF93" w14:textId="77777777" w:rsidR="007C6854" w:rsidRDefault="00E0219E">
            <w:pPr>
              <w:spacing w:line="259" w:lineRule="auto"/>
              <w:jc w:val="center"/>
              <w:rPr>
                <w:rFonts w:eastAsia="Arial" w:cs="Arial"/>
                <w:szCs w:val="24"/>
              </w:rPr>
            </w:pPr>
            <w:r>
              <w:rPr>
                <w:rFonts w:eastAsia="Arial" w:cs="Arial"/>
                <w:szCs w:val="24"/>
              </w:rPr>
              <w:t>1.32</w:t>
            </w:r>
          </w:p>
        </w:tc>
      </w:tr>
    </w:tbl>
    <w:p w14:paraId="2FCFBCB7" w14:textId="4F1D2653" w:rsidR="007C6854" w:rsidRPr="00F362B2" w:rsidRDefault="00E0219E" w:rsidP="00F362B2">
      <w:pPr>
        <w:pStyle w:val="Heading2"/>
        <w:spacing w:line="480" w:lineRule="auto"/>
        <w:rPr>
          <w:rFonts w:eastAsia="Arial" w:cs="Arial"/>
          <w:sz w:val="24"/>
          <w:szCs w:val="24"/>
        </w:rPr>
      </w:pPr>
      <w:bookmarkStart w:id="55" w:name="_heading=h.spmzao2zrali" w:colFirst="0" w:colLast="0"/>
      <w:bookmarkStart w:id="56" w:name="_heading=h.2lwamvv" w:colFirst="0" w:colLast="0"/>
      <w:bookmarkEnd w:id="55"/>
      <w:bookmarkEnd w:id="56"/>
      <w:r>
        <w:rPr>
          <w:rFonts w:eastAsia="Arial" w:cs="Arial"/>
          <w:sz w:val="24"/>
          <w:szCs w:val="24"/>
        </w:rPr>
        <w:t>Prevalence of Hypertension among urban poor settlers</w:t>
      </w:r>
    </w:p>
    <w:p w14:paraId="4F878BCD" w14:textId="77777777" w:rsidR="007C6854" w:rsidRDefault="00E0219E" w:rsidP="00113E43">
      <w:pPr>
        <w:spacing w:after="160" w:line="480" w:lineRule="auto"/>
        <w:ind w:firstLine="720"/>
        <w:jc w:val="both"/>
        <w:rPr>
          <w:rFonts w:eastAsia="Arial" w:cs="Arial"/>
          <w:szCs w:val="24"/>
        </w:rPr>
      </w:pPr>
      <w:r>
        <w:rPr>
          <w:rFonts w:eastAsia="Arial" w:cs="Arial"/>
          <w:szCs w:val="24"/>
        </w:rPr>
        <w:t>The researcher did not measure blood pressure but instead utilized proxy indicators from different survey tools used in estimating blood pressure prevalence in a population (CDC, n.d.; WHO, 2005).</w:t>
      </w:r>
      <w:r>
        <w:rPr>
          <w:rFonts w:eastAsia="Arial" w:cs="Arial"/>
          <w:b/>
          <w:szCs w:val="24"/>
        </w:rPr>
        <w:t xml:space="preserve"> </w:t>
      </w:r>
      <w:r>
        <w:rPr>
          <w:rFonts w:eastAsia="Arial" w:cs="Arial"/>
          <w:szCs w:val="24"/>
        </w:rPr>
        <w:t xml:space="preserve">Blood pressure is commonly measured because of the risk of COVID-19 virus infection. The researcher decides not to get a BP measurement but rather to ask for proxy measures that will somehow determine if the respondent has hypertension or not. Blood pressure was measured by asking the respondents about their history of BP, having been advised by a physician or other health professional that he/she had high blood pressure, or having taken antihypertensive medication. Using these parameters, hypertension among respondents was established in this research. </w:t>
      </w:r>
    </w:p>
    <w:p w14:paraId="1E0B10B7" w14:textId="77777777" w:rsidR="007C6854" w:rsidRDefault="00000000" w:rsidP="00113E43">
      <w:pPr>
        <w:spacing w:after="160" w:line="480" w:lineRule="auto"/>
        <w:ind w:firstLine="720"/>
        <w:jc w:val="both"/>
        <w:rPr>
          <w:rFonts w:eastAsia="Arial" w:cs="Arial"/>
          <w:szCs w:val="24"/>
        </w:rPr>
      </w:pPr>
      <w:sdt>
        <w:sdtPr>
          <w:tag w:val="goog_rdk_11"/>
          <w:id w:val="-1788804383"/>
        </w:sdtPr>
        <w:sdtContent>
          <w:r w:rsidR="00E0219E">
            <w:rPr>
              <w:rFonts w:ascii="Arial Unicode MS" w:eastAsia="Arial Unicode MS" w:hAnsi="Arial Unicode MS" w:cs="Arial Unicode MS"/>
              <w:szCs w:val="24"/>
            </w:rPr>
            <w:t xml:space="preserve">Most respondents reported having HPN or having a blood pressure of ≥140 and/or ≥90 mm Hg (Table 5). Table 5 and Table 6 showed the frequency and percentage of reported blood pressure measurements that were classified based on </w:t>
          </w:r>
          <w:r w:rsidR="00E0219E">
            <w:rPr>
              <w:rFonts w:ascii="Arial Unicode MS" w:eastAsia="Arial Unicode MS" w:hAnsi="Arial Unicode MS" w:cs="Arial Unicode MS"/>
              <w:szCs w:val="24"/>
            </w:rPr>
            <w:lastRenderedPageBreak/>
            <w:t xml:space="preserve">the International Society of Hypertension (ISH) blood pressure classification. The result showed that 66% of the respondents had grade 2 hypertension (Table 6). Hypertension is one of the leading causes of disease globally (WHO, n.d.; WHO, 2009; WHO, 2011; WHO, 2021; Mills, K.T. et al., 2016). The observation from this research was consistent with the literature review result, indicating that hypertension prevalence in the Philippines is consistently included in the top 10 causes of morbidity and mortality according to the 2019 Philippine Health Statistics. (DOH, 2019) Meanwhile, in Pateros, the sequelae effect of hypertension was high; for example, death due to cerebrovascular disease is at 45.9 per 100,000 population, and disease of the heart is at 148 per 100,000 population. (DOH, 2019, p. 161) The result of the research in the communities of </w:t>
          </w:r>
          <w:proofErr w:type="spellStart"/>
          <w:r w:rsidR="00E0219E">
            <w:rPr>
              <w:rFonts w:ascii="Arial Unicode MS" w:eastAsia="Arial Unicode MS" w:hAnsi="Arial Unicode MS" w:cs="Arial Unicode MS"/>
              <w:szCs w:val="24"/>
            </w:rPr>
            <w:t>Bukuhan</w:t>
          </w:r>
          <w:proofErr w:type="spellEnd"/>
          <w:r w:rsidR="00E0219E">
            <w:rPr>
              <w:rFonts w:ascii="Arial Unicode MS" w:eastAsia="Arial Unicode MS" w:hAnsi="Arial Unicode MS" w:cs="Arial Unicode MS"/>
              <w:szCs w:val="24"/>
            </w:rPr>
            <w:t xml:space="preserve">, Pateros, and the whole Municipality is vital. Given that most of the surveyed participants were older individuals, severe HPN is common among the elderly (Ghazi et al., 2022). However, hypertension may also be high among lower groups (WHO, 2011; Mills, K.T., et al., 2016; </w:t>
          </w:r>
          <w:proofErr w:type="spellStart"/>
          <w:r w:rsidR="00E0219E">
            <w:rPr>
              <w:rFonts w:ascii="Arial Unicode MS" w:eastAsia="Arial Unicode MS" w:hAnsi="Arial Unicode MS" w:cs="Arial Unicode MS"/>
              <w:szCs w:val="24"/>
            </w:rPr>
            <w:t>Khajedaluee</w:t>
          </w:r>
          <w:proofErr w:type="spellEnd"/>
          <w:r w:rsidR="00E0219E">
            <w:rPr>
              <w:rFonts w:ascii="Arial Unicode MS" w:eastAsia="Arial Unicode MS" w:hAnsi="Arial Unicode MS" w:cs="Arial Unicode MS"/>
              <w:szCs w:val="24"/>
            </w:rPr>
            <w:t xml:space="preserve">, M., et al., 2016; FNRI, 2018). Globally, premature deaths due to hypertension are high. (WHO, 2023) Regardless of age, hypertension could be delayed or controlled if it is detected early in life. More so, the assessment of the hypertension status of individuals should be monitored, especially in a community where high urbanization is observed, such as the Community of </w:t>
          </w:r>
          <w:proofErr w:type="spellStart"/>
          <w:r w:rsidR="00E0219E">
            <w:rPr>
              <w:rFonts w:ascii="Arial Unicode MS" w:eastAsia="Arial Unicode MS" w:hAnsi="Arial Unicode MS" w:cs="Arial Unicode MS"/>
              <w:szCs w:val="24"/>
            </w:rPr>
            <w:t>Bukuhan</w:t>
          </w:r>
          <w:proofErr w:type="spellEnd"/>
          <w:r w:rsidR="00E0219E">
            <w:rPr>
              <w:rFonts w:ascii="Arial Unicode MS" w:eastAsia="Arial Unicode MS" w:hAnsi="Arial Unicode MS" w:cs="Arial Unicode MS"/>
              <w:szCs w:val="24"/>
            </w:rPr>
            <w:t xml:space="preserve">. The interesting information gathered through this research was that in the past 12 months, the number of identified individuals with hypertension was high (n = 129, 85.4%), and about 143 (95%) respondents were told by a health professional. These two pieces of information were corroborated by the noted remarks of respondents during the interview. The interesting information was that some respondents were seeking consultation for the first time during the COVID-19 pandemic and had taken their BP, and most of them reported a notable increase in </w:t>
          </w:r>
          <w:r w:rsidR="00E0219E">
            <w:rPr>
              <w:rFonts w:ascii="Arial Unicode MS" w:eastAsia="Arial Unicode MS" w:hAnsi="Arial Unicode MS" w:cs="Arial Unicode MS"/>
              <w:szCs w:val="24"/>
            </w:rPr>
            <w:lastRenderedPageBreak/>
            <w:t xml:space="preserve">their blood pressure. Some of them knew that they had high BP when they had their COVID immunization, and most of the respondents who experienced it belong to the lower age group. The information could be coincidental or factual. The COVID-19 pandemic changes the lifestyle of most individuals; that could be a true reflection of the effects of lockdown or maybe a change in the healthy habits of individuals during the pandemic period (Gotanda et al., 2022; Knell et al., 2020). Further, the study of Feitosa et al. (2022) suggests that the high prevalence of hypertension during the COVID-19 pandemic is due to not being able to take medication against high blood pressure. In addition, comorbidities such as hypertension severed COVID-19 among hospitalized patients, and the pandemic itself increased hypertension prevalence (Stephanie Watson, 2022; Shibata et al., 2023; </w:t>
          </w:r>
          <w:proofErr w:type="spellStart"/>
          <w:r w:rsidR="00E0219E">
            <w:rPr>
              <w:rFonts w:ascii="Arial Unicode MS" w:eastAsia="Arial Unicode MS" w:hAnsi="Arial Unicode MS" w:cs="Arial Unicode MS"/>
              <w:szCs w:val="24"/>
            </w:rPr>
            <w:t>Kargiannidis</w:t>
          </w:r>
          <w:proofErr w:type="spellEnd"/>
          <w:r w:rsidR="00E0219E">
            <w:rPr>
              <w:rFonts w:ascii="Arial Unicode MS" w:eastAsia="Arial Unicode MS" w:hAnsi="Arial Unicode MS" w:cs="Arial Unicode MS"/>
              <w:szCs w:val="24"/>
            </w:rPr>
            <w:t xml:space="preserve"> et al., 2022).</w:t>
          </w:r>
        </w:sdtContent>
      </w:sdt>
    </w:p>
    <w:p w14:paraId="298CFCC5" w14:textId="77777777" w:rsidR="007C6854" w:rsidRDefault="00E0219E">
      <w:pPr>
        <w:spacing w:after="160" w:line="360" w:lineRule="auto"/>
        <w:rPr>
          <w:rFonts w:eastAsia="Arial" w:cs="Arial"/>
          <w:b/>
          <w:szCs w:val="24"/>
        </w:rPr>
      </w:pPr>
      <w:r>
        <w:rPr>
          <w:rFonts w:eastAsia="Arial" w:cs="Arial"/>
          <w:b/>
          <w:szCs w:val="24"/>
        </w:rPr>
        <w:t>Table 5</w:t>
      </w:r>
    </w:p>
    <w:p w14:paraId="20C9E590" w14:textId="77777777" w:rsidR="007C6854" w:rsidRDefault="00E0219E">
      <w:pPr>
        <w:spacing w:after="160" w:line="360" w:lineRule="auto"/>
        <w:jc w:val="both"/>
        <w:rPr>
          <w:rFonts w:eastAsia="Arial" w:cs="Arial"/>
          <w:i/>
          <w:szCs w:val="24"/>
        </w:rPr>
      </w:pPr>
      <w:r>
        <w:rPr>
          <w:rFonts w:eastAsia="Arial" w:cs="Arial"/>
          <w:i/>
          <w:szCs w:val="24"/>
        </w:rPr>
        <w:t>Distribution of Frequency and Percentage of Respondents with and without Hypertension based on the International Society of Hypertension (N = 151)</w:t>
      </w:r>
    </w:p>
    <w:tbl>
      <w:tblPr>
        <w:tblStyle w:val="afff5"/>
        <w:tblW w:w="9360" w:type="dxa"/>
        <w:tblLayout w:type="fixed"/>
        <w:tblLook w:val="0400" w:firstRow="0" w:lastRow="0" w:firstColumn="0" w:lastColumn="0" w:noHBand="0" w:noVBand="1"/>
      </w:tblPr>
      <w:tblGrid>
        <w:gridCol w:w="3524"/>
        <w:gridCol w:w="2918"/>
        <w:gridCol w:w="2918"/>
      </w:tblGrid>
      <w:tr w:rsidR="007C6854" w14:paraId="7EE597B1" w14:textId="77777777" w:rsidTr="001D2966">
        <w:tc>
          <w:tcPr>
            <w:tcW w:w="3524" w:type="dxa"/>
            <w:tcBorders>
              <w:top w:val="single" w:sz="4" w:space="0" w:color="auto"/>
              <w:bottom w:val="single" w:sz="4" w:space="0" w:color="auto"/>
            </w:tcBorders>
            <w:vAlign w:val="center"/>
          </w:tcPr>
          <w:p w14:paraId="7C78908A" w14:textId="77777777" w:rsidR="007C6854" w:rsidRDefault="00E0219E">
            <w:pPr>
              <w:spacing w:line="259" w:lineRule="auto"/>
              <w:rPr>
                <w:rFonts w:eastAsia="Arial" w:cs="Arial"/>
                <w:szCs w:val="24"/>
              </w:rPr>
            </w:pPr>
            <w:r>
              <w:rPr>
                <w:rFonts w:eastAsia="Arial" w:cs="Arial"/>
                <w:szCs w:val="24"/>
              </w:rPr>
              <w:t>Respondents with or without HPN</w:t>
            </w:r>
          </w:p>
        </w:tc>
        <w:tc>
          <w:tcPr>
            <w:tcW w:w="2918" w:type="dxa"/>
            <w:tcBorders>
              <w:top w:val="single" w:sz="4" w:space="0" w:color="auto"/>
              <w:bottom w:val="single" w:sz="4" w:space="0" w:color="auto"/>
            </w:tcBorders>
            <w:vAlign w:val="center"/>
          </w:tcPr>
          <w:p w14:paraId="384DE60F" w14:textId="77777777" w:rsidR="007C6854" w:rsidRDefault="00E0219E">
            <w:pPr>
              <w:spacing w:line="259" w:lineRule="auto"/>
              <w:jc w:val="center"/>
              <w:rPr>
                <w:rFonts w:eastAsia="Arial" w:cs="Arial"/>
                <w:szCs w:val="24"/>
              </w:rPr>
            </w:pPr>
            <w:r>
              <w:rPr>
                <w:rFonts w:eastAsia="Arial" w:cs="Arial"/>
                <w:szCs w:val="24"/>
              </w:rPr>
              <w:t>Frequency (N = 151)</w:t>
            </w:r>
          </w:p>
        </w:tc>
        <w:tc>
          <w:tcPr>
            <w:tcW w:w="2918" w:type="dxa"/>
            <w:tcBorders>
              <w:top w:val="single" w:sz="4" w:space="0" w:color="auto"/>
              <w:bottom w:val="single" w:sz="4" w:space="0" w:color="auto"/>
            </w:tcBorders>
            <w:vAlign w:val="center"/>
          </w:tcPr>
          <w:p w14:paraId="1F7FA4E5" w14:textId="77777777" w:rsidR="007C6854" w:rsidRDefault="00E0219E">
            <w:pPr>
              <w:spacing w:line="259" w:lineRule="auto"/>
              <w:jc w:val="center"/>
              <w:rPr>
                <w:rFonts w:eastAsia="Arial" w:cs="Arial"/>
                <w:szCs w:val="24"/>
              </w:rPr>
            </w:pPr>
            <w:r>
              <w:rPr>
                <w:rFonts w:eastAsia="Arial" w:cs="Arial"/>
                <w:szCs w:val="24"/>
              </w:rPr>
              <w:t>Percentage (%)</w:t>
            </w:r>
          </w:p>
        </w:tc>
      </w:tr>
      <w:tr w:rsidR="007C6854" w14:paraId="252E3966" w14:textId="77777777" w:rsidTr="001D2966">
        <w:tc>
          <w:tcPr>
            <w:tcW w:w="3524" w:type="dxa"/>
            <w:tcBorders>
              <w:top w:val="single" w:sz="4" w:space="0" w:color="auto"/>
            </w:tcBorders>
          </w:tcPr>
          <w:p w14:paraId="48F94B79" w14:textId="77777777" w:rsidR="007C6854" w:rsidRDefault="00E0219E">
            <w:pPr>
              <w:spacing w:line="259" w:lineRule="auto"/>
              <w:rPr>
                <w:rFonts w:eastAsia="Arial" w:cs="Arial"/>
                <w:szCs w:val="24"/>
              </w:rPr>
            </w:pPr>
            <w:r>
              <w:rPr>
                <w:rFonts w:eastAsia="Arial" w:cs="Arial"/>
                <w:szCs w:val="24"/>
              </w:rPr>
              <w:t>Without HPN</w:t>
            </w:r>
          </w:p>
        </w:tc>
        <w:tc>
          <w:tcPr>
            <w:tcW w:w="2918" w:type="dxa"/>
            <w:tcBorders>
              <w:top w:val="single" w:sz="4" w:space="0" w:color="auto"/>
            </w:tcBorders>
          </w:tcPr>
          <w:p w14:paraId="1ED149A2" w14:textId="77777777" w:rsidR="007C6854" w:rsidRDefault="00E0219E">
            <w:pPr>
              <w:spacing w:line="259" w:lineRule="auto"/>
              <w:jc w:val="center"/>
              <w:rPr>
                <w:rFonts w:eastAsia="Arial" w:cs="Arial"/>
                <w:szCs w:val="24"/>
              </w:rPr>
            </w:pPr>
            <w:r>
              <w:rPr>
                <w:rFonts w:eastAsia="Arial" w:cs="Arial"/>
                <w:szCs w:val="24"/>
              </w:rPr>
              <w:t>15</w:t>
            </w:r>
          </w:p>
        </w:tc>
        <w:tc>
          <w:tcPr>
            <w:tcW w:w="2918" w:type="dxa"/>
            <w:tcBorders>
              <w:top w:val="single" w:sz="4" w:space="0" w:color="auto"/>
            </w:tcBorders>
          </w:tcPr>
          <w:p w14:paraId="5E029C2C" w14:textId="77777777" w:rsidR="007C6854" w:rsidRDefault="00E0219E">
            <w:pPr>
              <w:spacing w:line="259" w:lineRule="auto"/>
              <w:jc w:val="center"/>
              <w:rPr>
                <w:rFonts w:eastAsia="Arial" w:cs="Arial"/>
                <w:szCs w:val="24"/>
              </w:rPr>
            </w:pPr>
            <w:r>
              <w:rPr>
                <w:rFonts w:eastAsia="Arial" w:cs="Arial"/>
                <w:szCs w:val="24"/>
              </w:rPr>
              <w:t>9.93</w:t>
            </w:r>
          </w:p>
        </w:tc>
      </w:tr>
      <w:tr w:rsidR="007C6854" w14:paraId="7C1304B1" w14:textId="77777777" w:rsidTr="001D2966">
        <w:tc>
          <w:tcPr>
            <w:tcW w:w="3524" w:type="dxa"/>
            <w:tcBorders>
              <w:bottom w:val="single" w:sz="4" w:space="0" w:color="auto"/>
            </w:tcBorders>
          </w:tcPr>
          <w:p w14:paraId="795CC9BB" w14:textId="77777777" w:rsidR="007C6854" w:rsidRDefault="00E0219E">
            <w:pPr>
              <w:spacing w:line="259" w:lineRule="auto"/>
              <w:rPr>
                <w:rFonts w:eastAsia="Arial" w:cs="Arial"/>
                <w:szCs w:val="24"/>
              </w:rPr>
            </w:pPr>
            <w:r>
              <w:rPr>
                <w:rFonts w:eastAsia="Arial" w:cs="Arial"/>
                <w:szCs w:val="24"/>
              </w:rPr>
              <w:t>With HPN</w:t>
            </w:r>
          </w:p>
        </w:tc>
        <w:tc>
          <w:tcPr>
            <w:tcW w:w="2918" w:type="dxa"/>
            <w:tcBorders>
              <w:bottom w:val="single" w:sz="4" w:space="0" w:color="auto"/>
            </w:tcBorders>
          </w:tcPr>
          <w:p w14:paraId="77B3F64E" w14:textId="77777777" w:rsidR="007C6854" w:rsidRDefault="00E0219E">
            <w:pPr>
              <w:spacing w:line="259" w:lineRule="auto"/>
              <w:jc w:val="center"/>
              <w:rPr>
                <w:rFonts w:eastAsia="Arial" w:cs="Arial"/>
                <w:szCs w:val="24"/>
              </w:rPr>
            </w:pPr>
            <w:r>
              <w:rPr>
                <w:rFonts w:eastAsia="Arial" w:cs="Arial"/>
                <w:szCs w:val="24"/>
              </w:rPr>
              <w:t>136</w:t>
            </w:r>
          </w:p>
        </w:tc>
        <w:tc>
          <w:tcPr>
            <w:tcW w:w="2918" w:type="dxa"/>
            <w:tcBorders>
              <w:bottom w:val="single" w:sz="4" w:space="0" w:color="auto"/>
            </w:tcBorders>
          </w:tcPr>
          <w:p w14:paraId="4DFCF36A" w14:textId="77777777" w:rsidR="007C6854" w:rsidRDefault="00E0219E">
            <w:pPr>
              <w:spacing w:line="259" w:lineRule="auto"/>
              <w:jc w:val="center"/>
              <w:rPr>
                <w:rFonts w:eastAsia="Arial" w:cs="Arial"/>
                <w:szCs w:val="24"/>
              </w:rPr>
            </w:pPr>
            <w:r>
              <w:rPr>
                <w:rFonts w:eastAsia="Arial" w:cs="Arial"/>
                <w:szCs w:val="24"/>
              </w:rPr>
              <w:t>90.07</w:t>
            </w:r>
          </w:p>
        </w:tc>
      </w:tr>
    </w:tbl>
    <w:p w14:paraId="479554C9" w14:textId="77777777" w:rsidR="007C6854" w:rsidRDefault="007C6854">
      <w:pPr>
        <w:spacing w:after="160" w:line="360" w:lineRule="auto"/>
        <w:rPr>
          <w:rFonts w:eastAsia="Arial" w:cs="Arial"/>
          <w:b/>
          <w:szCs w:val="24"/>
        </w:rPr>
      </w:pPr>
    </w:p>
    <w:p w14:paraId="289BCED0" w14:textId="77777777" w:rsidR="001D2966" w:rsidRDefault="001D2966">
      <w:pPr>
        <w:rPr>
          <w:rFonts w:eastAsia="Arial" w:cs="Arial"/>
          <w:b/>
          <w:szCs w:val="24"/>
        </w:rPr>
      </w:pPr>
      <w:r>
        <w:rPr>
          <w:rFonts w:eastAsia="Arial" w:cs="Arial"/>
          <w:b/>
          <w:szCs w:val="24"/>
        </w:rPr>
        <w:br w:type="page"/>
      </w:r>
    </w:p>
    <w:p w14:paraId="46E277FD" w14:textId="5C9A5AD7" w:rsidR="007C6854" w:rsidRDefault="00E0219E">
      <w:pPr>
        <w:spacing w:after="160" w:line="360" w:lineRule="auto"/>
        <w:rPr>
          <w:rFonts w:eastAsia="Arial" w:cs="Arial"/>
          <w:b/>
          <w:szCs w:val="24"/>
        </w:rPr>
      </w:pPr>
      <w:r>
        <w:rPr>
          <w:rFonts w:eastAsia="Arial" w:cs="Arial"/>
          <w:b/>
          <w:szCs w:val="24"/>
        </w:rPr>
        <w:lastRenderedPageBreak/>
        <w:t xml:space="preserve">Table 6: </w:t>
      </w:r>
    </w:p>
    <w:p w14:paraId="79220976" w14:textId="77777777" w:rsidR="007C6854" w:rsidRDefault="00E0219E">
      <w:pPr>
        <w:spacing w:after="160" w:line="360" w:lineRule="auto"/>
        <w:jc w:val="both"/>
        <w:rPr>
          <w:rFonts w:eastAsia="Arial" w:cs="Arial"/>
          <w:i/>
          <w:szCs w:val="24"/>
        </w:rPr>
      </w:pPr>
      <w:r>
        <w:rPr>
          <w:rFonts w:eastAsia="Arial" w:cs="Arial"/>
          <w:i/>
          <w:szCs w:val="24"/>
        </w:rPr>
        <w:t>Frequency and Percentage Distribution of Reported History of Blood Pressure taken in the past among Respondents by Blood Pressure Classification according to the International Society of Hypertension (N = 151)</w:t>
      </w:r>
    </w:p>
    <w:tbl>
      <w:tblPr>
        <w:tblStyle w:val="afff6"/>
        <w:tblW w:w="9067" w:type="dxa"/>
        <w:tblLayout w:type="fixed"/>
        <w:tblLook w:val="0400" w:firstRow="0" w:lastRow="0" w:firstColumn="0" w:lastColumn="0" w:noHBand="0" w:noVBand="1"/>
      </w:tblPr>
      <w:tblGrid>
        <w:gridCol w:w="4248"/>
        <w:gridCol w:w="2409"/>
        <w:gridCol w:w="2410"/>
      </w:tblGrid>
      <w:tr w:rsidR="007C6854" w14:paraId="0CB3411C" w14:textId="77777777" w:rsidTr="006D2678">
        <w:tc>
          <w:tcPr>
            <w:tcW w:w="4248" w:type="dxa"/>
            <w:tcBorders>
              <w:top w:val="single" w:sz="4" w:space="0" w:color="auto"/>
              <w:bottom w:val="single" w:sz="4" w:space="0" w:color="auto"/>
            </w:tcBorders>
          </w:tcPr>
          <w:p w14:paraId="29D1EAEE" w14:textId="77777777" w:rsidR="007C6854" w:rsidRDefault="00E0219E">
            <w:pPr>
              <w:spacing w:line="259" w:lineRule="auto"/>
              <w:jc w:val="center"/>
              <w:rPr>
                <w:rFonts w:eastAsia="Arial" w:cs="Arial"/>
                <w:szCs w:val="24"/>
              </w:rPr>
            </w:pPr>
            <w:r>
              <w:rPr>
                <w:rFonts w:eastAsia="Arial" w:cs="Arial"/>
                <w:szCs w:val="24"/>
              </w:rPr>
              <w:t>Blood Pressure Classification</w:t>
            </w:r>
          </w:p>
        </w:tc>
        <w:tc>
          <w:tcPr>
            <w:tcW w:w="2409" w:type="dxa"/>
            <w:tcBorders>
              <w:top w:val="single" w:sz="4" w:space="0" w:color="auto"/>
              <w:bottom w:val="single" w:sz="4" w:space="0" w:color="auto"/>
            </w:tcBorders>
          </w:tcPr>
          <w:p w14:paraId="752E7810" w14:textId="77777777" w:rsidR="007C6854" w:rsidRDefault="00E0219E">
            <w:pPr>
              <w:spacing w:line="259" w:lineRule="auto"/>
              <w:jc w:val="center"/>
              <w:rPr>
                <w:rFonts w:eastAsia="Arial" w:cs="Arial"/>
                <w:szCs w:val="24"/>
              </w:rPr>
            </w:pPr>
            <w:r>
              <w:rPr>
                <w:rFonts w:eastAsia="Arial" w:cs="Arial"/>
                <w:szCs w:val="24"/>
              </w:rPr>
              <w:t>Frequency</w:t>
            </w:r>
          </w:p>
        </w:tc>
        <w:tc>
          <w:tcPr>
            <w:tcW w:w="2410" w:type="dxa"/>
            <w:tcBorders>
              <w:top w:val="single" w:sz="4" w:space="0" w:color="auto"/>
              <w:bottom w:val="single" w:sz="4" w:space="0" w:color="auto"/>
            </w:tcBorders>
          </w:tcPr>
          <w:p w14:paraId="12C0E238" w14:textId="77777777" w:rsidR="007C6854" w:rsidRDefault="00E0219E">
            <w:pPr>
              <w:spacing w:line="259" w:lineRule="auto"/>
              <w:jc w:val="center"/>
              <w:rPr>
                <w:rFonts w:eastAsia="Arial" w:cs="Arial"/>
                <w:szCs w:val="24"/>
              </w:rPr>
            </w:pPr>
            <w:r>
              <w:rPr>
                <w:rFonts w:eastAsia="Arial" w:cs="Arial"/>
                <w:szCs w:val="24"/>
              </w:rPr>
              <w:t>Percentage</w:t>
            </w:r>
          </w:p>
        </w:tc>
      </w:tr>
      <w:tr w:rsidR="007C6854" w14:paraId="3317186B" w14:textId="77777777" w:rsidTr="006D2678">
        <w:tc>
          <w:tcPr>
            <w:tcW w:w="4248" w:type="dxa"/>
            <w:tcBorders>
              <w:top w:val="single" w:sz="4" w:space="0" w:color="auto"/>
            </w:tcBorders>
          </w:tcPr>
          <w:p w14:paraId="53D57C94" w14:textId="77777777" w:rsidR="007C6854" w:rsidRDefault="00E0219E">
            <w:pPr>
              <w:spacing w:line="259" w:lineRule="auto"/>
              <w:rPr>
                <w:rFonts w:eastAsia="Arial" w:cs="Arial"/>
                <w:szCs w:val="24"/>
              </w:rPr>
            </w:pPr>
            <w:r>
              <w:rPr>
                <w:rFonts w:eastAsia="Arial" w:cs="Arial"/>
                <w:szCs w:val="24"/>
              </w:rPr>
              <w:t>Normal BP</w:t>
            </w:r>
          </w:p>
        </w:tc>
        <w:tc>
          <w:tcPr>
            <w:tcW w:w="2409" w:type="dxa"/>
            <w:tcBorders>
              <w:top w:val="single" w:sz="4" w:space="0" w:color="auto"/>
            </w:tcBorders>
          </w:tcPr>
          <w:p w14:paraId="40191674" w14:textId="77777777" w:rsidR="007C6854" w:rsidRDefault="00E0219E">
            <w:pPr>
              <w:spacing w:line="259" w:lineRule="auto"/>
              <w:jc w:val="center"/>
              <w:rPr>
                <w:rFonts w:eastAsia="Arial" w:cs="Arial"/>
                <w:szCs w:val="24"/>
              </w:rPr>
            </w:pPr>
            <w:r>
              <w:rPr>
                <w:rFonts w:eastAsia="Arial" w:cs="Arial"/>
                <w:szCs w:val="24"/>
              </w:rPr>
              <w:t>9</w:t>
            </w:r>
          </w:p>
        </w:tc>
        <w:tc>
          <w:tcPr>
            <w:tcW w:w="2410" w:type="dxa"/>
            <w:tcBorders>
              <w:top w:val="single" w:sz="4" w:space="0" w:color="auto"/>
            </w:tcBorders>
          </w:tcPr>
          <w:p w14:paraId="1D7F2E12" w14:textId="77777777" w:rsidR="007C6854" w:rsidRDefault="00E0219E">
            <w:pPr>
              <w:spacing w:line="259" w:lineRule="auto"/>
              <w:jc w:val="center"/>
              <w:rPr>
                <w:rFonts w:eastAsia="Arial" w:cs="Arial"/>
                <w:szCs w:val="24"/>
              </w:rPr>
            </w:pPr>
            <w:r>
              <w:rPr>
                <w:rFonts w:eastAsia="Arial" w:cs="Arial"/>
                <w:szCs w:val="24"/>
              </w:rPr>
              <w:t>5.96</w:t>
            </w:r>
          </w:p>
        </w:tc>
      </w:tr>
      <w:tr w:rsidR="007C6854" w14:paraId="46CF6840" w14:textId="77777777" w:rsidTr="006D2678">
        <w:tc>
          <w:tcPr>
            <w:tcW w:w="4248" w:type="dxa"/>
          </w:tcPr>
          <w:p w14:paraId="18109D56" w14:textId="77777777" w:rsidR="007C6854" w:rsidRDefault="00E0219E">
            <w:pPr>
              <w:spacing w:line="259" w:lineRule="auto"/>
              <w:rPr>
                <w:rFonts w:eastAsia="Arial" w:cs="Arial"/>
                <w:szCs w:val="24"/>
              </w:rPr>
            </w:pPr>
            <w:r>
              <w:rPr>
                <w:rFonts w:eastAsia="Arial" w:cs="Arial"/>
                <w:szCs w:val="24"/>
              </w:rPr>
              <w:t>High-Normal BP</w:t>
            </w:r>
          </w:p>
        </w:tc>
        <w:tc>
          <w:tcPr>
            <w:tcW w:w="2409" w:type="dxa"/>
          </w:tcPr>
          <w:p w14:paraId="5070A543" w14:textId="77777777" w:rsidR="007C6854" w:rsidRDefault="00E0219E">
            <w:pPr>
              <w:spacing w:line="259" w:lineRule="auto"/>
              <w:jc w:val="center"/>
              <w:rPr>
                <w:rFonts w:eastAsia="Arial" w:cs="Arial"/>
                <w:szCs w:val="24"/>
              </w:rPr>
            </w:pPr>
            <w:r>
              <w:rPr>
                <w:rFonts w:eastAsia="Arial" w:cs="Arial"/>
                <w:szCs w:val="24"/>
              </w:rPr>
              <w:t>6</w:t>
            </w:r>
          </w:p>
        </w:tc>
        <w:tc>
          <w:tcPr>
            <w:tcW w:w="2410" w:type="dxa"/>
          </w:tcPr>
          <w:p w14:paraId="0C80DDF3" w14:textId="77777777" w:rsidR="007C6854" w:rsidRDefault="00E0219E">
            <w:pPr>
              <w:spacing w:line="259" w:lineRule="auto"/>
              <w:jc w:val="center"/>
              <w:rPr>
                <w:rFonts w:eastAsia="Arial" w:cs="Arial"/>
                <w:szCs w:val="24"/>
              </w:rPr>
            </w:pPr>
            <w:r>
              <w:rPr>
                <w:rFonts w:eastAsia="Arial" w:cs="Arial"/>
                <w:szCs w:val="24"/>
              </w:rPr>
              <w:t>3.97</w:t>
            </w:r>
          </w:p>
        </w:tc>
      </w:tr>
      <w:tr w:rsidR="007C6854" w14:paraId="372FACA5" w14:textId="77777777" w:rsidTr="006D2678">
        <w:tc>
          <w:tcPr>
            <w:tcW w:w="4248" w:type="dxa"/>
          </w:tcPr>
          <w:p w14:paraId="1DDF4933" w14:textId="77777777" w:rsidR="007C6854" w:rsidRDefault="00E0219E">
            <w:pPr>
              <w:spacing w:line="259" w:lineRule="auto"/>
              <w:rPr>
                <w:rFonts w:eastAsia="Arial" w:cs="Arial"/>
                <w:szCs w:val="24"/>
              </w:rPr>
            </w:pPr>
            <w:r>
              <w:rPr>
                <w:rFonts w:eastAsia="Arial" w:cs="Arial"/>
                <w:szCs w:val="24"/>
              </w:rPr>
              <w:t>Grade 1 HPN</w:t>
            </w:r>
          </w:p>
        </w:tc>
        <w:tc>
          <w:tcPr>
            <w:tcW w:w="2409" w:type="dxa"/>
          </w:tcPr>
          <w:p w14:paraId="1A07FD3A" w14:textId="77777777" w:rsidR="007C6854" w:rsidRDefault="00E0219E">
            <w:pPr>
              <w:spacing w:line="259" w:lineRule="auto"/>
              <w:jc w:val="center"/>
              <w:rPr>
                <w:rFonts w:eastAsia="Arial" w:cs="Arial"/>
                <w:szCs w:val="24"/>
              </w:rPr>
            </w:pPr>
            <w:r>
              <w:rPr>
                <w:rFonts w:eastAsia="Arial" w:cs="Arial"/>
                <w:szCs w:val="24"/>
              </w:rPr>
              <w:t>37</w:t>
            </w:r>
          </w:p>
        </w:tc>
        <w:tc>
          <w:tcPr>
            <w:tcW w:w="2410" w:type="dxa"/>
          </w:tcPr>
          <w:p w14:paraId="3F8A496D" w14:textId="77777777" w:rsidR="007C6854" w:rsidRDefault="00E0219E">
            <w:pPr>
              <w:spacing w:line="259" w:lineRule="auto"/>
              <w:jc w:val="center"/>
              <w:rPr>
                <w:rFonts w:eastAsia="Arial" w:cs="Arial"/>
                <w:szCs w:val="24"/>
              </w:rPr>
            </w:pPr>
            <w:r>
              <w:rPr>
                <w:rFonts w:eastAsia="Arial" w:cs="Arial"/>
                <w:szCs w:val="24"/>
              </w:rPr>
              <w:t>24.5</w:t>
            </w:r>
          </w:p>
        </w:tc>
      </w:tr>
      <w:tr w:rsidR="007C6854" w14:paraId="74882FC2" w14:textId="77777777" w:rsidTr="006D2678">
        <w:tc>
          <w:tcPr>
            <w:tcW w:w="4248" w:type="dxa"/>
            <w:tcBorders>
              <w:bottom w:val="single" w:sz="4" w:space="0" w:color="auto"/>
            </w:tcBorders>
          </w:tcPr>
          <w:p w14:paraId="3AFF0BCF" w14:textId="77777777" w:rsidR="007C6854" w:rsidRDefault="00E0219E">
            <w:pPr>
              <w:spacing w:line="259" w:lineRule="auto"/>
              <w:rPr>
                <w:rFonts w:eastAsia="Arial" w:cs="Arial"/>
                <w:szCs w:val="24"/>
              </w:rPr>
            </w:pPr>
            <w:r>
              <w:rPr>
                <w:rFonts w:eastAsia="Arial" w:cs="Arial"/>
                <w:szCs w:val="24"/>
              </w:rPr>
              <w:t>Grade 2 HPN</w:t>
            </w:r>
          </w:p>
        </w:tc>
        <w:tc>
          <w:tcPr>
            <w:tcW w:w="2409" w:type="dxa"/>
            <w:tcBorders>
              <w:bottom w:val="single" w:sz="4" w:space="0" w:color="auto"/>
            </w:tcBorders>
          </w:tcPr>
          <w:p w14:paraId="6574E42E" w14:textId="77777777" w:rsidR="007C6854" w:rsidRDefault="00E0219E">
            <w:pPr>
              <w:spacing w:line="259" w:lineRule="auto"/>
              <w:jc w:val="center"/>
              <w:rPr>
                <w:rFonts w:eastAsia="Arial" w:cs="Arial"/>
                <w:szCs w:val="24"/>
              </w:rPr>
            </w:pPr>
            <w:r>
              <w:rPr>
                <w:rFonts w:eastAsia="Arial" w:cs="Arial"/>
                <w:szCs w:val="24"/>
              </w:rPr>
              <w:t>99</w:t>
            </w:r>
          </w:p>
        </w:tc>
        <w:tc>
          <w:tcPr>
            <w:tcW w:w="2410" w:type="dxa"/>
            <w:tcBorders>
              <w:bottom w:val="single" w:sz="4" w:space="0" w:color="auto"/>
            </w:tcBorders>
          </w:tcPr>
          <w:p w14:paraId="5062ACB3" w14:textId="77777777" w:rsidR="007C6854" w:rsidRDefault="00E0219E">
            <w:pPr>
              <w:spacing w:line="259" w:lineRule="auto"/>
              <w:jc w:val="center"/>
              <w:rPr>
                <w:rFonts w:eastAsia="Arial" w:cs="Arial"/>
                <w:szCs w:val="24"/>
              </w:rPr>
            </w:pPr>
            <w:r>
              <w:rPr>
                <w:rFonts w:eastAsia="Arial" w:cs="Arial"/>
                <w:szCs w:val="24"/>
              </w:rPr>
              <w:t>65.56</w:t>
            </w:r>
          </w:p>
        </w:tc>
      </w:tr>
    </w:tbl>
    <w:p w14:paraId="250937AC" w14:textId="367F5CF0" w:rsidR="007C6854" w:rsidRPr="00F362B2" w:rsidRDefault="00E0219E" w:rsidP="00F362B2">
      <w:pPr>
        <w:pStyle w:val="Heading2"/>
        <w:spacing w:line="480" w:lineRule="auto"/>
        <w:rPr>
          <w:rFonts w:eastAsia="Arial" w:cs="Arial"/>
          <w:sz w:val="24"/>
          <w:szCs w:val="24"/>
        </w:rPr>
      </w:pPr>
      <w:bookmarkStart w:id="57" w:name="_heading=h.lr0f6mn76pr" w:colFirst="0" w:colLast="0"/>
      <w:bookmarkEnd w:id="57"/>
      <w:r>
        <w:rPr>
          <w:rFonts w:eastAsia="Arial" w:cs="Arial"/>
          <w:sz w:val="24"/>
          <w:szCs w:val="24"/>
        </w:rPr>
        <w:t>Health Literacy of Urban Poor Settlers</w:t>
      </w:r>
    </w:p>
    <w:p w14:paraId="6DA97E53" w14:textId="77777777" w:rsidR="007C6854" w:rsidRDefault="00E0219E" w:rsidP="00113E43">
      <w:pPr>
        <w:spacing w:after="160" w:line="480" w:lineRule="auto"/>
        <w:jc w:val="both"/>
        <w:rPr>
          <w:rFonts w:eastAsia="Arial" w:cs="Arial"/>
          <w:color w:val="111111"/>
          <w:szCs w:val="24"/>
          <w:highlight w:val="white"/>
        </w:rPr>
      </w:pPr>
      <w:r>
        <w:rPr>
          <w:rFonts w:eastAsia="Arial" w:cs="Arial"/>
          <w:szCs w:val="24"/>
        </w:rPr>
        <w:tab/>
        <w:t xml:space="preserve">Health literacy is important for health promotion. The World Health Organization (WHO, 2023) refers to health literacy based on the Ninth Global Conference on Health Promotion as “the ability of individuals to “gain access to, understand, and use information in ways which promote and maintain good health” for themselves, their families, and their communities. While different definitions are used and health literacy is an evolving concept, there is agreement that health literacy means more than simply being able to "read pamphlets", "make appointments", "understand food labels" or "comply with prescribed actions" from a doctor.” The questions on health literacy are framed in the context of hypertension. Although the question construct is designed as a general statement, the flow of the questionnaire was developed in the context of hypertension issues. On this basis, the research attempted to measure health literacy identified in the </w:t>
      </w:r>
      <w:proofErr w:type="spellStart"/>
      <w:r>
        <w:rPr>
          <w:rFonts w:eastAsia="Arial" w:cs="Arial"/>
          <w:szCs w:val="24"/>
        </w:rPr>
        <w:t>Nutbeam</w:t>
      </w:r>
      <w:proofErr w:type="spellEnd"/>
      <w:r>
        <w:rPr>
          <w:rFonts w:eastAsia="Arial" w:cs="Arial"/>
          <w:szCs w:val="24"/>
        </w:rPr>
        <w:t xml:space="preserve"> Schema adopted by Osborne, </w:t>
      </w:r>
      <w:proofErr w:type="spellStart"/>
      <w:r>
        <w:rPr>
          <w:rFonts w:eastAsia="Arial" w:cs="Arial"/>
          <w:szCs w:val="24"/>
        </w:rPr>
        <w:t>Batterham</w:t>
      </w:r>
      <w:proofErr w:type="spellEnd"/>
      <w:r>
        <w:rPr>
          <w:rFonts w:eastAsia="Arial" w:cs="Arial"/>
          <w:szCs w:val="24"/>
        </w:rPr>
        <w:t xml:space="preserve">, Elsworth, Hawkins, &amp; Buchbinder (2013), and measured the three domains of health literacy namely: Basic or Functional Health Literacy, Communicative or Interactive Health literacy, and Critical Health Literacy. The overall, or total, health literacy was also </w:t>
      </w:r>
      <w:r>
        <w:rPr>
          <w:rFonts w:eastAsia="Arial" w:cs="Arial"/>
          <w:szCs w:val="24"/>
        </w:rPr>
        <w:lastRenderedPageBreak/>
        <w:t xml:space="preserve">summarized to identify where the problem is in health literacy by identifying the median score. The Health literacy score interpretation utilized the idea of </w:t>
      </w:r>
      <w:r>
        <w:rPr>
          <w:rFonts w:eastAsia="Arial" w:cs="Arial"/>
          <w:color w:val="111111"/>
          <w:szCs w:val="24"/>
          <w:highlight w:val="white"/>
        </w:rPr>
        <w:t>Jeong, H.J. &amp; Lee, W.C. (2016) in categorizing a 5-point Likert scale, where less than 4 (scores of 1 to 3.99) were interpreted as low and 4 and above (scores of 4 to 5) as high.</w:t>
      </w:r>
    </w:p>
    <w:p w14:paraId="1A6022E0" w14:textId="77777777" w:rsidR="007C6854" w:rsidRDefault="00E0219E" w:rsidP="00113E43">
      <w:pPr>
        <w:spacing w:after="160" w:line="480" w:lineRule="auto"/>
        <w:ind w:firstLine="720"/>
        <w:jc w:val="both"/>
        <w:rPr>
          <w:rFonts w:eastAsia="Arial" w:cs="Arial"/>
          <w:color w:val="111111"/>
          <w:szCs w:val="24"/>
          <w:highlight w:val="white"/>
        </w:rPr>
      </w:pPr>
      <w:r>
        <w:rPr>
          <w:rFonts w:eastAsia="Arial" w:cs="Arial"/>
          <w:color w:val="111111"/>
          <w:szCs w:val="24"/>
          <w:highlight w:val="white"/>
        </w:rPr>
        <w:t>Tables 7 to 9 show which level of health literacy was problematic based on the nine health literacy questions considered in this research according to the health literacy domain: basic or functional health literacy, communicative or interactive health literacy, and critical health literacy.</w:t>
      </w:r>
    </w:p>
    <w:p w14:paraId="7526B46D" w14:textId="77777777" w:rsidR="007C6854" w:rsidRDefault="00E0219E" w:rsidP="00F362B2">
      <w:pPr>
        <w:pStyle w:val="Heading3"/>
        <w:spacing w:line="480" w:lineRule="auto"/>
        <w:rPr>
          <w:rFonts w:eastAsia="Arial" w:cs="Arial"/>
          <w:sz w:val="24"/>
          <w:szCs w:val="24"/>
        </w:rPr>
      </w:pPr>
      <w:bookmarkStart w:id="58" w:name="_heading=h.206ipza" w:colFirst="0" w:colLast="0"/>
      <w:bookmarkEnd w:id="58"/>
      <w:r>
        <w:rPr>
          <w:rFonts w:eastAsia="Arial" w:cs="Arial"/>
          <w:sz w:val="24"/>
          <w:szCs w:val="24"/>
        </w:rPr>
        <w:t>Basic or Functional Health Literacy</w:t>
      </w:r>
    </w:p>
    <w:p w14:paraId="2CD521C7" w14:textId="5E4AA255" w:rsidR="007C6854" w:rsidRDefault="00E0219E" w:rsidP="00F362B2">
      <w:pPr>
        <w:spacing w:after="160" w:line="480" w:lineRule="auto"/>
        <w:ind w:firstLine="720"/>
        <w:jc w:val="both"/>
        <w:rPr>
          <w:rFonts w:eastAsia="Arial" w:cs="Arial"/>
          <w:b/>
          <w:szCs w:val="24"/>
        </w:rPr>
      </w:pPr>
      <w:r>
        <w:rPr>
          <w:rFonts w:eastAsia="Arial" w:cs="Arial"/>
          <w:color w:val="111111"/>
          <w:szCs w:val="24"/>
          <w:highlight w:val="white"/>
        </w:rPr>
        <w:t xml:space="preserve">Basic Health Literacy refers to the basic skills acquired by an individual </w:t>
      </w:r>
      <w:proofErr w:type="gramStart"/>
      <w:r>
        <w:rPr>
          <w:rFonts w:eastAsia="Arial" w:cs="Arial"/>
          <w:color w:val="111111"/>
          <w:szCs w:val="24"/>
          <w:highlight w:val="white"/>
        </w:rPr>
        <w:t>in order for</w:t>
      </w:r>
      <w:proofErr w:type="gramEnd"/>
      <w:r>
        <w:rPr>
          <w:rFonts w:eastAsia="Arial" w:cs="Arial"/>
          <w:color w:val="111111"/>
          <w:szCs w:val="24"/>
          <w:highlight w:val="white"/>
        </w:rPr>
        <w:t xml:space="preserve"> him/her to function effectively in everyday situations. This involves the ability to read and write. In Table 7, it showed that “understanding health information well enough to know what to do” (Median = 3.8, IQR = 3–4.4) and “having sufficient information to manage my health” (Median = 3.33, IQR = 3–4) showed poor results. Indicating that most of our interviewed participants were having problems understanding health information that may aid them in dealing with their health concerns. Also, they felt that they lacked information on health, particularly on how to live a healthy life. This includes guidelines and policies that help them understand and act on their own health problems (Osborne, </w:t>
      </w:r>
      <w:proofErr w:type="spellStart"/>
      <w:r>
        <w:rPr>
          <w:rFonts w:eastAsia="Arial" w:cs="Arial"/>
          <w:color w:val="111111"/>
          <w:szCs w:val="24"/>
          <w:highlight w:val="white"/>
        </w:rPr>
        <w:t>Batterham</w:t>
      </w:r>
      <w:proofErr w:type="spellEnd"/>
      <w:r>
        <w:rPr>
          <w:rFonts w:eastAsia="Arial" w:cs="Arial"/>
          <w:color w:val="111111"/>
          <w:szCs w:val="24"/>
          <w:highlight w:val="white"/>
        </w:rPr>
        <w:t xml:space="preserve">, Elsworth, Hawkins, &amp; </w:t>
      </w:r>
      <w:proofErr w:type="spellStart"/>
      <w:r>
        <w:rPr>
          <w:rFonts w:eastAsia="Arial" w:cs="Arial"/>
          <w:color w:val="111111"/>
          <w:szCs w:val="24"/>
          <w:highlight w:val="white"/>
        </w:rPr>
        <w:t>Buchhinder</w:t>
      </w:r>
      <w:proofErr w:type="spellEnd"/>
      <w:r>
        <w:rPr>
          <w:rFonts w:eastAsia="Arial" w:cs="Arial"/>
          <w:color w:val="111111"/>
          <w:szCs w:val="24"/>
          <w:highlight w:val="white"/>
        </w:rPr>
        <w:t xml:space="preserve">, 2013). On the other hand, research respondents showed a high score in the question “Ability to find good health information” (Median = 4, IQR = 3–4). It only shows that even though they have problems understanding health information, the study participants took initiative in looking for alternatives to finding good health information. By definition, basic or functional literacy refers to sufficient basic skills in </w:t>
      </w:r>
      <w:r>
        <w:rPr>
          <w:rFonts w:eastAsia="Arial" w:cs="Arial"/>
          <w:color w:val="111111"/>
          <w:szCs w:val="24"/>
          <w:highlight w:val="white"/>
        </w:rPr>
        <w:lastRenderedPageBreak/>
        <w:t xml:space="preserve">reading and writing. This is important in understanding the context of the study participants. Most of our study participants did not finish secondary education and were older than 60 years of age. The study by </w:t>
      </w:r>
      <w:proofErr w:type="spellStart"/>
      <w:r>
        <w:rPr>
          <w:rFonts w:eastAsia="Arial" w:cs="Arial"/>
          <w:color w:val="111111"/>
          <w:szCs w:val="24"/>
          <w:highlight w:val="white"/>
        </w:rPr>
        <w:t>Tolabing</w:t>
      </w:r>
      <w:proofErr w:type="spellEnd"/>
      <w:r>
        <w:rPr>
          <w:rFonts w:eastAsia="Arial" w:cs="Arial"/>
          <w:color w:val="111111"/>
          <w:szCs w:val="24"/>
          <w:highlight w:val="white"/>
        </w:rPr>
        <w:t xml:space="preserve"> et al. (2022) showed that despite the Philippines, specifically the NCR, having a high literacy rate, her study resulted in a high prevalence of limited health literacy in the Philippines. Regardless, though high literacy is important, this does not guarantee a high level of health literacy (PSA, 2019; </w:t>
      </w:r>
      <w:proofErr w:type="spellStart"/>
      <w:r>
        <w:rPr>
          <w:rFonts w:eastAsia="Arial" w:cs="Arial"/>
          <w:color w:val="111111"/>
          <w:szCs w:val="24"/>
          <w:highlight w:val="white"/>
        </w:rPr>
        <w:t>Tolabing</w:t>
      </w:r>
      <w:proofErr w:type="spellEnd"/>
      <w:r>
        <w:rPr>
          <w:rFonts w:eastAsia="Arial" w:cs="Arial"/>
          <w:color w:val="111111"/>
          <w:szCs w:val="24"/>
          <w:highlight w:val="white"/>
        </w:rPr>
        <w:t xml:space="preserve"> et al., 2022; </w:t>
      </w:r>
      <w:proofErr w:type="spellStart"/>
      <w:r>
        <w:rPr>
          <w:rFonts w:eastAsia="Arial" w:cs="Arial"/>
          <w:color w:val="111111"/>
          <w:szCs w:val="24"/>
          <w:highlight w:val="white"/>
        </w:rPr>
        <w:t>Nutbeam</w:t>
      </w:r>
      <w:proofErr w:type="spellEnd"/>
      <w:r>
        <w:rPr>
          <w:rFonts w:eastAsia="Arial" w:cs="Arial"/>
          <w:color w:val="111111"/>
          <w:szCs w:val="24"/>
          <w:highlight w:val="white"/>
        </w:rPr>
        <w:t xml:space="preserve">, 2000). Moreover, </w:t>
      </w:r>
      <w:proofErr w:type="gramStart"/>
      <w:r>
        <w:rPr>
          <w:rFonts w:eastAsia="Arial" w:cs="Arial"/>
          <w:color w:val="111111"/>
          <w:szCs w:val="24"/>
          <w:highlight w:val="white"/>
        </w:rPr>
        <w:t>It</w:t>
      </w:r>
      <w:proofErr w:type="gramEnd"/>
      <w:r>
        <w:rPr>
          <w:rFonts w:eastAsia="Arial" w:cs="Arial"/>
          <w:color w:val="111111"/>
          <w:szCs w:val="24"/>
          <w:highlight w:val="white"/>
        </w:rPr>
        <w:t xml:space="preserve"> was found in a literature review that Filipinos aged 50–70 had problematic or inadequate health literacy levels, and it was seen among individuals with low educational status (Agosto, H.G. et al., 2018). This finding is important when designing health educational and promotional materials for specific groups of people. (WHO and DOH, 2009)</w:t>
      </w:r>
    </w:p>
    <w:p w14:paraId="077D9DD2" w14:textId="77777777" w:rsidR="007C6854" w:rsidRDefault="00E0219E" w:rsidP="00F362B2">
      <w:pPr>
        <w:spacing w:after="160" w:line="360" w:lineRule="auto"/>
        <w:rPr>
          <w:rFonts w:eastAsia="Arial" w:cs="Arial"/>
          <w:b/>
          <w:szCs w:val="24"/>
        </w:rPr>
      </w:pPr>
      <w:r>
        <w:rPr>
          <w:rFonts w:eastAsia="Arial" w:cs="Arial"/>
          <w:b/>
          <w:szCs w:val="24"/>
        </w:rPr>
        <w:t>Table 7</w:t>
      </w:r>
    </w:p>
    <w:p w14:paraId="791C428C" w14:textId="77777777" w:rsidR="007C6854" w:rsidRDefault="00E0219E" w:rsidP="00F362B2">
      <w:pPr>
        <w:spacing w:after="160" w:line="360" w:lineRule="auto"/>
        <w:jc w:val="both"/>
        <w:rPr>
          <w:rFonts w:eastAsia="Arial" w:cs="Arial"/>
          <w:i/>
          <w:szCs w:val="24"/>
        </w:rPr>
      </w:pPr>
      <w:r>
        <w:rPr>
          <w:rFonts w:eastAsia="Arial" w:cs="Arial"/>
          <w:i/>
          <w:szCs w:val="24"/>
        </w:rPr>
        <w:t>Median and Interquartile Range Health Literacy Scores of the Respondents by Basic Health Literacy Domains</w:t>
      </w:r>
    </w:p>
    <w:tbl>
      <w:tblPr>
        <w:tblStyle w:val="afff7"/>
        <w:tblW w:w="8926" w:type="dxa"/>
        <w:jc w:val="center"/>
        <w:tblLayout w:type="fixed"/>
        <w:tblLook w:val="0400" w:firstRow="0" w:lastRow="0" w:firstColumn="0" w:lastColumn="0" w:noHBand="0" w:noVBand="1"/>
      </w:tblPr>
      <w:tblGrid>
        <w:gridCol w:w="3125"/>
        <w:gridCol w:w="809"/>
        <w:gridCol w:w="1664"/>
        <w:gridCol w:w="1664"/>
        <w:gridCol w:w="1664"/>
      </w:tblGrid>
      <w:tr w:rsidR="007C6854" w14:paraId="08733A8C" w14:textId="77777777" w:rsidTr="00E36171">
        <w:trPr>
          <w:jc w:val="center"/>
        </w:trPr>
        <w:tc>
          <w:tcPr>
            <w:tcW w:w="3125" w:type="dxa"/>
            <w:tcBorders>
              <w:top w:val="single" w:sz="4" w:space="0" w:color="auto"/>
              <w:bottom w:val="single" w:sz="4" w:space="0" w:color="auto"/>
            </w:tcBorders>
            <w:vAlign w:val="center"/>
          </w:tcPr>
          <w:p w14:paraId="4C31FD14" w14:textId="77777777" w:rsidR="007C6854" w:rsidRDefault="00E0219E">
            <w:pPr>
              <w:spacing w:line="259" w:lineRule="auto"/>
              <w:rPr>
                <w:rFonts w:eastAsia="Arial" w:cs="Arial"/>
                <w:szCs w:val="24"/>
              </w:rPr>
            </w:pPr>
            <w:r>
              <w:rPr>
                <w:rFonts w:eastAsia="Arial" w:cs="Arial"/>
                <w:szCs w:val="24"/>
              </w:rPr>
              <w:t>Basic Health Literacy Domains</w:t>
            </w:r>
          </w:p>
        </w:tc>
        <w:tc>
          <w:tcPr>
            <w:tcW w:w="809" w:type="dxa"/>
            <w:tcBorders>
              <w:top w:val="single" w:sz="4" w:space="0" w:color="auto"/>
              <w:bottom w:val="single" w:sz="4" w:space="0" w:color="auto"/>
            </w:tcBorders>
            <w:vAlign w:val="center"/>
          </w:tcPr>
          <w:p w14:paraId="34C6CACC" w14:textId="77777777" w:rsidR="007C6854" w:rsidRDefault="00E0219E">
            <w:pPr>
              <w:spacing w:line="259" w:lineRule="auto"/>
              <w:jc w:val="center"/>
              <w:rPr>
                <w:rFonts w:eastAsia="Arial" w:cs="Arial"/>
                <w:szCs w:val="24"/>
              </w:rPr>
            </w:pPr>
            <w:r>
              <w:rPr>
                <w:rFonts w:eastAsia="Arial" w:cs="Arial"/>
                <w:szCs w:val="24"/>
              </w:rPr>
              <w:t>Freq</w:t>
            </w:r>
          </w:p>
        </w:tc>
        <w:tc>
          <w:tcPr>
            <w:tcW w:w="1664" w:type="dxa"/>
            <w:tcBorders>
              <w:top w:val="single" w:sz="4" w:space="0" w:color="auto"/>
              <w:bottom w:val="single" w:sz="4" w:space="0" w:color="auto"/>
            </w:tcBorders>
            <w:vAlign w:val="center"/>
          </w:tcPr>
          <w:p w14:paraId="495EC87A" w14:textId="77777777" w:rsidR="007C6854" w:rsidRDefault="00E0219E">
            <w:pPr>
              <w:spacing w:line="259" w:lineRule="auto"/>
              <w:jc w:val="center"/>
              <w:rPr>
                <w:rFonts w:eastAsia="Arial" w:cs="Arial"/>
                <w:szCs w:val="24"/>
              </w:rPr>
            </w:pPr>
            <w:r>
              <w:rPr>
                <w:rFonts w:eastAsia="Arial" w:cs="Arial"/>
                <w:szCs w:val="24"/>
              </w:rPr>
              <w:t>Median Health Literacy</w:t>
            </w:r>
          </w:p>
        </w:tc>
        <w:tc>
          <w:tcPr>
            <w:tcW w:w="1664" w:type="dxa"/>
            <w:tcBorders>
              <w:top w:val="single" w:sz="4" w:space="0" w:color="auto"/>
              <w:bottom w:val="single" w:sz="4" w:space="0" w:color="auto"/>
            </w:tcBorders>
            <w:vAlign w:val="center"/>
          </w:tcPr>
          <w:p w14:paraId="543DDE64" w14:textId="77777777" w:rsidR="007C6854" w:rsidRDefault="00E0219E">
            <w:pPr>
              <w:spacing w:line="259" w:lineRule="auto"/>
              <w:jc w:val="center"/>
              <w:rPr>
                <w:rFonts w:eastAsia="Arial" w:cs="Arial"/>
                <w:szCs w:val="24"/>
              </w:rPr>
            </w:pPr>
            <w:r>
              <w:rPr>
                <w:rFonts w:eastAsia="Arial" w:cs="Arial"/>
                <w:szCs w:val="24"/>
              </w:rPr>
              <w:t>Interquartile Range (IQR)</w:t>
            </w:r>
          </w:p>
        </w:tc>
        <w:tc>
          <w:tcPr>
            <w:tcW w:w="1664" w:type="dxa"/>
            <w:tcBorders>
              <w:top w:val="single" w:sz="4" w:space="0" w:color="auto"/>
              <w:bottom w:val="single" w:sz="4" w:space="0" w:color="auto"/>
            </w:tcBorders>
            <w:vAlign w:val="center"/>
          </w:tcPr>
          <w:p w14:paraId="648975A5" w14:textId="77777777" w:rsidR="007C6854" w:rsidRDefault="00E0219E">
            <w:pPr>
              <w:spacing w:line="259" w:lineRule="auto"/>
              <w:jc w:val="center"/>
              <w:rPr>
                <w:rFonts w:eastAsia="Arial" w:cs="Arial"/>
                <w:szCs w:val="24"/>
              </w:rPr>
            </w:pPr>
            <w:r>
              <w:rPr>
                <w:rFonts w:eastAsia="Arial" w:cs="Arial"/>
                <w:szCs w:val="24"/>
              </w:rPr>
              <w:t>Interpretation</w:t>
            </w:r>
          </w:p>
        </w:tc>
      </w:tr>
      <w:tr w:rsidR="007C6854" w14:paraId="7CB4DD9F" w14:textId="77777777" w:rsidTr="00E36171">
        <w:trPr>
          <w:jc w:val="center"/>
        </w:trPr>
        <w:tc>
          <w:tcPr>
            <w:tcW w:w="3125" w:type="dxa"/>
            <w:tcBorders>
              <w:top w:val="single" w:sz="4" w:space="0" w:color="auto"/>
            </w:tcBorders>
            <w:vAlign w:val="center"/>
          </w:tcPr>
          <w:p w14:paraId="4799CD26" w14:textId="77777777" w:rsidR="007C6854" w:rsidRDefault="00E0219E">
            <w:pPr>
              <w:spacing w:line="259" w:lineRule="auto"/>
              <w:rPr>
                <w:rFonts w:eastAsia="Arial" w:cs="Arial"/>
                <w:szCs w:val="24"/>
              </w:rPr>
            </w:pPr>
            <w:r>
              <w:rPr>
                <w:rFonts w:eastAsia="Arial" w:cs="Arial"/>
                <w:szCs w:val="24"/>
              </w:rPr>
              <w:t>Understand health information well enough to know what to do</w:t>
            </w:r>
          </w:p>
        </w:tc>
        <w:tc>
          <w:tcPr>
            <w:tcW w:w="809" w:type="dxa"/>
            <w:tcBorders>
              <w:top w:val="single" w:sz="4" w:space="0" w:color="auto"/>
            </w:tcBorders>
            <w:vAlign w:val="center"/>
          </w:tcPr>
          <w:p w14:paraId="725FFECC" w14:textId="77777777" w:rsidR="007C6854" w:rsidRDefault="00E0219E">
            <w:pPr>
              <w:spacing w:line="259" w:lineRule="auto"/>
              <w:jc w:val="center"/>
              <w:rPr>
                <w:rFonts w:eastAsia="Arial" w:cs="Arial"/>
                <w:szCs w:val="24"/>
              </w:rPr>
            </w:pPr>
            <w:r>
              <w:rPr>
                <w:rFonts w:eastAsia="Arial" w:cs="Arial"/>
                <w:szCs w:val="24"/>
              </w:rPr>
              <w:t>151</w:t>
            </w:r>
          </w:p>
        </w:tc>
        <w:tc>
          <w:tcPr>
            <w:tcW w:w="1664" w:type="dxa"/>
            <w:tcBorders>
              <w:top w:val="single" w:sz="4" w:space="0" w:color="auto"/>
            </w:tcBorders>
            <w:vAlign w:val="center"/>
          </w:tcPr>
          <w:p w14:paraId="67BEC9B3" w14:textId="77777777" w:rsidR="007C6854" w:rsidRDefault="00E0219E">
            <w:pPr>
              <w:spacing w:line="259" w:lineRule="auto"/>
              <w:jc w:val="center"/>
              <w:rPr>
                <w:rFonts w:eastAsia="Arial" w:cs="Arial"/>
                <w:szCs w:val="24"/>
              </w:rPr>
            </w:pPr>
            <w:r>
              <w:rPr>
                <w:rFonts w:eastAsia="Arial" w:cs="Arial"/>
                <w:szCs w:val="24"/>
              </w:rPr>
              <w:t>3.8</w:t>
            </w:r>
          </w:p>
        </w:tc>
        <w:tc>
          <w:tcPr>
            <w:tcW w:w="1664" w:type="dxa"/>
            <w:tcBorders>
              <w:top w:val="single" w:sz="4" w:space="0" w:color="auto"/>
            </w:tcBorders>
            <w:vAlign w:val="center"/>
          </w:tcPr>
          <w:p w14:paraId="1D4CBFF5" w14:textId="77777777" w:rsidR="007C6854" w:rsidRDefault="00E0219E">
            <w:pPr>
              <w:spacing w:line="259" w:lineRule="auto"/>
              <w:jc w:val="center"/>
              <w:rPr>
                <w:rFonts w:eastAsia="Arial" w:cs="Arial"/>
                <w:szCs w:val="24"/>
              </w:rPr>
            </w:pPr>
            <w:r>
              <w:rPr>
                <w:rFonts w:eastAsia="Arial" w:cs="Arial"/>
                <w:szCs w:val="24"/>
              </w:rPr>
              <w:t>3 - 4.4</w:t>
            </w:r>
          </w:p>
        </w:tc>
        <w:tc>
          <w:tcPr>
            <w:tcW w:w="1664" w:type="dxa"/>
            <w:tcBorders>
              <w:top w:val="single" w:sz="4" w:space="0" w:color="auto"/>
            </w:tcBorders>
            <w:vAlign w:val="center"/>
          </w:tcPr>
          <w:p w14:paraId="246CCB02" w14:textId="77777777" w:rsidR="007C6854" w:rsidRDefault="00E0219E">
            <w:pPr>
              <w:spacing w:line="259" w:lineRule="auto"/>
              <w:jc w:val="center"/>
              <w:rPr>
                <w:rFonts w:eastAsia="Arial" w:cs="Arial"/>
                <w:szCs w:val="24"/>
              </w:rPr>
            </w:pPr>
            <w:r>
              <w:rPr>
                <w:rFonts w:eastAsia="Arial" w:cs="Arial"/>
                <w:szCs w:val="24"/>
              </w:rPr>
              <w:t>Poor</w:t>
            </w:r>
          </w:p>
        </w:tc>
      </w:tr>
      <w:tr w:rsidR="007C6854" w14:paraId="2DC0B309" w14:textId="77777777" w:rsidTr="00E36171">
        <w:trPr>
          <w:jc w:val="center"/>
        </w:trPr>
        <w:tc>
          <w:tcPr>
            <w:tcW w:w="3125" w:type="dxa"/>
            <w:vAlign w:val="center"/>
          </w:tcPr>
          <w:p w14:paraId="41A70B0E" w14:textId="77777777" w:rsidR="007C6854" w:rsidRDefault="00E0219E">
            <w:pPr>
              <w:spacing w:line="259" w:lineRule="auto"/>
              <w:rPr>
                <w:rFonts w:eastAsia="Arial" w:cs="Arial"/>
                <w:szCs w:val="24"/>
              </w:rPr>
            </w:pPr>
            <w:r>
              <w:rPr>
                <w:rFonts w:eastAsia="Arial" w:cs="Arial"/>
                <w:szCs w:val="24"/>
              </w:rPr>
              <w:t>Having sufficient information to manage my health</w:t>
            </w:r>
          </w:p>
        </w:tc>
        <w:tc>
          <w:tcPr>
            <w:tcW w:w="809" w:type="dxa"/>
            <w:vAlign w:val="center"/>
          </w:tcPr>
          <w:p w14:paraId="40600050" w14:textId="77777777" w:rsidR="007C6854" w:rsidRDefault="00E0219E">
            <w:pPr>
              <w:spacing w:line="259" w:lineRule="auto"/>
              <w:jc w:val="center"/>
              <w:rPr>
                <w:rFonts w:eastAsia="Arial" w:cs="Arial"/>
                <w:szCs w:val="24"/>
              </w:rPr>
            </w:pPr>
            <w:r>
              <w:rPr>
                <w:rFonts w:eastAsia="Arial" w:cs="Arial"/>
                <w:szCs w:val="24"/>
              </w:rPr>
              <w:t>151</w:t>
            </w:r>
          </w:p>
        </w:tc>
        <w:tc>
          <w:tcPr>
            <w:tcW w:w="1664" w:type="dxa"/>
            <w:vAlign w:val="center"/>
          </w:tcPr>
          <w:p w14:paraId="3DF8C9F0" w14:textId="77777777" w:rsidR="007C6854" w:rsidRDefault="00E0219E">
            <w:pPr>
              <w:spacing w:line="259" w:lineRule="auto"/>
              <w:jc w:val="center"/>
              <w:rPr>
                <w:rFonts w:eastAsia="Arial" w:cs="Arial"/>
                <w:szCs w:val="24"/>
              </w:rPr>
            </w:pPr>
            <w:r>
              <w:rPr>
                <w:rFonts w:eastAsia="Arial" w:cs="Arial"/>
                <w:szCs w:val="24"/>
              </w:rPr>
              <w:t>3.33</w:t>
            </w:r>
          </w:p>
        </w:tc>
        <w:tc>
          <w:tcPr>
            <w:tcW w:w="1664" w:type="dxa"/>
            <w:vAlign w:val="center"/>
          </w:tcPr>
          <w:p w14:paraId="0C67E3F7" w14:textId="77777777" w:rsidR="007C6854" w:rsidRDefault="00E0219E">
            <w:pPr>
              <w:spacing w:line="259" w:lineRule="auto"/>
              <w:jc w:val="center"/>
              <w:rPr>
                <w:rFonts w:eastAsia="Arial" w:cs="Arial"/>
                <w:szCs w:val="24"/>
              </w:rPr>
            </w:pPr>
            <w:r>
              <w:rPr>
                <w:rFonts w:eastAsia="Arial" w:cs="Arial"/>
                <w:szCs w:val="24"/>
              </w:rPr>
              <w:t>3 - 4</w:t>
            </w:r>
          </w:p>
        </w:tc>
        <w:tc>
          <w:tcPr>
            <w:tcW w:w="1664" w:type="dxa"/>
            <w:vAlign w:val="center"/>
          </w:tcPr>
          <w:p w14:paraId="08A1442A" w14:textId="77777777" w:rsidR="007C6854" w:rsidRDefault="00E0219E">
            <w:pPr>
              <w:spacing w:line="259" w:lineRule="auto"/>
              <w:jc w:val="center"/>
              <w:rPr>
                <w:rFonts w:eastAsia="Arial" w:cs="Arial"/>
                <w:szCs w:val="24"/>
              </w:rPr>
            </w:pPr>
            <w:r>
              <w:rPr>
                <w:rFonts w:eastAsia="Arial" w:cs="Arial"/>
                <w:szCs w:val="24"/>
              </w:rPr>
              <w:t>Poor</w:t>
            </w:r>
          </w:p>
        </w:tc>
      </w:tr>
      <w:tr w:rsidR="007C6854" w14:paraId="4CDF1D2B" w14:textId="77777777" w:rsidTr="00E36171">
        <w:trPr>
          <w:jc w:val="center"/>
        </w:trPr>
        <w:tc>
          <w:tcPr>
            <w:tcW w:w="3125" w:type="dxa"/>
            <w:tcBorders>
              <w:bottom w:val="single" w:sz="4" w:space="0" w:color="auto"/>
            </w:tcBorders>
            <w:vAlign w:val="center"/>
          </w:tcPr>
          <w:p w14:paraId="54A12773" w14:textId="77777777" w:rsidR="007C6854" w:rsidRDefault="00E0219E">
            <w:pPr>
              <w:spacing w:line="259" w:lineRule="auto"/>
              <w:rPr>
                <w:rFonts w:eastAsia="Arial" w:cs="Arial"/>
                <w:szCs w:val="24"/>
              </w:rPr>
            </w:pPr>
            <w:r>
              <w:rPr>
                <w:rFonts w:eastAsia="Arial" w:cs="Arial"/>
                <w:szCs w:val="24"/>
              </w:rPr>
              <w:t>Ability to find good health information</w:t>
            </w:r>
          </w:p>
        </w:tc>
        <w:tc>
          <w:tcPr>
            <w:tcW w:w="809" w:type="dxa"/>
            <w:tcBorders>
              <w:bottom w:val="single" w:sz="4" w:space="0" w:color="auto"/>
            </w:tcBorders>
            <w:vAlign w:val="center"/>
          </w:tcPr>
          <w:p w14:paraId="4573560C" w14:textId="77777777" w:rsidR="007C6854" w:rsidRDefault="00E0219E">
            <w:pPr>
              <w:spacing w:line="259" w:lineRule="auto"/>
              <w:jc w:val="center"/>
              <w:rPr>
                <w:rFonts w:eastAsia="Arial" w:cs="Arial"/>
                <w:szCs w:val="24"/>
              </w:rPr>
            </w:pPr>
            <w:r>
              <w:rPr>
                <w:rFonts w:eastAsia="Arial" w:cs="Arial"/>
                <w:szCs w:val="24"/>
              </w:rPr>
              <w:t>151</w:t>
            </w:r>
          </w:p>
        </w:tc>
        <w:tc>
          <w:tcPr>
            <w:tcW w:w="1664" w:type="dxa"/>
            <w:tcBorders>
              <w:bottom w:val="single" w:sz="4" w:space="0" w:color="auto"/>
            </w:tcBorders>
            <w:vAlign w:val="center"/>
          </w:tcPr>
          <w:p w14:paraId="74B8DA15" w14:textId="77777777" w:rsidR="007C6854" w:rsidRDefault="00E0219E">
            <w:pPr>
              <w:spacing w:line="259" w:lineRule="auto"/>
              <w:jc w:val="center"/>
              <w:rPr>
                <w:rFonts w:eastAsia="Arial" w:cs="Arial"/>
                <w:szCs w:val="24"/>
              </w:rPr>
            </w:pPr>
            <w:r>
              <w:rPr>
                <w:rFonts w:eastAsia="Arial" w:cs="Arial"/>
                <w:szCs w:val="24"/>
              </w:rPr>
              <w:t>4</w:t>
            </w:r>
          </w:p>
        </w:tc>
        <w:tc>
          <w:tcPr>
            <w:tcW w:w="1664" w:type="dxa"/>
            <w:tcBorders>
              <w:bottom w:val="single" w:sz="4" w:space="0" w:color="auto"/>
            </w:tcBorders>
            <w:vAlign w:val="center"/>
          </w:tcPr>
          <w:p w14:paraId="72933BA8" w14:textId="77777777" w:rsidR="007C6854" w:rsidRDefault="00E0219E">
            <w:pPr>
              <w:spacing w:line="259" w:lineRule="auto"/>
              <w:jc w:val="center"/>
              <w:rPr>
                <w:rFonts w:eastAsia="Arial" w:cs="Arial"/>
                <w:szCs w:val="24"/>
              </w:rPr>
            </w:pPr>
            <w:r>
              <w:rPr>
                <w:rFonts w:eastAsia="Arial" w:cs="Arial"/>
                <w:szCs w:val="24"/>
              </w:rPr>
              <w:t>3 - 4</w:t>
            </w:r>
          </w:p>
        </w:tc>
        <w:tc>
          <w:tcPr>
            <w:tcW w:w="1664" w:type="dxa"/>
            <w:tcBorders>
              <w:bottom w:val="single" w:sz="4" w:space="0" w:color="auto"/>
            </w:tcBorders>
            <w:vAlign w:val="center"/>
          </w:tcPr>
          <w:p w14:paraId="156488C1" w14:textId="77777777" w:rsidR="007C6854" w:rsidRDefault="00E0219E">
            <w:pPr>
              <w:spacing w:line="259" w:lineRule="auto"/>
              <w:jc w:val="center"/>
              <w:rPr>
                <w:rFonts w:eastAsia="Arial" w:cs="Arial"/>
                <w:szCs w:val="24"/>
              </w:rPr>
            </w:pPr>
            <w:r>
              <w:rPr>
                <w:rFonts w:eastAsia="Arial" w:cs="Arial"/>
                <w:szCs w:val="24"/>
              </w:rPr>
              <w:t>High</w:t>
            </w:r>
          </w:p>
        </w:tc>
      </w:tr>
    </w:tbl>
    <w:p w14:paraId="266ED849" w14:textId="77777777" w:rsidR="007C6854" w:rsidRDefault="007C6854">
      <w:pPr>
        <w:spacing w:after="160" w:line="259" w:lineRule="auto"/>
        <w:rPr>
          <w:rFonts w:eastAsia="Arial" w:cs="Arial"/>
          <w:b/>
          <w:szCs w:val="24"/>
        </w:rPr>
      </w:pPr>
    </w:p>
    <w:p w14:paraId="1FC593F3" w14:textId="1E257DB1" w:rsidR="007C6854" w:rsidRPr="00F362B2" w:rsidRDefault="00E0219E" w:rsidP="00F362B2">
      <w:pPr>
        <w:pStyle w:val="Heading3"/>
        <w:spacing w:line="480" w:lineRule="auto"/>
        <w:rPr>
          <w:rFonts w:eastAsia="Arial" w:cs="Arial"/>
          <w:sz w:val="24"/>
          <w:szCs w:val="24"/>
        </w:rPr>
      </w:pPr>
      <w:bookmarkStart w:id="59" w:name="_heading=h.4k668n3" w:colFirst="0" w:colLast="0"/>
      <w:bookmarkEnd w:id="59"/>
      <w:r>
        <w:rPr>
          <w:rFonts w:eastAsia="Arial" w:cs="Arial"/>
          <w:sz w:val="24"/>
          <w:szCs w:val="24"/>
        </w:rPr>
        <w:lastRenderedPageBreak/>
        <w:t>Communicative or Interactive Health Literacy</w:t>
      </w:r>
    </w:p>
    <w:p w14:paraId="79C98C3E" w14:textId="77777777" w:rsidR="007C6854" w:rsidRDefault="00E0219E" w:rsidP="00F362B2">
      <w:pPr>
        <w:spacing w:after="160" w:line="480" w:lineRule="auto"/>
        <w:ind w:firstLine="720"/>
        <w:jc w:val="both"/>
        <w:rPr>
          <w:rFonts w:eastAsia="Arial" w:cs="Arial"/>
          <w:szCs w:val="24"/>
        </w:rPr>
      </w:pPr>
      <w:r>
        <w:rPr>
          <w:rFonts w:eastAsia="Arial" w:cs="Arial"/>
          <w:szCs w:val="24"/>
        </w:rPr>
        <w:t>Communicative or Interactive health literacy refers to the understanding of an individual's health in addition to social skills that can be useful for him/her to participate in everyday activities, extract information, derive meaning from different forms of communication, and apply new information to changing circumstances, including the COVID-19 pandemic. According to Table 8, study participants did not feel supported or understood when discussing their health concerns with the health provider (Median = 3.5, IQR = 3.5–4.4). Although this study did not investigate health providers' knowledge and attitudes, study participants' perceptions of "feeling understood and supported by healthcare providers" provided useful information about the quality of service provided by the health providers for their clients. This idea implies some assumptions. The COVID-19 pandemic limits the mobility of people, and that includes the healthcare workforce rendering services for the community. Since the survey was conducted during the pandemic, the respondents may have an idea of abandonment, and one coping strategy of the community could be seeking social support. There are also other negative impacts that may contribute to a low perception of feeling supported; these factors include feelings of anxiety, depression, and anger (</w:t>
      </w:r>
      <w:proofErr w:type="spellStart"/>
      <w:r>
        <w:rPr>
          <w:rFonts w:eastAsia="Arial" w:cs="Arial"/>
          <w:szCs w:val="24"/>
        </w:rPr>
        <w:t>Pietrabissa</w:t>
      </w:r>
      <w:proofErr w:type="spellEnd"/>
      <w:r>
        <w:rPr>
          <w:rFonts w:eastAsia="Arial" w:cs="Arial"/>
          <w:szCs w:val="24"/>
        </w:rPr>
        <w:t xml:space="preserve"> &amp; Simpson, 2020; Chew et al., 2020). Another issue could be the result of a breach of healthcare provider and patient confidentiality. The study by Tegegne et al. (2022) agrees with this assumption. The study pointed out that the majority of health providers participating in the study showed poor knowledge and favorable attitudes towards patients' confidentiality. However, according to </w:t>
      </w:r>
      <w:proofErr w:type="spellStart"/>
      <w:r>
        <w:rPr>
          <w:rFonts w:eastAsia="Arial" w:cs="Arial"/>
          <w:szCs w:val="24"/>
        </w:rPr>
        <w:t>Skirbekk</w:t>
      </w:r>
      <w:proofErr w:type="spellEnd"/>
      <w:r>
        <w:rPr>
          <w:rFonts w:eastAsia="Arial" w:cs="Arial"/>
          <w:szCs w:val="24"/>
        </w:rPr>
        <w:t xml:space="preserve">, Magelssen, &amp; Conradsen (2023), public trust in the healthcare system for patients with chronic diseases is high.  This issue is problematic if true because trust between clients and health providers is important. On the other hand, it is good to know that despite distrust </w:t>
      </w:r>
      <w:r>
        <w:rPr>
          <w:rFonts w:eastAsia="Arial" w:cs="Arial"/>
          <w:szCs w:val="24"/>
        </w:rPr>
        <w:lastRenderedPageBreak/>
        <w:t>of healthcare providers, study participants were actively managing their health; they had someone who cared for them; they knew where to go whenever they needed to seek health care; and lastly, they were able to find good health information, which is different from the other study in which study participants had difficulty finding good professional help whenever they needed it (Nakayama et al., 2015). To balance the issue of distrust, the COVID-19 pandemic disrupted not only our healthcare system but also spread false information and plagued our social media community. This misinformation due to false information is called an “infodemic”. Infodemics make people doubtful and confused when dealing with information and misinformation (Abdel-Latif, 2020).</w:t>
      </w:r>
      <w:r>
        <w:rPr>
          <w:rFonts w:eastAsia="Arial" w:cs="Arial"/>
          <w:b/>
          <w:szCs w:val="24"/>
        </w:rPr>
        <w:t xml:space="preserve"> </w:t>
      </w:r>
      <w:r>
        <w:rPr>
          <w:rFonts w:eastAsia="Arial" w:cs="Arial"/>
          <w:szCs w:val="24"/>
        </w:rPr>
        <w:t xml:space="preserve">However, this research also proves that in the following areas, such as "actively managing my health" (Median = 4, IQR = 3.3–4), "social support for health" (Median = 4, IQR = 3–4.2), "ability to actively engage with healthcare providers" (Median = 4, IQR = 3–4), "ability to navigate the healthcare system" (Median = 4, IQR = 3–4.4), and "ability to find good health information" (Median = 4, IQR = 3–4), the respondents did well. This is important because, even though the infodemic was rampant during the pandemic, these attitudes and skills are beneficial in managing hypertension. So, in developing communicative health literacy, a healthcare provider </w:t>
      </w:r>
      <w:proofErr w:type="gramStart"/>
      <w:r>
        <w:rPr>
          <w:rFonts w:eastAsia="Arial" w:cs="Arial"/>
          <w:szCs w:val="24"/>
        </w:rPr>
        <w:t>need</w:t>
      </w:r>
      <w:proofErr w:type="gramEnd"/>
      <w:r>
        <w:rPr>
          <w:rFonts w:eastAsia="Arial" w:cs="Arial"/>
          <w:szCs w:val="24"/>
        </w:rPr>
        <w:t xml:space="preserve"> to assess the level of health literacy of the clients in order for individuals to interact and communicate with them well (Tilahun, Abera, &amp; </w:t>
      </w:r>
      <w:proofErr w:type="spellStart"/>
      <w:r>
        <w:rPr>
          <w:rFonts w:eastAsia="Arial" w:cs="Arial"/>
          <w:szCs w:val="24"/>
        </w:rPr>
        <w:t>Nemera</w:t>
      </w:r>
      <w:proofErr w:type="spellEnd"/>
      <w:r>
        <w:rPr>
          <w:rFonts w:eastAsia="Arial" w:cs="Arial"/>
          <w:szCs w:val="24"/>
        </w:rPr>
        <w:t>, 2021).</w:t>
      </w:r>
    </w:p>
    <w:p w14:paraId="5B17C9DE" w14:textId="77777777" w:rsidR="001F45F6" w:rsidRDefault="001F45F6">
      <w:pPr>
        <w:rPr>
          <w:rFonts w:eastAsia="Arial" w:cs="Arial"/>
          <w:b/>
          <w:szCs w:val="24"/>
        </w:rPr>
      </w:pPr>
      <w:r>
        <w:rPr>
          <w:rFonts w:eastAsia="Arial" w:cs="Arial"/>
          <w:b/>
          <w:szCs w:val="24"/>
        </w:rPr>
        <w:br w:type="page"/>
      </w:r>
    </w:p>
    <w:p w14:paraId="441624DA" w14:textId="2D276343" w:rsidR="007C6854" w:rsidRDefault="00E0219E" w:rsidP="00F362B2">
      <w:pPr>
        <w:rPr>
          <w:rFonts w:eastAsia="Arial" w:cs="Arial"/>
          <w:b/>
          <w:szCs w:val="24"/>
        </w:rPr>
      </w:pPr>
      <w:r>
        <w:rPr>
          <w:rFonts w:eastAsia="Arial" w:cs="Arial"/>
          <w:b/>
          <w:szCs w:val="24"/>
        </w:rPr>
        <w:lastRenderedPageBreak/>
        <w:t>Table 8</w:t>
      </w:r>
    </w:p>
    <w:p w14:paraId="2090A2A1" w14:textId="77777777" w:rsidR="007C6854" w:rsidRDefault="00E0219E" w:rsidP="00F362B2">
      <w:pPr>
        <w:shd w:val="clear" w:color="auto" w:fill="FFFFFF"/>
        <w:spacing w:after="0" w:line="360" w:lineRule="auto"/>
        <w:jc w:val="both"/>
        <w:rPr>
          <w:rFonts w:eastAsia="Arial" w:cs="Arial"/>
          <w:i/>
          <w:szCs w:val="24"/>
        </w:rPr>
      </w:pPr>
      <w:r>
        <w:rPr>
          <w:rFonts w:eastAsia="Arial" w:cs="Arial"/>
          <w:i/>
          <w:szCs w:val="24"/>
        </w:rPr>
        <w:t>Median and Interquartile Range Health Literacy Scores of the Respondents by Communicative or Functional Health Literacy Domain</w:t>
      </w:r>
    </w:p>
    <w:p w14:paraId="67BBAF63" w14:textId="77777777" w:rsidR="007C6854" w:rsidRDefault="007C6854">
      <w:pPr>
        <w:shd w:val="clear" w:color="auto" w:fill="FFFFFF"/>
        <w:spacing w:after="0" w:line="240" w:lineRule="auto"/>
        <w:ind w:left="720"/>
        <w:rPr>
          <w:rFonts w:eastAsia="Arial" w:cs="Arial"/>
          <w:szCs w:val="24"/>
        </w:rPr>
      </w:pPr>
    </w:p>
    <w:tbl>
      <w:tblPr>
        <w:tblStyle w:val="afff8"/>
        <w:tblW w:w="8931" w:type="dxa"/>
        <w:jc w:val="center"/>
        <w:tblLayout w:type="fixed"/>
        <w:tblLook w:val="0400" w:firstRow="0" w:lastRow="0" w:firstColumn="0" w:lastColumn="0" w:noHBand="0" w:noVBand="1"/>
      </w:tblPr>
      <w:tblGrid>
        <w:gridCol w:w="3125"/>
        <w:gridCol w:w="788"/>
        <w:gridCol w:w="1672"/>
        <w:gridCol w:w="1673"/>
        <w:gridCol w:w="1673"/>
      </w:tblGrid>
      <w:tr w:rsidR="007C6854" w14:paraId="225CF84E" w14:textId="77777777" w:rsidTr="001F45F6">
        <w:trPr>
          <w:jc w:val="center"/>
        </w:trPr>
        <w:tc>
          <w:tcPr>
            <w:tcW w:w="3125" w:type="dxa"/>
            <w:tcBorders>
              <w:top w:val="single" w:sz="4" w:space="0" w:color="auto"/>
              <w:bottom w:val="single" w:sz="4" w:space="0" w:color="auto"/>
            </w:tcBorders>
            <w:vAlign w:val="center"/>
          </w:tcPr>
          <w:p w14:paraId="26444BF2" w14:textId="77777777" w:rsidR="007C6854" w:rsidRDefault="00E0219E">
            <w:pPr>
              <w:spacing w:line="259" w:lineRule="auto"/>
              <w:rPr>
                <w:rFonts w:eastAsia="Arial" w:cs="Arial"/>
                <w:szCs w:val="24"/>
              </w:rPr>
            </w:pPr>
            <w:r>
              <w:rPr>
                <w:rFonts w:eastAsia="Arial" w:cs="Arial"/>
                <w:szCs w:val="24"/>
              </w:rPr>
              <w:t>Communicative or Functional Health Literacy Domain</w:t>
            </w:r>
          </w:p>
        </w:tc>
        <w:tc>
          <w:tcPr>
            <w:tcW w:w="788" w:type="dxa"/>
            <w:tcBorders>
              <w:top w:val="single" w:sz="4" w:space="0" w:color="auto"/>
              <w:bottom w:val="single" w:sz="4" w:space="0" w:color="auto"/>
            </w:tcBorders>
            <w:vAlign w:val="center"/>
          </w:tcPr>
          <w:p w14:paraId="25225ABB" w14:textId="77777777" w:rsidR="007C6854" w:rsidRDefault="00E0219E">
            <w:pPr>
              <w:spacing w:line="259" w:lineRule="auto"/>
              <w:jc w:val="center"/>
              <w:rPr>
                <w:rFonts w:eastAsia="Arial" w:cs="Arial"/>
                <w:szCs w:val="24"/>
              </w:rPr>
            </w:pPr>
            <w:r>
              <w:rPr>
                <w:rFonts w:eastAsia="Arial" w:cs="Arial"/>
                <w:szCs w:val="24"/>
              </w:rPr>
              <w:t>Freq</w:t>
            </w:r>
          </w:p>
        </w:tc>
        <w:tc>
          <w:tcPr>
            <w:tcW w:w="1672" w:type="dxa"/>
            <w:tcBorders>
              <w:top w:val="single" w:sz="4" w:space="0" w:color="auto"/>
              <w:bottom w:val="single" w:sz="4" w:space="0" w:color="auto"/>
            </w:tcBorders>
            <w:vAlign w:val="center"/>
          </w:tcPr>
          <w:p w14:paraId="31FF8D47" w14:textId="77777777" w:rsidR="007C6854" w:rsidRDefault="00E0219E">
            <w:pPr>
              <w:spacing w:line="259" w:lineRule="auto"/>
              <w:jc w:val="center"/>
              <w:rPr>
                <w:rFonts w:eastAsia="Arial" w:cs="Arial"/>
                <w:szCs w:val="24"/>
              </w:rPr>
            </w:pPr>
            <w:r>
              <w:rPr>
                <w:rFonts w:eastAsia="Arial" w:cs="Arial"/>
                <w:szCs w:val="24"/>
              </w:rPr>
              <w:t>Median Health Literacy</w:t>
            </w:r>
          </w:p>
        </w:tc>
        <w:tc>
          <w:tcPr>
            <w:tcW w:w="1673" w:type="dxa"/>
            <w:tcBorders>
              <w:top w:val="single" w:sz="4" w:space="0" w:color="auto"/>
              <w:bottom w:val="single" w:sz="4" w:space="0" w:color="auto"/>
            </w:tcBorders>
            <w:vAlign w:val="center"/>
          </w:tcPr>
          <w:p w14:paraId="33DBB25D" w14:textId="77777777" w:rsidR="007C6854" w:rsidRDefault="00E0219E">
            <w:pPr>
              <w:spacing w:line="259" w:lineRule="auto"/>
              <w:jc w:val="center"/>
              <w:rPr>
                <w:rFonts w:eastAsia="Arial" w:cs="Arial"/>
                <w:szCs w:val="24"/>
              </w:rPr>
            </w:pPr>
            <w:r>
              <w:rPr>
                <w:rFonts w:eastAsia="Arial" w:cs="Arial"/>
                <w:szCs w:val="24"/>
              </w:rPr>
              <w:t>Interquartile Range (IQR)</w:t>
            </w:r>
          </w:p>
        </w:tc>
        <w:tc>
          <w:tcPr>
            <w:tcW w:w="1673" w:type="dxa"/>
            <w:tcBorders>
              <w:top w:val="single" w:sz="4" w:space="0" w:color="auto"/>
              <w:bottom w:val="single" w:sz="4" w:space="0" w:color="auto"/>
            </w:tcBorders>
            <w:vAlign w:val="center"/>
          </w:tcPr>
          <w:p w14:paraId="0E565DE6" w14:textId="77777777" w:rsidR="007C6854" w:rsidRDefault="00E0219E">
            <w:pPr>
              <w:spacing w:line="259" w:lineRule="auto"/>
              <w:jc w:val="center"/>
              <w:rPr>
                <w:rFonts w:eastAsia="Arial" w:cs="Arial"/>
                <w:szCs w:val="24"/>
              </w:rPr>
            </w:pPr>
            <w:r>
              <w:rPr>
                <w:rFonts w:eastAsia="Arial" w:cs="Arial"/>
                <w:szCs w:val="24"/>
              </w:rPr>
              <w:t>Interpretation</w:t>
            </w:r>
          </w:p>
        </w:tc>
      </w:tr>
      <w:tr w:rsidR="007C6854" w14:paraId="1CF425D5" w14:textId="77777777" w:rsidTr="001F45F6">
        <w:trPr>
          <w:jc w:val="center"/>
        </w:trPr>
        <w:tc>
          <w:tcPr>
            <w:tcW w:w="3125" w:type="dxa"/>
            <w:tcBorders>
              <w:top w:val="single" w:sz="4" w:space="0" w:color="auto"/>
            </w:tcBorders>
            <w:vAlign w:val="center"/>
          </w:tcPr>
          <w:p w14:paraId="63AE8134" w14:textId="77777777" w:rsidR="007C6854" w:rsidRDefault="00E0219E">
            <w:pPr>
              <w:spacing w:line="259" w:lineRule="auto"/>
              <w:rPr>
                <w:rFonts w:eastAsia="Arial" w:cs="Arial"/>
                <w:szCs w:val="24"/>
              </w:rPr>
            </w:pPr>
            <w:r>
              <w:rPr>
                <w:rFonts w:eastAsia="Arial" w:cs="Arial"/>
                <w:szCs w:val="24"/>
              </w:rPr>
              <w:t>Feeling understood and supported by healthcare providers</w:t>
            </w:r>
          </w:p>
        </w:tc>
        <w:tc>
          <w:tcPr>
            <w:tcW w:w="788" w:type="dxa"/>
            <w:tcBorders>
              <w:top w:val="single" w:sz="4" w:space="0" w:color="auto"/>
            </w:tcBorders>
            <w:vAlign w:val="center"/>
          </w:tcPr>
          <w:p w14:paraId="389FA2EC" w14:textId="77777777" w:rsidR="007C6854" w:rsidRDefault="00E0219E">
            <w:pPr>
              <w:spacing w:line="259" w:lineRule="auto"/>
              <w:jc w:val="center"/>
              <w:rPr>
                <w:rFonts w:eastAsia="Arial" w:cs="Arial"/>
                <w:szCs w:val="24"/>
              </w:rPr>
            </w:pPr>
            <w:r>
              <w:rPr>
                <w:rFonts w:eastAsia="Arial" w:cs="Arial"/>
                <w:szCs w:val="24"/>
              </w:rPr>
              <w:t>151</w:t>
            </w:r>
          </w:p>
        </w:tc>
        <w:tc>
          <w:tcPr>
            <w:tcW w:w="1672" w:type="dxa"/>
            <w:tcBorders>
              <w:top w:val="single" w:sz="4" w:space="0" w:color="auto"/>
            </w:tcBorders>
            <w:vAlign w:val="center"/>
          </w:tcPr>
          <w:p w14:paraId="5F3A1B50" w14:textId="77777777" w:rsidR="007C6854" w:rsidRDefault="00E0219E">
            <w:pPr>
              <w:spacing w:line="259" w:lineRule="auto"/>
              <w:jc w:val="center"/>
              <w:rPr>
                <w:rFonts w:eastAsia="Arial" w:cs="Arial"/>
                <w:szCs w:val="24"/>
              </w:rPr>
            </w:pPr>
            <w:r>
              <w:rPr>
                <w:rFonts w:eastAsia="Arial" w:cs="Arial"/>
                <w:szCs w:val="24"/>
              </w:rPr>
              <w:t>3.5</w:t>
            </w:r>
          </w:p>
        </w:tc>
        <w:tc>
          <w:tcPr>
            <w:tcW w:w="1673" w:type="dxa"/>
            <w:tcBorders>
              <w:top w:val="single" w:sz="4" w:space="0" w:color="auto"/>
            </w:tcBorders>
            <w:vAlign w:val="center"/>
          </w:tcPr>
          <w:p w14:paraId="5336B543" w14:textId="77777777" w:rsidR="007C6854" w:rsidRDefault="00E0219E">
            <w:pPr>
              <w:spacing w:line="259" w:lineRule="auto"/>
              <w:jc w:val="center"/>
              <w:rPr>
                <w:rFonts w:eastAsia="Arial" w:cs="Arial"/>
                <w:szCs w:val="24"/>
              </w:rPr>
            </w:pPr>
            <w:r>
              <w:rPr>
                <w:rFonts w:eastAsia="Arial" w:cs="Arial"/>
                <w:szCs w:val="24"/>
              </w:rPr>
              <w:t>3.5 - 4.4</w:t>
            </w:r>
          </w:p>
        </w:tc>
        <w:tc>
          <w:tcPr>
            <w:tcW w:w="1673" w:type="dxa"/>
            <w:tcBorders>
              <w:top w:val="single" w:sz="4" w:space="0" w:color="auto"/>
            </w:tcBorders>
            <w:vAlign w:val="center"/>
          </w:tcPr>
          <w:p w14:paraId="74D4A613" w14:textId="77777777" w:rsidR="007C6854" w:rsidRDefault="00E0219E">
            <w:pPr>
              <w:spacing w:line="259" w:lineRule="auto"/>
              <w:jc w:val="center"/>
              <w:rPr>
                <w:rFonts w:eastAsia="Arial" w:cs="Arial"/>
                <w:szCs w:val="24"/>
              </w:rPr>
            </w:pPr>
            <w:r>
              <w:rPr>
                <w:rFonts w:eastAsia="Arial" w:cs="Arial"/>
                <w:szCs w:val="24"/>
              </w:rPr>
              <w:t>Poor</w:t>
            </w:r>
          </w:p>
        </w:tc>
      </w:tr>
      <w:tr w:rsidR="007C6854" w14:paraId="18E38D12" w14:textId="77777777" w:rsidTr="001F45F6">
        <w:trPr>
          <w:jc w:val="center"/>
        </w:trPr>
        <w:tc>
          <w:tcPr>
            <w:tcW w:w="3125" w:type="dxa"/>
            <w:vAlign w:val="center"/>
          </w:tcPr>
          <w:p w14:paraId="5D5C2AD4" w14:textId="77777777" w:rsidR="007C6854" w:rsidRDefault="00E0219E">
            <w:pPr>
              <w:spacing w:line="259" w:lineRule="auto"/>
              <w:rPr>
                <w:rFonts w:eastAsia="Arial" w:cs="Arial"/>
                <w:szCs w:val="24"/>
              </w:rPr>
            </w:pPr>
            <w:r>
              <w:rPr>
                <w:rFonts w:eastAsia="Arial" w:cs="Arial"/>
                <w:szCs w:val="24"/>
              </w:rPr>
              <w:t>Actively managing my health</w:t>
            </w:r>
          </w:p>
        </w:tc>
        <w:tc>
          <w:tcPr>
            <w:tcW w:w="788" w:type="dxa"/>
            <w:vAlign w:val="center"/>
          </w:tcPr>
          <w:p w14:paraId="33E3E7AD" w14:textId="77777777" w:rsidR="007C6854" w:rsidRDefault="00E0219E">
            <w:pPr>
              <w:spacing w:line="259" w:lineRule="auto"/>
              <w:jc w:val="center"/>
              <w:rPr>
                <w:rFonts w:eastAsia="Arial" w:cs="Arial"/>
                <w:szCs w:val="24"/>
              </w:rPr>
            </w:pPr>
            <w:r>
              <w:rPr>
                <w:rFonts w:eastAsia="Arial" w:cs="Arial"/>
                <w:szCs w:val="24"/>
              </w:rPr>
              <w:t>151</w:t>
            </w:r>
          </w:p>
        </w:tc>
        <w:tc>
          <w:tcPr>
            <w:tcW w:w="1672" w:type="dxa"/>
            <w:vAlign w:val="center"/>
          </w:tcPr>
          <w:p w14:paraId="493B9776" w14:textId="77777777" w:rsidR="007C6854" w:rsidRDefault="00E0219E">
            <w:pPr>
              <w:spacing w:line="259" w:lineRule="auto"/>
              <w:jc w:val="center"/>
              <w:rPr>
                <w:rFonts w:eastAsia="Arial" w:cs="Arial"/>
                <w:szCs w:val="24"/>
              </w:rPr>
            </w:pPr>
            <w:r>
              <w:rPr>
                <w:rFonts w:eastAsia="Arial" w:cs="Arial"/>
                <w:szCs w:val="24"/>
              </w:rPr>
              <w:t>4</w:t>
            </w:r>
          </w:p>
        </w:tc>
        <w:tc>
          <w:tcPr>
            <w:tcW w:w="1673" w:type="dxa"/>
            <w:vAlign w:val="center"/>
          </w:tcPr>
          <w:p w14:paraId="0E2E6BE0" w14:textId="77777777" w:rsidR="007C6854" w:rsidRDefault="00E0219E">
            <w:pPr>
              <w:spacing w:line="259" w:lineRule="auto"/>
              <w:jc w:val="center"/>
              <w:rPr>
                <w:rFonts w:eastAsia="Arial" w:cs="Arial"/>
                <w:szCs w:val="24"/>
              </w:rPr>
            </w:pPr>
            <w:r>
              <w:rPr>
                <w:rFonts w:eastAsia="Arial" w:cs="Arial"/>
                <w:szCs w:val="24"/>
              </w:rPr>
              <w:t>3.3 - 4</w:t>
            </w:r>
          </w:p>
        </w:tc>
        <w:tc>
          <w:tcPr>
            <w:tcW w:w="1673" w:type="dxa"/>
            <w:vAlign w:val="center"/>
          </w:tcPr>
          <w:p w14:paraId="25ED3A55" w14:textId="77777777" w:rsidR="007C6854" w:rsidRDefault="00E0219E">
            <w:pPr>
              <w:spacing w:line="259" w:lineRule="auto"/>
              <w:jc w:val="center"/>
              <w:rPr>
                <w:rFonts w:eastAsia="Arial" w:cs="Arial"/>
                <w:szCs w:val="24"/>
              </w:rPr>
            </w:pPr>
            <w:r>
              <w:rPr>
                <w:rFonts w:eastAsia="Arial" w:cs="Arial"/>
                <w:szCs w:val="24"/>
              </w:rPr>
              <w:t>High</w:t>
            </w:r>
          </w:p>
        </w:tc>
      </w:tr>
      <w:tr w:rsidR="007C6854" w14:paraId="6019731C" w14:textId="77777777" w:rsidTr="001F45F6">
        <w:trPr>
          <w:jc w:val="center"/>
        </w:trPr>
        <w:tc>
          <w:tcPr>
            <w:tcW w:w="3125" w:type="dxa"/>
            <w:vAlign w:val="center"/>
          </w:tcPr>
          <w:p w14:paraId="6CA7BC3C" w14:textId="77777777" w:rsidR="007C6854" w:rsidRDefault="00E0219E">
            <w:pPr>
              <w:spacing w:line="259" w:lineRule="auto"/>
              <w:rPr>
                <w:rFonts w:eastAsia="Arial" w:cs="Arial"/>
                <w:szCs w:val="24"/>
              </w:rPr>
            </w:pPr>
            <w:r>
              <w:rPr>
                <w:rFonts w:eastAsia="Arial" w:cs="Arial"/>
                <w:szCs w:val="24"/>
              </w:rPr>
              <w:t>Social support for health</w:t>
            </w:r>
          </w:p>
        </w:tc>
        <w:tc>
          <w:tcPr>
            <w:tcW w:w="788" w:type="dxa"/>
            <w:vAlign w:val="center"/>
          </w:tcPr>
          <w:p w14:paraId="79ED3BAF" w14:textId="77777777" w:rsidR="007C6854" w:rsidRDefault="00E0219E">
            <w:pPr>
              <w:spacing w:line="259" w:lineRule="auto"/>
              <w:jc w:val="center"/>
              <w:rPr>
                <w:rFonts w:eastAsia="Arial" w:cs="Arial"/>
                <w:szCs w:val="24"/>
              </w:rPr>
            </w:pPr>
            <w:r>
              <w:rPr>
                <w:rFonts w:eastAsia="Arial" w:cs="Arial"/>
                <w:szCs w:val="24"/>
              </w:rPr>
              <w:t>151</w:t>
            </w:r>
          </w:p>
        </w:tc>
        <w:tc>
          <w:tcPr>
            <w:tcW w:w="1672" w:type="dxa"/>
            <w:vAlign w:val="center"/>
          </w:tcPr>
          <w:p w14:paraId="1D17AC60" w14:textId="77777777" w:rsidR="007C6854" w:rsidRDefault="00E0219E">
            <w:pPr>
              <w:spacing w:line="259" w:lineRule="auto"/>
              <w:jc w:val="center"/>
              <w:rPr>
                <w:rFonts w:eastAsia="Arial" w:cs="Arial"/>
                <w:szCs w:val="24"/>
              </w:rPr>
            </w:pPr>
            <w:r>
              <w:rPr>
                <w:rFonts w:eastAsia="Arial" w:cs="Arial"/>
                <w:szCs w:val="24"/>
              </w:rPr>
              <w:t>4</w:t>
            </w:r>
          </w:p>
        </w:tc>
        <w:tc>
          <w:tcPr>
            <w:tcW w:w="1673" w:type="dxa"/>
            <w:vAlign w:val="center"/>
          </w:tcPr>
          <w:p w14:paraId="303CA5D5" w14:textId="77777777" w:rsidR="007C6854" w:rsidRDefault="00E0219E">
            <w:pPr>
              <w:spacing w:line="259" w:lineRule="auto"/>
              <w:jc w:val="center"/>
              <w:rPr>
                <w:rFonts w:eastAsia="Arial" w:cs="Arial"/>
                <w:szCs w:val="24"/>
              </w:rPr>
            </w:pPr>
            <w:r>
              <w:rPr>
                <w:rFonts w:eastAsia="Arial" w:cs="Arial"/>
                <w:szCs w:val="24"/>
              </w:rPr>
              <w:t>3 - 4.2</w:t>
            </w:r>
          </w:p>
        </w:tc>
        <w:tc>
          <w:tcPr>
            <w:tcW w:w="1673" w:type="dxa"/>
            <w:vAlign w:val="center"/>
          </w:tcPr>
          <w:p w14:paraId="21B2B6BF" w14:textId="77777777" w:rsidR="007C6854" w:rsidRDefault="00E0219E">
            <w:pPr>
              <w:spacing w:line="259" w:lineRule="auto"/>
              <w:jc w:val="center"/>
              <w:rPr>
                <w:rFonts w:eastAsia="Arial" w:cs="Arial"/>
                <w:szCs w:val="24"/>
              </w:rPr>
            </w:pPr>
            <w:r>
              <w:rPr>
                <w:rFonts w:eastAsia="Arial" w:cs="Arial"/>
                <w:szCs w:val="24"/>
              </w:rPr>
              <w:t>High</w:t>
            </w:r>
          </w:p>
        </w:tc>
      </w:tr>
      <w:tr w:rsidR="007C6854" w14:paraId="65422276" w14:textId="77777777" w:rsidTr="001F45F6">
        <w:trPr>
          <w:jc w:val="center"/>
        </w:trPr>
        <w:tc>
          <w:tcPr>
            <w:tcW w:w="3125" w:type="dxa"/>
            <w:vAlign w:val="center"/>
          </w:tcPr>
          <w:p w14:paraId="4B61DC14" w14:textId="77777777" w:rsidR="007C6854" w:rsidRDefault="00E0219E">
            <w:pPr>
              <w:spacing w:line="259" w:lineRule="auto"/>
              <w:rPr>
                <w:rFonts w:eastAsia="Arial" w:cs="Arial"/>
                <w:color w:val="323232"/>
                <w:szCs w:val="24"/>
              </w:rPr>
            </w:pPr>
            <w:r>
              <w:rPr>
                <w:rFonts w:eastAsia="Arial" w:cs="Arial"/>
                <w:szCs w:val="24"/>
              </w:rPr>
              <w:t>Ability to actively engage with healthcare provider</w:t>
            </w:r>
          </w:p>
        </w:tc>
        <w:tc>
          <w:tcPr>
            <w:tcW w:w="788" w:type="dxa"/>
            <w:vAlign w:val="center"/>
          </w:tcPr>
          <w:p w14:paraId="0444BC1E" w14:textId="77777777" w:rsidR="007C6854" w:rsidRDefault="00E0219E">
            <w:pPr>
              <w:spacing w:line="259" w:lineRule="auto"/>
              <w:jc w:val="center"/>
              <w:rPr>
                <w:rFonts w:eastAsia="Arial" w:cs="Arial"/>
                <w:szCs w:val="24"/>
              </w:rPr>
            </w:pPr>
            <w:r>
              <w:rPr>
                <w:rFonts w:eastAsia="Arial" w:cs="Arial"/>
                <w:szCs w:val="24"/>
              </w:rPr>
              <w:t>151</w:t>
            </w:r>
          </w:p>
        </w:tc>
        <w:tc>
          <w:tcPr>
            <w:tcW w:w="1672" w:type="dxa"/>
            <w:vAlign w:val="center"/>
          </w:tcPr>
          <w:p w14:paraId="5BF17E00" w14:textId="77777777" w:rsidR="007C6854" w:rsidRDefault="00E0219E">
            <w:pPr>
              <w:spacing w:line="259" w:lineRule="auto"/>
              <w:jc w:val="center"/>
              <w:rPr>
                <w:rFonts w:eastAsia="Arial" w:cs="Arial"/>
                <w:szCs w:val="24"/>
              </w:rPr>
            </w:pPr>
            <w:r>
              <w:rPr>
                <w:rFonts w:eastAsia="Arial" w:cs="Arial"/>
                <w:szCs w:val="24"/>
              </w:rPr>
              <w:t>4</w:t>
            </w:r>
          </w:p>
        </w:tc>
        <w:tc>
          <w:tcPr>
            <w:tcW w:w="1673" w:type="dxa"/>
            <w:vAlign w:val="center"/>
          </w:tcPr>
          <w:p w14:paraId="5A7B9B31" w14:textId="77777777" w:rsidR="007C6854" w:rsidRDefault="00E0219E">
            <w:pPr>
              <w:spacing w:line="259" w:lineRule="auto"/>
              <w:jc w:val="center"/>
              <w:rPr>
                <w:rFonts w:eastAsia="Arial" w:cs="Arial"/>
                <w:szCs w:val="24"/>
              </w:rPr>
            </w:pPr>
            <w:r>
              <w:rPr>
                <w:rFonts w:eastAsia="Arial" w:cs="Arial"/>
                <w:szCs w:val="24"/>
              </w:rPr>
              <w:t>3 - 4</w:t>
            </w:r>
          </w:p>
        </w:tc>
        <w:tc>
          <w:tcPr>
            <w:tcW w:w="1673" w:type="dxa"/>
            <w:vAlign w:val="center"/>
          </w:tcPr>
          <w:p w14:paraId="52FD94CB" w14:textId="77777777" w:rsidR="007C6854" w:rsidRDefault="00E0219E">
            <w:pPr>
              <w:spacing w:line="259" w:lineRule="auto"/>
              <w:jc w:val="center"/>
              <w:rPr>
                <w:rFonts w:eastAsia="Arial" w:cs="Arial"/>
                <w:szCs w:val="24"/>
              </w:rPr>
            </w:pPr>
            <w:r>
              <w:rPr>
                <w:rFonts w:eastAsia="Arial" w:cs="Arial"/>
                <w:szCs w:val="24"/>
              </w:rPr>
              <w:t>High</w:t>
            </w:r>
          </w:p>
        </w:tc>
      </w:tr>
      <w:tr w:rsidR="007C6854" w14:paraId="58E70B2C" w14:textId="77777777" w:rsidTr="001F45F6">
        <w:trPr>
          <w:jc w:val="center"/>
        </w:trPr>
        <w:tc>
          <w:tcPr>
            <w:tcW w:w="3125" w:type="dxa"/>
            <w:vAlign w:val="center"/>
          </w:tcPr>
          <w:p w14:paraId="3530E63B" w14:textId="77777777" w:rsidR="007C6854" w:rsidRDefault="00E0219E">
            <w:pPr>
              <w:spacing w:line="259" w:lineRule="auto"/>
              <w:rPr>
                <w:rFonts w:eastAsia="Arial" w:cs="Arial"/>
                <w:color w:val="323232"/>
                <w:szCs w:val="24"/>
              </w:rPr>
            </w:pPr>
            <w:r>
              <w:rPr>
                <w:rFonts w:eastAsia="Arial" w:cs="Arial"/>
                <w:szCs w:val="24"/>
              </w:rPr>
              <w:t>Navigating the healthcare system</w:t>
            </w:r>
          </w:p>
        </w:tc>
        <w:tc>
          <w:tcPr>
            <w:tcW w:w="788" w:type="dxa"/>
            <w:vAlign w:val="center"/>
          </w:tcPr>
          <w:p w14:paraId="2FFD2559" w14:textId="77777777" w:rsidR="007C6854" w:rsidRDefault="00E0219E">
            <w:pPr>
              <w:spacing w:line="259" w:lineRule="auto"/>
              <w:jc w:val="center"/>
              <w:rPr>
                <w:rFonts w:eastAsia="Arial" w:cs="Arial"/>
                <w:szCs w:val="24"/>
              </w:rPr>
            </w:pPr>
            <w:r>
              <w:rPr>
                <w:rFonts w:eastAsia="Arial" w:cs="Arial"/>
                <w:szCs w:val="24"/>
              </w:rPr>
              <w:t>151</w:t>
            </w:r>
          </w:p>
        </w:tc>
        <w:tc>
          <w:tcPr>
            <w:tcW w:w="1672" w:type="dxa"/>
            <w:vAlign w:val="center"/>
          </w:tcPr>
          <w:p w14:paraId="1D8E9EDA" w14:textId="77777777" w:rsidR="007C6854" w:rsidRDefault="00E0219E">
            <w:pPr>
              <w:spacing w:line="259" w:lineRule="auto"/>
              <w:jc w:val="center"/>
              <w:rPr>
                <w:rFonts w:eastAsia="Arial" w:cs="Arial"/>
                <w:szCs w:val="24"/>
              </w:rPr>
            </w:pPr>
            <w:r>
              <w:rPr>
                <w:rFonts w:eastAsia="Arial" w:cs="Arial"/>
                <w:szCs w:val="24"/>
              </w:rPr>
              <w:t>4</w:t>
            </w:r>
          </w:p>
        </w:tc>
        <w:tc>
          <w:tcPr>
            <w:tcW w:w="1673" w:type="dxa"/>
            <w:vAlign w:val="center"/>
          </w:tcPr>
          <w:p w14:paraId="0370CAAB" w14:textId="77777777" w:rsidR="007C6854" w:rsidRDefault="00E0219E">
            <w:pPr>
              <w:spacing w:line="259" w:lineRule="auto"/>
              <w:jc w:val="center"/>
              <w:rPr>
                <w:rFonts w:eastAsia="Arial" w:cs="Arial"/>
                <w:szCs w:val="24"/>
              </w:rPr>
            </w:pPr>
            <w:r>
              <w:rPr>
                <w:rFonts w:eastAsia="Arial" w:cs="Arial"/>
                <w:szCs w:val="24"/>
              </w:rPr>
              <w:t>3 - 4.4</w:t>
            </w:r>
          </w:p>
        </w:tc>
        <w:tc>
          <w:tcPr>
            <w:tcW w:w="1673" w:type="dxa"/>
            <w:vAlign w:val="center"/>
          </w:tcPr>
          <w:p w14:paraId="191BC1D0" w14:textId="77777777" w:rsidR="007C6854" w:rsidRDefault="00E0219E">
            <w:pPr>
              <w:spacing w:line="259" w:lineRule="auto"/>
              <w:jc w:val="center"/>
              <w:rPr>
                <w:rFonts w:eastAsia="Arial" w:cs="Arial"/>
                <w:szCs w:val="24"/>
              </w:rPr>
            </w:pPr>
            <w:r>
              <w:rPr>
                <w:rFonts w:eastAsia="Arial" w:cs="Arial"/>
                <w:szCs w:val="24"/>
              </w:rPr>
              <w:t>High</w:t>
            </w:r>
          </w:p>
        </w:tc>
      </w:tr>
      <w:tr w:rsidR="007C6854" w14:paraId="6B483834" w14:textId="77777777" w:rsidTr="001F45F6">
        <w:trPr>
          <w:jc w:val="center"/>
        </w:trPr>
        <w:tc>
          <w:tcPr>
            <w:tcW w:w="3125" w:type="dxa"/>
            <w:tcBorders>
              <w:bottom w:val="single" w:sz="4" w:space="0" w:color="auto"/>
            </w:tcBorders>
            <w:vAlign w:val="center"/>
          </w:tcPr>
          <w:p w14:paraId="32A4832F" w14:textId="77777777" w:rsidR="007C6854" w:rsidRDefault="00E0219E">
            <w:pPr>
              <w:spacing w:line="259" w:lineRule="auto"/>
              <w:rPr>
                <w:rFonts w:eastAsia="Arial" w:cs="Arial"/>
                <w:szCs w:val="24"/>
              </w:rPr>
            </w:pPr>
            <w:r>
              <w:rPr>
                <w:rFonts w:eastAsia="Arial" w:cs="Arial"/>
                <w:szCs w:val="24"/>
              </w:rPr>
              <w:t>Ability to find good health information</w:t>
            </w:r>
          </w:p>
        </w:tc>
        <w:tc>
          <w:tcPr>
            <w:tcW w:w="788" w:type="dxa"/>
            <w:tcBorders>
              <w:bottom w:val="single" w:sz="4" w:space="0" w:color="auto"/>
            </w:tcBorders>
            <w:vAlign w:val="center"/>
          </w:tcPr>
          <w:p w14:paraId="6C4960A3" w14:textId="77777777" w:rsidR="007C6854" w:rsidRDefault="00E0219E">
            <w:pPr>
              <w:spacing w:line="259" w:lineRule="auto"/>
              <w:jc w:val="center"/>
              <w:rPr>
                <w:rFonts w:eastAsia="Arial" w:cs="Arial"/>
                <w:szCs w:val="24"/>
              </w:rPr>
            </w:pPr>
            <w:r>
              <w:rPr>
                <w:rFonts w:eastAsia="Arial" w:cs="Arial"/>
                <w:szCs w:val="24"/>
              </w:rPr>
              <w:t>151</w:t>
            </w:r>
          </w:p>
        </w:tc>
        <w:tc>
          <w:tcPr>
            <w:tcW w:w="1672" w:type="dxa"/>
            <w:tcBorders>
              <w:bottom w:val="single" w:sz="4" w:space="0" w:color="auto"/>
            </w:tcBorders>
            <w:vAlign w:val="center"/>
          </w:tcPr>
          <w:p w14:paraId="560D40C1" w14:textId="77777777" w:rsidR="007C6854" w:rsidRDefault="00E0219E">
            <w:pPr>
              <w:spacing w:line="259" w:lineRule="auto"/>
              <w:jc w:val="center"/>
              <w:rPr>
                <w:rFonts w:eastAsia="Arial" w:cs="Arial"/>
                <w:szCs w:val="24"/>
              </w:rPr>
            </w:pPr>
            <w:r>
              <w:rPr>
                <w:rFonts w:eastAsia="Arial" w:cs="Arial"/>
                <w:szCs w:val="24"/>
              </w:rPr>
              <w:t>4</w:t>
            </w:r>
          </w:p>
        </w:tc>
        <w:tc>
          <w:tcPr>
            <w:tcW w:w="1673" w:type="dxa"/>
            <w:tcBorders>
              <w:bottom w:val="single" w:sz="4" w:space="0" w:color="auto"/>
            </w:tcBorders>
            <w:vAlign w:val="center"/>
          </w:tcPr>
          <w:p w14:paraId="557A098C" w14:textId="77777777" w:rsidR="007C6854" w:rsidRDefault="00E0219E">
            <w:pPr>
              <w:spacing w:line="259" w:lineRule="auto"/>
              <w:jc w:val="center"/>
              <w:rPr>
                <w:rFonts w:eastAsia="Arial" w:cs="Arial"/>
                <w:szCs w:val="24"/>
              </w:rPr>
            </w:pPr>
            <w:r>
              <w:rPr>
                <w:rFonts w:eastAsia="Arial" w:cs="Arial"/>
                <w:szCs w:val="24"/>
              </w:rPr>
              <w:t>3 - 4</w:t>
            </w:r>
          </w:p>
        </w:tc>
        <w:tc>
          <w:tcPr>
            <w:tcW w:w="1673" w:type="dxa"/>
            <w:tcBorders>
              <w:bottom w:val="single" w:sz="4" w:space="0" w:color="auto"/>
            </w:tcBorders>
            <w:vAlign w:val="center"/>
          </w:tcPr>
          <w:p w14:paraId="45CD2D1B" w14:textId="77777777" w:rsidR="007C6854" w:rsidRDefault="00E0219E">
            <w:pPr>
              <w:spacing w:line="259" w:lineRule="auto"/>
              <w:jc w:val="center"/>
              <w:rPr>
                <w:rFonts w:eastAsia="Arial" w:cs="Arial"/>
                <w:szCs w:val="24"/>
              </w:rPr>
            </w:pPr>
            <w:r>
              <w:rPr>
                <w:rFonts w:eastAsia="Arial" w:cs="Arial"/>
                <w:szCs w:val="24"/>
              </w:rPr>
              <w:t>High</w:t>
            </w:r>
          </w:p>
        </w:tc>
      </w:tr>
    </w:tbl>
    <w:p w14:paraId="4CA10319" w14:textId="77777777" w:rsidR="007C6854" w:rsidRDefault="007C6854">
      <w:pPr>
        <w:spacing w:after="160" w:line="259" w:lineRule="auto"/>
        <w:rPr>
          <w:rFonts w:eastAsia="Arial" w:cs="Arial"/>
          <w:b/>
          <w:szCs w:val="24"/>
        </w:rPr>
      </w:pPr>
    </w:p>
    <w:p w14:paraId="2EB73368" w14:textId="48AB3D7D" w:rsidR="007C6854" w:rsidRPr="00F362B2" w:rsidRDefault="00E0219E" w:rsidP="00F362B2">
      <w:pPr>
        <w:pStyle w:val="Heading3"/>
        <w:spacing w:line="480" w:lineRule="auto"/>
        <w:rPr>
          <w:rFonts w:eastAsia="Arial" w:cs="Arial"/>
          <w:sz w:val="24"/>
          <w:szCs w:val="24"/>
        </w:rPr>
      </w:pPr>
      <w:bookmarkStart w:id="60" w:name="_heading=h.2zbgiuw" w:colFirst="0" w:colLast="0"/>
      <w:bookmarkEnd w:id="60"/>
      <w:r>
        <w:rPr>
          <w:rFonts w:eastAsia="Arial" w:cs="Arial"/>
          <w:sz w:val="24"/>
          <w:szCs w:val="24"/>
        </w:rPr>
        <w:t>Critical Health Literacy</w:t>
      </w:r>
    </w:p>
    <w:p w14:paraId="5AE99906" w14:textId="77777777" w:rsidR="001F45F6" w:rsidRDefault="00E0219E" w:rsidP="001F45F6">
      <w:pPr>
        <w:spacing w:after="160" w:line="480" w:lineRule="auto"/>
        <w:ind w:firstLine="720"/>
        <w:jc w:val="both"/>
        <w:rPr>
          <w:rFonts w:eastAsia="Arial" w:cs="Arial"/>
          <w:szCs w:val="24"/>
        </w:rPr>
      </w:pPr>
      <w:r>
        <w:rPr>
          <w:rFonts w:eastAsia="Arial" w:cs="Arial"/>
          <w:szCs w:val="24"/>
        </w:rPr>
        <w:t xml:space="preserve">In critical health literacy, it is the ability of the person to apply what he knows. Table 9 shows that the health literacy of the community is high on critical health literacy domains, namely, “appraisal of health information” (Median = 4, IQR = 3–4.6) and “actively managing my health” (Median = 4, IQR = 3–4). </w:t>
      </w:r>
    </w:p>
    <w:p w14:paraId="540D792C" w14:textId="597E3CA6" w:rsidR="007C6854" w:rsidRDefault="00E0219E" w:rsidP="001F45F6">
      <w:pPr>
        <w:spacing w:after="160" w:line="480" w:lineRule="auto"/>
        <w:ind w:firstLine="720"/>
        <w:jc w:val="both"/>
        <w:rPr>
          <w:rFonts w:eastAsia="Arial" w:cs="Arial"/>
          <w:szCs w:val="24"/>
        </w:rPr>
      </w:pPr>
      <w:r>
        <w:rPr>
          <w:rFonts w:eastAsia="Arial" w:cs="Arial"/>
          <w:szCs w:val="24"/>
        </w:rPr>
        <w:t xml:space="preserve">Understanding, appraising, and being able to apply health information is important. The Community of </w:t>
      </w:r>
      <w:proofErr w:type="spellStart"/>
      <w:r>
        <w:rPr>
          <w:rFonts w:eastAsia="Arial" w:cs="Arial"/>
          <w:szCs w:val="24"/>
        </w:rPr>
        <w:t>Bukuhan</w:t>
      </w:r>
      <w:proofErr w:type="spellEnd"/>
      <w:r>
        <w:rPr>
          <w:rFonts w:eastAsia="Arial" w:cs="Arial"/>
          <w:szCs w:val="24"/>
        </w:rPr>
        <w:t xml:space="preserve"> showed a high score in this aspect. However, the result from this research is different from other studies showing around 30% to 57% on limited health literacy dimensions, namely, understanding, appraising, and applying health literacy domains such as disease prevention and health promotion </w:t>
      </w:r>
      <w:r>
        <w:rPr>
          <w:rFonts w:eastAsia="Arial" w:cs="Arial"/>
          <w:szCs w:val="24"/>
        </w:rPr>
        <w:lastRenderedPageBreak/>
        <w:t>(</w:t>
      </w:r>
      <w:proofErr w:type="spellStart"/>
      <w:r>
        <w:rPr>
          <w:rFonts w:eastAsia="Arial" w:cs="Arial"/>
          <w:szCs w:val="24"/>
        </w:rPr>
        <w:t>Tolabing</w:t>
      </w:r>
      <w:proofErr w:type="spellEnd"/>
      <w:r>
        <w:rPr>
          <w:rFonts w:eastAsia="Arial" w:cs="Arial"/>
          <w:szCs w:val="24"/>
        </w:rPr>
        <w:t xml:space="preserve"> et al., 2022; HLS-EU Consortium, 2012). In my view, communicative or interactive health literacy has an impact on the outcome of critical health literacy in the community. For example, “Appraisal of health information” tells us that the community can evaluate or assess whether a piece of health information is beneficial or not. A good appraisal of health information is related to the “Ability to find good health information,” which connotes high communicative or interactive health literacy. Although in the study by </w:t>
      </w:r>
      <w:proofErr w:type="spellStart"/>
      <w:r>
        <w:rPr>
          <w:rFonts w:eastAsia="Arial" w:cs="Arial"/>
          <w:szCs w:val="24"/>
        </w:rPr>
        <w:t>Capelletti</w:t>
      </w:r>
      <w:proofErr w:type="spellEnd"/>
      <w:r>
        <w:rPr>
          <w:rFonts w:eastAsia="Arial" w:cs="Arial"/>
          <w:szCs w:val="24"/>
        </w:rPr>
        <w:t xml:space="preserve">, Greco, </w:t>
      </w:r>
      <w:proofErr w:type="spellStart"/>
      <w:r>
        <w:rPr>
          <w:rFonts w:eastAsia="Arial" w:cs="Arial"/>
          <w:szCs w:val="24"/>
        </w:rPr>
        <w:t>Maloberti</w:t>
      </w:r>
      <w:proofErr w:type="spellEnd"/>
      <w:r>
        <w:rPr>
          <w:rFonts w:eastAsia="Arial" w:cs="Arial"/>
          <w:szCs w:val="24"/>
        </w:rPr>
        <w:t xml:space="preserve">, et al. (2020), patients with hypertension showed a general decrease in desire for information and showed little interest in engaging with health professionals in communication as their disease progressed. The study, however, suggests that the Community of </w:t>
      </w:r>
      <w:proofErr w:type="spellStart"/>
      <w:r>
        <w:rPr>
          <w:rFonts w:eastAsia="Arial" w:cs="Arial"/>
          <w:szCs w:val="24"/>
        </w:rPr>
        <w:t>Bukuhan</w:t>
      </w:r>
      <w:proofErr w:type="spellEnd"/>
      <w:r>
        <w:rPr>
          <w:rFonts w:eastAsia="Arial" w:cs="Arial"/>
          <w:szCs w:val="24"/>
        </w:rPr>
        <w:t xml:space="preserve"> has the ability to engage with healthcare providers (Table 9). More so, “Actively managing my health” implied that the community knows what to do whenever they experience a health concern, in this context, hypertension. This can be associated with the high score in the ability to “Navigate the health care system”, which was a question under communicative or interactive health literacy. This is important because it only shows that the community may have high trust in the primary health care facility or the health center located in their area. This assumption is the same as the finding by Liu, Yin, Zheng, et al. (2019). In the study, it was shown that around 88% of hypertensive patients in Heilongjiang Province preferred to go to their village clinic. Further, the research is limited to general questions and does not evaluate the reasons for every question in the critical health literacy domains. Some topics could be explored, like 1) hypertension management administered by the primary health institution and 2) hypertension education from a primary care physician or health provider (Liu, Yin, Zheng, et al., 2019).</w:t>
      </w:r>
    </w:p>
    <w:p w14:paraId="7B236D5E" w14:textId="77777777" w:rsidR="001F45F6" w:rsidRDefault="001F45F6">
      <w:pPr>
        <w:rPr>
          <w:rFonts w:eastAsia="Arial" w:cs="Arial"/>
          <w:b/>
          <w:szCs w:val="24"/>
        </w:rPr>
      </w:pPr>
      <w:r>
        <w:rPr>
          <w:rFonts w:eastAsia="Arial" w:cs="Arial"/>
          <w:b/>
          <w:szCs w:val="24"/>
        </w:rPr>
        <w:br w:type="page"/>
      </w:r>
    </w:p>
    <w:p w14:paraId="5AA5020E" w14:textId="4EA06A86" w:rsidR="007C6854" w:rsidRDefault="00E0219E" w:rsidP="00F362B2">
      <w:pPr>
        <w:spacing w:after="160" w:line="360" w:lineRule="auto"/>
        <w:rPr>
          <w:rFonts w:eastAsia="Arial" w:cs="Arial"/>
          <w:b/>
          <w:szCs w:val="24"/>
        </w:rPr>
      </w:pPr>
      <w:r>
        <w:rPr>
          <w:rFonts w:eastAsia="Arial" w:cs="Arial"/>
          <w:b/>
          <w:szCs w:val="24"/>
        </w:rPr>
        <w:lastRenderedPageBreak/>
        <w:t>Table 9</w:t>
      </w:r>
    </w:p>
    <w:p w14:paraId="074CCB5A" w14:textId="77777777" w:rsidR="007C6854" w:rsidRDefault="00E0219E" w:rsidP="00F362B2">
      <w:pPr>
        <w:spacing w:after="160" w:line="360" w:lineRule="auto"/>
        <w:jc w:val="both"/>
        <w:rPr>
          <w:rFonts w:eastAsia="Arial" w:cs="Arial"/>
          <w:i/>
          <w:szCs w:val="24"/>
        </w:rPr>
      </w:pPr>
      <w:r>
        <w:rPr>
          <w:rFonts w:eastAsia="Arial" w:cs="Arial"/>
          <w:i/>
          <w:szCs w:val="24"/>
        </w:rPr>
        <w:t xml:space="preserve">Median and Interquartile Range Health Literacy Scores of the Respondents by Critical Health Literacy Domain </w:t>
      </w:r>
    </w:p>
    <w:tbl>
      <w:tblPr>
        <w:tblStyle w:val="afff9"/>
        <w:tblW w:w="8926" w:type="dxa"/>
        <w:jc w:val="center"/>
        <w:tblLayout w:type="fixed"/>
        <w:tblLook w:val="0400" w:firstRow="0" w:lastRow="0" w:firstColumn="0" w:lastColumn="0" w:noHBand="0" w:noVBand="1"/>
      </w:tblPr>
      <w:tblGrid>
        <w:gridCol w:w="3266"/>
        <w:gridCol w:w="788"/>
        <w:gridCol w:w="1580"/>
        <w:gridCol w:w="1580"/>
        <w:gridCol w:w="1712"/>
      </w:tblGrid>
      <w:tr w:rsidR="007C6854" w14:paraId="14DA3A1A" w14:textId="77777777" w:rsidTr="001F45F6">
        <w:trPr>
          <w:jc w:val="center"/>
        </w:trPr>
        <w:tc>
          <w:tcPr>
            <w:tcW w:w="3266" w:type="dxa"/>
            <w:tcBorders>
              <w:top w:val="single" w:sz="4" w:space="0" w:color="auto"/>
              <w:bottom w:val="single" w:sz="4" w:space="0" w:color="auto"/>
            </w:tcBorders>
            <w:vAlign w:val="center"/>
          </w:tcPr>
          <w:p w14:paraId="2821DD44" w14:textId="77777777" w:rsidR="007C6854" w:rsidRDefault="00E0219E">
            <w:pPr>
              <w:spacing w:line="259" w:lineRule="auto"/>
              <w:rPr>
                <w:rFonts w:eastAsia="Arial" w:cs="Arial"/>
                <w:szCs w:val="24"/>
              </w:rPr>
            </w:pPr>
            <w:r>
              <w:rPr>
                <w:rFonts w:eastAsia="Arial" w:cs="Arial"/>
                <w:szCs w:val="24"/>
              </w:rPr>
              <w:t>Critical Health Literacy Domain</w:t>
            </w:r>
          </w:p>
        </w:tc>
        <w:tc>
          <w:tcPr>
            <w:tcW w:w="788" w:type="dxa"/>
            <w:tcBorders>
              <w:top w:val="single" w:sz="4" w:space="0" w:color="auto"/>
              <w:bottom w:val="single" w:sz="4" w:space="0" w:color="auto"/>
            </w:tcBorders>
            <w:vAlign w:val="center"/>
          </w:tcPr>
          <w:p w14:paraId="36323B91" w14:textId="77777777" w:rsidR="007C6854" w:rsidRDefault="00E0219E">
            <w:pPr>
              <w:spacing w:line="259" w:lineRule="auto"/>
              <w:jc w:val="center"/>
              <w:rPr>
                <w:rFonts w:eastAsia="Arial" w:cs="Arial"/>
                <w:szCs w:val="24"/>
              </w:rPr>
            </w:pPr>
            <w:r>
              <w:rPr>
                <w:rFonts w:eastAsia="Arial" w:cs="Arial"/>
                <w:szCs w:val="24"/>
              </w:rPr>
              <w:t>Freq</w:t>
            </w:r>
          </w:p>
        </w:tc>
        <w:tc>
          <w:tcPr>
            <w:tcW w:w="1580" w:type="dxa"/>
            <w:tcBorders>
              <w:top w:val="single" w:sz="4" w:space="0" w:color="auto"/>
              <w:bottom w:val="single" w:sz="4" w:space="0" w:color="auto"/>
            </w:tcBorders>
            <w:vAlign w:val="center"/>
          </w:tcPr>
          <w:p w14:paraId="4023F68D" w14:textId="77777777" w:rsidR="007C6854" w:rsidRDefault="00E0219E">
            <w:pPr>
              <w:spacing w:line="259" w:lineRule="auto"/>
              <w:jc w:val="center"/>
              <w:rPr>
                <w:rFonts w:eastAsia="Arial" w:cs="Arial"/>
                <w:szCs w:val="24"/>
              </w:rPr>
            </w:pPr>
            <w:r>
              <w:rPr>
                <w:rFonts w:eastAsia="Arial" w:cs="Arial"/>
                <w:szCs w:val="24"/>
              </w:rPr>
              <w:t>Median Health Literacy</w:t>
            </w:r>
          </w:p>
        </w:tc>
        <w:tc>
          <w:tcPr>
            <w:tcW w:w="1580" w:type="dxa"/>
            <w:tcBorders>
              <w:top w:val="single" w:sz="4" w:space="0" w:color="auto"/>
              <w:bottom w:val="single" w:sz="4" w:space="0" w:color="auto"/>
            </w:tcBorders>
            <w:vAlign w:val="center"/>
          </w:tcPr>
          <w:p w14:paraId="3EB66700" w14:textId="77777777" w:rsidR="007C6854" w:rsidRDefault="00E0219E">
            <w:pPr>
              <w:spacing w:line="259" w:lineRule="auto"/>
              <w:jc w:val="center"/>
              <w:rPr>
                <w:rFonts w:eastAsia="Arial" w:cs="Arial"/>
                <w:szCs w:val="24"/>
              </w:rPr>
            </w:pPr>
            <w:r>
              <w:rPr>
                <w:rFonts w:eastAsia="Arial" w:cs="Arial"/>
                <w:szCs w:val="24"/>
              </w:rPr>
              <w:t>Interquartile Range (IQR)</w:t>
            </w:r>
          </w:p>
        </w:tc>
        <w:tc>
          <w:tcPr>
            <w:tcW w:w="1712" w:type="dxa"/>
            <w:tcBorders>
              <w:top w:val="single" w:sz="4" w:space="0" w:color="auto"/>
              <w:bottom w:val="single" w:sz="4" w:space="0" w:color="auto"/>
            </w:tcBorders>
            <w:vAlign w:val="center"/>
          </w:tcPr>
          <w:p w14:paraId="769A346D" w14:textId="77777777" w:rsidR="007C6854" w:rsidRDefault="00E0219E">
            <w:pPr>
              <w:spacing w:line="259" w:lineRule="auto"/>
              <w:jc w:val="center"/>
              <w:rPr>
                <w:rFonts w:eastAsia="Arial" w:cs="Arial"/>
                <w:szCs w:val="24"/>
              </w:rPr>
            </w:pPr>
            <w:r>
              <w:rPr>
                <w:rFonts w:eastAsia="Arial" w:cs="Arial"/>
                <w:szCs w:val="24"/>
              </w:rPr>
              <w:t>Interpretation</w:t>
            </w:r>
          </w:p>
        </w:tc>
      </w:tr>
      <w:tr w:rsidR="007C6854" w14:paraId="1C5380CB" w14:textId="77777777" w:rsidTr="001F45F6">
        <w:trPr>
          <w:jc w:val="center"/>
        </w:trPr>
        <w:tc>
          <w:tcPr>
            <w:tcW w:w="3266" w:type="dxa"/>
            <w:tcBorders>
              <w:top w:val="single" w:sz="4" w:space="0" w:color="auto"/>
            </w:tcBorders>
            <w:vAlign w:val="center"/>
          </w:tcPr>
          <w:p w14:paraId="12F3BEB5" w14:textId="77777777" w:rsidR="007C6854" w:rsidRDefault="00E0219E">
            <w:pPr>
              <w:spacing w:line="259" w:lineRule="auto"/>
              <w:rPr>
                <w:rFonts w:eastAsia="Arial" w:cs="Arial"/>
                <w:szCs w:val="24"/>
              </w:rPr>
            </w:pPr>
            <w:r>
              <w:rPr>
                <w:rFonts w:eastAsia="Arial" w:cs="Arial"/>
                <w:szCs w:val="24"/>
              </w:rPr>
              <w:t>Appraisal on Health Information</w:t>
            </w:r>
          </w:p>
        </w:tc>
        <w:tc>
          <w:tcPr>
            <w:tcW w:w="788" w:type="dxa"/>
            <w:tcBorders>
              <w:top w:val="single" w:sz="4" w:space="0" w:color="auto"/>
            </w:tcBorders>
            <w:vAlign w:val="center"/>
          </w:tcPr>
          <w:p w14:paraId="2BE7CF44" w14:textId="77777777" w:rsidR="007C6854" w:rsidRDefault="00E0219E">
            <w:pPr>
              <w:spacing w:line="259" w:lineRule="auto"/>
              <w:jc w:val="center"/>
              <w:rPr>
                <w:rFonts w:eastAsia="Arial" w:cs="Arial"/>
                <w:szCs w:val="24"/>
              </w:rPr>
            </w:pPr>
            <w:r>
              <w:rPr>
                <w:rFonts w:eastAsia="Arial" w:cs="Arial"/>
                <w:szCs w:val="24"/>
              </w:rPr>
              <w:t>151</w:t>
            </w:r>
          </w:p>
        </w:tc>
        <w:tc>
          <w:tcPr>
            <w:tcW w:w="1580" w:type="dxa"/>
            <w:tcBorders>
              <w:top w:val="single" w:sz="4" w:space="0" w:color="auto"/>
            </w:tcBorders>
            <w:vAlign w:val="center"/>
          </w:tcPr>
          <w:p w14:paraId="77072F4E" w14:textId="77777777" w:rsidR="007C6854" w:rsidRDefault="00E0219E">
            <w:pPr>
              <w:spacing w:line="259" w:lineRule="auto"/>
              <w:jc w:val="center"/>
              <w:rPr>
                <w:rFonts w:eastAsia="Arial" w:cs="Arial"/>
                <w:szCs w:val="24"/>
              </w:rPr>
            </w:pPr>
            <w:r>
              <w:rPr>
                <w:rFonts w:eastAsia="Arial" w:cs="Arial"/>
                <w:szCs w:val="24"/>
              </w:rPr>
              <w:t>4</w:t>
            </w:r>
          </w:p>
        </w:tc>
        <w:tc>
          <w:tcPr>
            <w:tcW w:w="1580" w:type="dxa"/>
            <w:tcBorders>
              <w:top w:val="single" w:sz="4" w:space="0" w:color="auto"/>
            </w:tcBorders>
            <w:vAlign w:val="center"/>
          </w:tcPr>
          <w:p w14:paraId="69AEA7BD" w14:textId="77777777" w:rsidR="007C6854" w:rsidRDefault="00E0219E">
            <w:pPr>
              <w:spacing w:line="259" w:lineRule="auto"/>
              <w:jc w:val="center"/>
              <w:rPr>
                <w:rFonts w:eastAsia="Arial" w:cs="Arial"/>
                <w:szCs w:val="24"/>
              </w:rPr>
            </w:pPr>
            <w:r>
              <w:rPr>
                <w:rFonts w:eastAsia="Arial" w:cs="Arial"/>
                <w:szCs w:val="24"/>
              </w:rPr>
              <w:t>3 - 4.6</w:t>
            </w:r>
          </w:p>
        </w:tc>
        <w:tc>
          <w:tcPr>
            <w:tcW w:w="1712" w:type="dxa"/>
            <w:tcBorders>
              <w:top w:val="single" w:sz="4" w:space="0" w:color="auto"/>
            </w:tcBorders>
            <w:vAlign w:val="center"/>
          </w:tcPr>
          <w:p w14:paraId="6C65E6C8" w14:textId="77777777" w:rsidR="007C6854" w:rsidRDefault="00E0219E">
            <w:pPr>
              <w:spacing w:line="259" w:lineRule="auto"/>
              <w:jc w:val="center"/>
              <w:rPr>
                <w:rFonts w:eastAsia="Arial" w:cs="Arial"/>
                <w:szCs w:val="24"/>
              </w:rPr>
            </w:pPr>
            <w:r>
              <w:rPr>
                <w:rFonts w:eastAsia="Arial" w:cs="Arial"/>
                <w:szCs w:val="24"/>
              </w:rPr>
              <w:t>High</w:t>
            </w:r>
          </w:p>
        </w:tc>
      </w:tr>
      <w:tr w:rsidR="007C6854" w14:paraId="4D15AD08" w14:textId="77777777" w:rsidTr="001F45F6">
        <w:trPr>
          <w:jc w:val="center"/>
        </w:trPr>
        <w:tc>
          <w:tcPr>
            <w:tcW w:w="3266" w:type="dxa"/>
            <w:tcBorders>
              <w:bottom w:val="single" w:sz="4" w:space="0" w:color="auto"/>
            </w:tcBorders>
            <w:vAlign w:val="center"/>
          </w:tcPr>
          <w:p w14:paraId="4A80A238" w14:textId="77777777" w:rsidR="007C6854" w:rsidRDefault="00E0219E">
            <w:pPr>
              <w:spacing w:line="259" w:lineRule="auto"/>
              <w:rPr>
                <w:rFonts w:eastAsia="Arial" w:cs="Arial"/>
                <w:szCs w:val="24"/>
              </w:rPr>
            </w:pPr>
            <w:r>
              <w:rPr>
                <w:rFonts w:eastAsia="Arial" w:cs="Arial"/>
                <w:szCs w:val="24"/>
              </w:rPr>
              <w:t>Actively managing my health</w:t>
            </w:r>
          </w:p>
        </w:tc>
        <w:tc>
          <w:tcPr>
            <w:tcW w:w="788" w:type="dxa"/>
            <w:tcBorders>
              <w:bottom w:val="single" w:sz="4" w:space="0" w:color="auto"/>
            </w:tcBorders>
            <w:vAlign w:val="center"/>
          </w:tcPr>
          <w:p w14:paraId="43DC1A35" w14:textId="77777777" w:rsidR="007C6854" w:rsidRDefault="00E0219E">
            <w:pPr>
              <w:spacing w:line="259" w:lineRule="auto"/>
              <w:jc w:val="center"/>
              <w:rPr>
                <w:rFonts w:eastAsia="Arial" w:cs="Arial"/>
                <w:szCs w:val="24"/>
              </w:rPr>
            </w:pPr>
            <w:r>
              <w:rPr>
                <w:rFonts w:eastAsia="Arial" w:cs="Arial"/>
                <w:szCs w:val="24"/>
              </w:rPr>
              <w:t>151</w:t>
            </w:r>
          </w:p>
        </w:tc>
        <w:tc>
          <w:tcPr>
            <w:tcW w:w="1580" w:type="dxa"/>
            <w:tcBorders>
              <w:bottom w:val="single" w:sz="4" w:space="0" w:color="auto"/>
            </w:tcBorders>
            <w:vAlign w:val="center"/>
          </w:tcPr>
          <w:p w14:paraId="6DE63140" w14:textId="77777777" w:rsidR="007C6854" w:rsidRDefault="00E0219E">
            <w:pPr>
              <w:spacing w:line="259" w:lineRule="auto"/>
              <w:jc w:val="center"/>
              <w:rPr>
                <w:rFonts w:eastAsia="Arial" w:cs="Arial"/>
                <w:szCs w:val="24"/>
              </w:rPr>
            </w:pPr>
            <w:r>
              <w:rPr>
                <w:rFonts w:eastAsia="Arial" w:cs="Arial"/>
                <w:szCs w:val="24"/>
              </w:rPr>
              <w:t>4</w:t>
            </w:r>
          </w:p>
        </w:tc>
        <w:tc>
          <w:tcPr>
            <w:tcW w:w="1580" w:type="dxa"/>
            <w:tcBorders>
              <w:bottom w:val="single" w:sz="4" w:space="0" w:color="auto"/>
            </w:tcBorders>
            <w:vAlign w:val="center"/>
          </w:tcPr>
          <w:p w14:paraId="32FC67D3" w14:textId="77777777" w:rsidR="007C6854" w:rsidRDefault="00E0219E">
            <w:pPr>
              <w:spacing w:line="259" w:lineRule="auto"/>
              <w:jc w:val="center"/>
              <w:rPr>
                <w:rFonts w:eastAsia="Arial" w:cs="Arial"/>
                <w:szCs w:val="24"/>
              </w:rPr>
            </w:pPr>
            <w:r>
              <w:rPr>
                <w:rFonts w:eastAsia="Arial" w:cs="Arial"/>
                <w:szCs w:val="24"/>
              </w:rPr>
              <w:t>3 - 4</w:t>
            </w:r>
          </w:p>
        </w:tc>
        <w:tc>
          <w:tcPr>
            <w:tcW w:w="1712" w:type="dxa"/>
            <w:tcBorders>
              <w:bottom w:val="single" w:sz="4" w:space="0" w:color="auto"/>
            </w:tcBorders>
            <w:vAlign w:val="center"/>
          </w:tcPr>
          <w:p w14:paraId="1827E1FF" w14:textId="77777777" w:rsidR="007C6854" w:rsidRDefault="00E0219E">
            <w:pPr>
              <w:spacing w:line="259" w:lineRule="auto"/>
              <w:jc w:val="center"/>
              <w:rPr>
                <w:rFonts w:eastAsia="Arial" w:cs="Arial"/>
                <w:szCs w:val="24"/>
              </w:rPr>
            </w:pPr>
            <w:r>
              <w:rPr>
                <w:rFonts w:eastAsia="Arial" w:cs="Arial"/>
                <w:szCs w:val="24"/>
              </w:rPr>
              <w:t>High</w:t>
            </w:r>
          </w:p>
        </w:tc>
      </w:tr>
    </w:tbl>
    <w:p w14:paraId="539BEAFD" w14:textId="77777777" w:rsidR="007C6854" w:rsidRDefault="007C6854">
      <w:pPr>
        <w:spacing w:after="160" w:line="259" w:lineRule="auto"/>
        <w:ind w:left="720"/>
        <w:rPr>
          <w:rFonts w:eastAsia="Arial" w:cs="Arial"/>
          <w:szCs w:val="24"/>
        </w:rPr>
      </w:pPr>
    </w:p>
    <w:p w14:paraId="5F9BE72F" w14:textId="6C79DDE5" w:rsidR="007C6854" w:rsidRPr="00F362B2" w:rsidRDefault="00E0219E" w:rsidP="00F362B2">
      <w:pPr>
        <w:pStyle w:val="Heading3"/>
        <w:spacing w:line="480" w:lineRule="auto"/>
        <w:rPr>
          <w:rFonts w:eastAsia="Arial" w:cs="Arial"/>
          <w:sz w:val="24"/>
          <w:szCs w:val="24"/>
          <w:highlight w:val="white"/>
        </w:rPr>
      </w:pPr>
      <w:bookmarkStart w:id="61" w:name="_heading=h.1egqt2p" w:colFirst="0" w:colLast="0"/>
      <w:bookmarkEnd w:id="61"/>
      <w:r>
        <w:rPr>
          <w:rFonts w:eastAsia="Arial" w:cs="Arial"/>
          <w:sz w:val="24"/>
          <w:szCs w:val="24"/>
          <w:highlight w:val="white"/>
        </w:rPr>
        <w:t>Overall or Total Health Literacy Score</w:t>
      </w:r>
    </w:p>
    <w:p w14:paraId="4492E45B" w14:textId="77777777" w:rsidR="00956858" w:rsidRDefault="00E0219E" w:rsidP="00956858">
      <w:pPr>
        <w:spacing w:after="160" w:line="480" w:lineRule="auto"/>
        <w:ind w:firstLine="720"/>
        <w:jc w:val="both"/>
        <w:rPr>
          <w:rFonts w:eastAsia="Arial" w:cs="Arial"/>
          <w:color w:val="111111"/>
          <w:szCs w:val="24"/>
          <w:highlight w:val="white"/>
        </w:rPr>
      </w:pPr>
      <w:r>
        <w:rPr>
          <w:rFonts w:eastAsia="Arial" w:cs="Arial"/>
          <w:color w:val="111111"/>
          <w:szCs w:val="24"/>
          <w:highlight w:val="white"/>
        </w:rPr>
        <w:t xml:space="preserve">Table 10 shows that the median value of total health literacy is 3.9 (IQR = 3.25–4.23). The total health literacy score in the Community of </w:t>
      </w:r>
      <w:proofErr w:type="spellStart"/>
      <w:r>
        <w:rPr>
          <w:rFonts w:eastAsia="Arial" w:cs="Arial"/>
          <w:color w:val="111111"/>
          <w:szCs w:val="24"/>
          <w:highlight w:val="white"/>
        </w:rPr>
        <w:t>Bukuhan</w:t>
      </w:r>
      <w:proofErr w:type="spellEnd"/>
      <w:r>
        <w:rPr>
          <w:rFonts w:eastAsia="Arial" w:cs="Arial"/>
          <w:color w:val="111111"/>
          <w:szCs w:val="24"/>
          <w:highlight w:val="white"/>
        </w:rPr>
        <w:t xml:space="preserve"> was interpreted as having poor health literacy. In comparison by level of health literacy, Basic Health Literacy (Median = 3.7, IQR = 3–4) and Communicative or Functional Health Literacy (Median = 3.9, IQR = 3.25–4.25) showed poor performance, while Critical Health Literacy (Median = 4, IQR = 3.5–4.3) was high.</w:t>
      </w:r>
    </w:p>
    <w:p w14:paraId="3CB28974" w14:textId="3D8F7BF3" w:rsidR="007C6854" w:rsidRDefault="00E0219E" w:rsidP="00956858">
      <w:pPr>
        <w:spacing w:after="160" w:line="480" w:lineRule="auto"/>
        <w:ind w:firstLine="720"/>
        <w:jc w:val="both"/>
        <w:rPr>
          <w:rFonts w:eastAsia="Arial" w:cs="Arial"/>
          <w:color w:val="111111"/>
          <w:szCs w:val="24"/>
          <w:highlight w:val="white"/>
        </w:rPr>
      </w:pPr>
      <w:r>
        <w:rPr>
          <w:rFonts w:eastAsia="Arial" w:cs="Arial"/>
          <w:color w:val="111111"/>
          <w:szCs w:val="24"/>
          <w:highlight w:val="white"/>
        </w:rPr>
        <w:t xml:space="preserve">Basic or functional health literacy is where the ability to read, comprehend, and write is measured in study participants. Some literature says that inadequate functional health literacy is a risk factor for serious illness and hospitalization (Baker et al., 2002; Tilahun et al., 2021). On the other hand, communicative and critical health literacy are important in ensuring patients access to quality health care, especially for patients with hypertension, and their ability to self-manage their condition (Tilahun, Abera, &amp; </w:t>
      </w:r>
      <w:proofErr w:type="spellStart"/>
      <w:r>
        <w:rPr>
          <w:rFonts w:eastAsia="Arial" w:cs="Arial"/>
          <w:color w:val="111111"/>
          <w:szCs w:val="24"/>
          <w:highlight w:val="white"/>
        </w:rPr>
        <w:t>Nemera</w:t>
      </w:r>
      <w:proofErr w:type="spellEnd"/>
      <w:r>
        <w:rPr>
          <w:rFonts w:eastAsia="Arial" w:cs="Arial"/>
          <w:color w:val="111111"/>
          <w:szCs w:val="24"/>
          <w:highlight w:val="white"/>
        </w:rPr>
        <w:t>, 2021; Shan et al., 2023).</w:t>
      </w:r>
    </w:p>
    <w:p w14:paraId="29C2B8D3" w14:textId="77777777" w:rsidR="00956858" w:rsidRDefault="00956858">
      <w:pPr>
        <w:rPr>
          <w:rFonts w:eastAsia="Arial" w:cs="Arial"/>
          <w:b/>
          <w:szCs w:val="24"/>
        </w:rPr>
      </w:pPr>
      <w:r>
        <w:rPr>
          <w:rFonts w:eastAsia="Arial" w:cs="Arial"/>
          <w:b/>
          <w:szCs w:val="24"/>
        </w:rPr>
        <w:br w:type="page"/>
      </w:r>
    </w:p>
    <w:p w14:paraId="284FF97D" w14:textId="5467B61F" w:rsidR="007C6854" w:rsidRDefault="00E0219E" w:rsidP="00F362B2">
      <w:pPr>
        <w:rPr>
          <w:rFonts w:eastAsia="Arial" w:cs="Arial"/>
          <w:b/>
          <w:szCs w:val="24"/>
        </w:rPr>
      </w:pPr>
      <w:r>
        <w:rPr>
          <w:rFonts w:eastAsia="Arial" w:cs="Arial"/>
          <w:b/>
          <w:szCs w:val="24"/>
        </w:rPr>
        <w:lastRenderedPageBreak/>
        <w:t xml:space="preserve">Table 10 </w:t>
      </w:r>
    </w:p>
    <w:p w14:paraId="1F22FBCA" w14:textId="77777777" w:rsidR="007C6854" w:rsidRDefault="00E0219E">
      <w:pPr>
        <w:spacing w:after="160" w:line="360" w:lineRule="auto"/>
        <w:jc w:val="both"/>
        <w:rPr>
          <w:rFonts w:eastAsia="Arial" w:cs="Arial"/>
          <w:i/>
          <w:szCs w:val="24"/>
        </w:rPr>
      </w:pPr>
      <w:r>
        <w:rPr>
          <w:rFonts w:eastAsia="Arial" w:cs="Arial"/>
          <w:i/>
          <w:szCs w:val="24"/>
        </w:rPr>
        <w:t>Median and Interquartile Range Health Literacy Score of the Respondents by Total Health Literacy and Health Literacy Domain (Basic health literacy, Communicative or Interactive health literacy, and Critical health literacy)</w:t>
      </w:r>
    </w:p>
    <w:tbl>
      <w:tblPr>
        <w:tblStyle w:val="afffa"/>
        <w:tblW w:w="8784" w:type="dxa"/>
        <w:jc w:val="center"/>
        <w:tblLayout w:type="fixed"/>
        <w:tblLook w:val="0400" w:firstRow="0" w:lastRow="0" w:firstColumn="0" w:lastColumn="0" w:noHBand="0" w:noVBand="1"/>
      </w:tblPr>
      <w:tblGrid>
        <w:gridCol w:w="2977"/>
        <w:gridCol w:w="860"/>
        <w:gridCol w:w="1649"/>
        <w:gridCol w:w="1649"/>
        <w:gridCol w:w="1649"/>
      </w:tblGrid>
      <w:tr w:rsidR="007C6854" w14:paraId="372E2AB0" w14:textId="77777777" w:rsidTr="00956858">
        <w:trPr>
          <w:jc w:val="center"/>
        </w:trPr>
        <w:tc>
          <w:tcPr>
            <w:tcW w:w="2977" w:type="dxa"/>
            <w:tcBorders>
              <w:top w:val="single" w:sz="4" w:space="0" w:color="auto"/>
              <w:bottom w:val="single" w:sz="4" w:space="0" w:color="auto"/>
            </w:tcBorders>
            <w:vAlign w:val="center"/>
          </w:tcPr>
          <w:p w14:paraId="1C2243E2" w14:textId="77777777" w:rsidR="007C6854" w:rsidRDefault="007C6854">
            <w:pPr>
              <w:spacing w:line="259" w:lineRule="auto"/>
              <w:rPr>
                <w:rFonts w:eastAsia="Arial" w:cs="Arial"/>
                <w:szCs w:val="24"/>
              </w:rPr>
            </w:pPr>
          </w:p>
        </w:tc>
        <w:tc>
          <w:tcPr>
            <w:tcW w:w="860" w:type="dxa"/>
            <w:tcBorders>
              <w:top w:val="single" w:sz="4" w:space="0" w:color="auto"/>
              <w:bottom w:val="single" w:sz="4" w:space="0" w:color="auto"/>
            </w:tcBorders>
            <w:vAlign w:val="center"/>
          </w:tcPr>
          <w:p w14:paraId="69930439" w14:textId="77777777" w:rsidR="007C6854" w:rsidRDefault="00E0219E">
            <w:pPr>
              <w:spacing w:line="259" w:lineRule="auto"/>
              <w:jc w:val="center"/>
              <w:rPr>
                <w:rFonts w:eastAsia="Arial" w:cs="Arial"/>
                <w:szCs w:val="24"/>
              </w:rPr>
            </w:pPr>
            <w:r>
              <w:rPr>
                <w:rFonts w:eastAsia="Arial" w:cs="Arial"/>
                <w:szCs w:val="24"/>
              </w:rPr>
              <w:t>Freq</w:t>
            </w:r>
          </w:p>
        </w:tc>
        <w:tc>
          <w:tcPr>
            <w:tcW w:w="1649" w:type="dxa"/>
            <w:tcBorders>
              <w:top w:val="single" w:sz="4" w:space="0" w:color="auto"/>
              <w:bottom w:val="single" w:sz="4" w:space="0" w:color="auto"/>
            </w:tcBorders>
            <w:vAlign w:val="center"/>
          </w:tcPr>
          <w:p w14:paraId="4815F7B7" w14:textId="77777777" w:rsidR="007C6854" w:rsidRDefault="00E0219E">
            <w:pPr>
              <w:spacing w:line="259" w:lineRule="auto"/>
              <w:jc w:val="center"/>
              <w:rPr>
                <w:rFonts w:eastAsia="Arial" w:cs="Arial"/>
                <w:szCs w:val="24"/>
              </w:rPr>
            </w:pPr>
            <w:r>
              <w:rPr>
                <w:rFonts w:eastAsia="Arial" w:cs="Arial"/>
                <w:szCs w:val="24"/>
              </w:rPr>
              <w:t>Median Health Literacy</w:t>
            </w:r>
          </w:p>
        </w:tc>
        <w:tc>
          <w:tcPr>
            <w:tcW w:w="1649" w:type="dxa"/>
            <w:tcBorders>
              <w:top w:val="single" w:sz="4" w:space="0" w:color="auto"/>
              <w:bottom w:val="single" w:sz="4" w:space="0" w:color="auto"/>
            </w:tcBorders>
            <w:vAlign w:val="center"/>
          </w:tcPr>
          <w:p w14:paraId="0DCD0EBC" w14:textId="77777777" w:rsidR="007C6854" w:rsidRDefault="00E0219E">
            <w:pPr>
              <w:spacing w:line="259" w:lineRule="auto"/>
              <w:jc w:val="center"/>
              <w:rPr>
                <w:rFonts w:eastAsia="Arial" w:cs="Arial"/>
                <w:szCs w:val="24"/>
              </w:rPr>
            </w:pPr>
            <w:r>
              <w:rPr>
                <w:rFonts w:eastAsia="Arial" w:cs="Arial"/>
                <w:szCs w:val="24"/>
              </w:rPr>
              <w:t>Interquartile Range (IQR)</w:t>
            </w:r>
          </w:p>
        </w:tc>
        <w:tc>
          <w:tcPr>
            <w:tcW w:w="1649" w:type="dxa"/>
            <w:tcBorders>
              <w:top w:val="single" w:sz="4" w:space="0" w:color="auto"/>
              <w:bottom w:val="single" w:sz="4" w:space="0" w:color="auto"/>
            </w:tcBorders>
            <w:vAlign w:val="center"/>
          </w:tcPr>
          <w:p w14:paraId="0EBB0151" w14:textId="77777777" w:rsidR="007C6854" w:rsidRDefault="00E0219E">
            <w:pPr>
              <w:spacing w:line="259" w:lineRule="auto"/>
              <w:jc w:val="center"/>
              <w:rPr>
                <w:rFonts w:eastAsia="Arial" w:cs="Arial"/>
                <w:szCs w:val="24"/>
              </w:rPr>
            </w:pPr>
            <w:r>
              <w:rPr>
                <w:rFonts w:eastAsia="Arial" w:cs="Arial"/>
                <w:szCs w:val="24"/>
              </w:rPr>
              <w:t>Interpretation</w:t>
            </w:r>
          </w:p>
        </w:tc>
      </w:tr>
      <w:tr w:rsidR="007C6854" w14:paraId="19E0BC6B" w14:textId="77777777" w:rsidTr="00956858">
        <w:trPr>
          <w:jc w:val="center"/>
        </w:trPr>
        <w:tc>
          <w:tcPr>
            <w:tcW w:w="2977" w:type="dxa"/>
            <w:tcBorders>
              <w:top w:val="single" w:sz="4" w:space="0" w:color="auto"/>
            </w:tcBorders>
            <w:vAlign w:val="center"/>
          </w:tcPr>
          <w:p w14:paraId="01286680" w14:textId="77777777" w:rsidR="007C6854" w:rsidRDefault="00E0219E">
            <w:pPr>
              <w:spacing w:line="259" w:lineRule="auto"/>
              <w:rPr>
                <w:rFonts w:eastAsia="Arial" w:cs="Arial"/>
                <w:szCs w:val="24"/>
              </w:rPr>
            </w:pPr>
            <w:r>
              <w:rPr>
                <w:rFonts w:eastAsia="Arial" w:cs="Arial"/>
                <w:szCs w:val="24"/>
              </w:rPr>
              <w:t>Total Health Literacy</w:t>
            </w:r>
          </w:p>
        </w:tc>
        <w:tc>
          <w:tcPr>
            <w:tcW w:w="860" w:type="dxa"/>
            <w:tcBorders>
              <w:top w:val="single" w:sz="4" w:space="0" w:color="auto"/>
            </w:tcBorders>
            <w:vAlign w:val="center"/>
          </w:tcPr>
          <w:p w14:paraId="05F0F7B2" w14:textId="77777777" w:rsidR="007C6854" w:rsidRDefault="00E0219E">
            <w:pPr>
              <w:spacing w:line="259" w:lineRule="auto"/>
              <w:jc w:val="center"/>
              <w:rPr>
                <w:rFonts w:eastAsia="Arial" w:cs="Arial"/>
                <w:szCs w:val="24"/>
              </w:rPr>
            </w:pPr>
            <w:r>
              <w:rPr>
                <w:rFonts w:eastAsia="Arial" w:cs="Arial"/>
                <w:szCs w:val="24"/>
              </w:rPr>
              <w:t>151</w:t>
            </w:r>
          </w:p>
        </w:tc>
        <w:tc>
          <w:tcPr>
            <w:tcW w:w="1649" w:type="dxa"/>
            <w:tcBorders>
              <w:top w:val="single" w:sz="4" w:space="0" w:color="auto"/>
            </w:tcBorders>
            <w:vAlign w:val="center"/>
          </w:tcPr>
          <w:p w14:paraId="085B2E2D" w14:textId="77777777" w:rsidR="007C6854" w:rsidRDefault="00E0219E">
            <w:pPr>
              <w:spacing w:line="259" w:lineRule="auto"/>
              <w:jc w:val="center"/>
              <w:rPr>
                <w:rFonts w:eastAsia="Arial" w:cs="Arial"/>
                <w:szCs w:val="24"/>
              </w:rPr>
            </w:pPr>
            <w:r>
              <w:rPr>
                <w:rFonts w:eastAsia="Arial" w:cs="Arial"/>
                <w:szCs w:val="24"/>
              </w:rPr>
              <w:t>3.9</w:t>
            </w:r>
          </w:p>
        </w:tc>
        <w:tc>
          <w:tcPr>
            <w:tcW w:w="1649" w:type="dxa"/>
            <w:tcBorders>
              <w:top w:val="single" w:sz="4" w:space="0" w:color="auto"/>
            </w:tcBorders>
            <w:vAlign w:val="center"/>
          </w:tcPr>
          <w:p w14:paraId="2D073066" w14:textId="77777777" w:rsidR="007C6854" w:rsidRDefault="00E0219E">
            <w:pPr>
              <w:spacing w:line="259" w:lineRule="auto"/>
              <w:jc w:val="center"/>
              <w:rPr>
                <w:rFonts w:eastAsia="Arial" w:cs="Arial"/>
                <w:szCs w:val="24"/>
              </w:rPr>
            </w:pPr>
            <w:r>
              <w:rPr>
                <w:rFonts w:eastAsia="Arial" w:cs="Arial"/>
                <w:szCs w:val="24"/>
              </w:rPr>
              <w:t>3.25 - 4.23</w:t>
            </w:r>
          </w:p>
        </w:tc>
        <w:tc>
          <w:tcPr>
            <w:tcW w:w="1649" w:type="dxa"/>
            <w:tcBorders>
              <w:top w:val="single" w:sz="4" w:space="0" w:color="auto"/>
            </w:tcBorders>
            <w:vAlign w:val="center"/>
          </w:tcPr>
          <w:p w14:paraId="07D88E88" w14:textId="77777777" w:rsidR="007C6854" w:rsidRDefault="00E0219E">
            <w:pPr>
              <w:spacing w:line="259" w:lineRule="auto"/>
              <w:jc w:val="center"/>
              <w:rPr>
                <w:rFonts w:eastAsia="Arial" w:cs="Arial"/>
                <w:szCs w:val="24"/>
              </w:rPr>
            </w:pPr>
            <w:r>
              <w:rPr>
                <w:rFonts w:eastAsia="Arial" w:cs="Arial"/>
                <w:szCs w:val="24"/>
              </w:rPr>
              <w:t>Poor</w:t>
            </w:r>
          </w:p>
        </w:tc>
      </w:tr>
      <w:tr w:rsidR="007C6854" w14:paraId="3A5E5CBC" w14:textId="77777777" w:rsidTr="00956858">
        <w:trPr>
          <w:trHeight w:val="200"/>
          <w:jc w:val="center"/>
        </w:trPr>
        <w:tc>
          <w:tcPr>
            <w:tcW w:w="8784" w:type="dxa"/>
            <w:gridSpan w:val="5"/>
            <w:vAlign w:val="center"/>
          </w:tcPr>
          <w:p w14:paraId="5DA91382" w14:textId="77777777" w:rsidR="007C6854" w:rsidRDefault="00E0219E">
            <w:pPr>
              <w:spacing w:line="259" w:lineRule="auto"/>
              <w:rPr>
                <w:rFonts w:eastAsia="Arial" w:cs="Arial"/>
                <w:szCs w:val="24"/>
              </w:rPr>
            </w:pPr>
            <w:r>
              <w:rPr>
                <w:rFonts w:eastAsia="Arial" w:cs="Arial"/>
                <w:szCs w:val="24"/>
              </w:rPr>
              <w:t>By Health Literacy Domain</w:t>
            </w:r>
          </w:p>
        </w:tc>
      </w:tr>
      <w:tr w:rsidR="007C6854" w14:paraId="5000F940" w14:textId="77777777" w:rsidTr="00956858">
        <w:trPr>
          <w:jc w:val="center"/>
        </w:trPr>
        <w:tc>
          <w:tcPr>
            <w:tcW w:w="2977" w:type="dxa"/>
            <w:vAlign w:val="center"/>
          </w:tcPr>
          <w:p w14:paraId="51187176" w14:textId="77777777" w:rsidR="007C6854" w:rsidRDefault="00E0219E">
            <w:pPr>
              <w:spacing w:line="259" w:lineRule="auto"/>
              <w:rPr>
                <w:rFonts w:eastAsia="Arial" w:cs="Arial"/>
                <w:szCs w:val="24"/>
              </w:rPr>
            </w:pPr>
            <w:r>
              <w:rPr>
                <w:rFonts w:eastAsia="Arial" w:cs="Arial"/>
                <w:szCs w:val="24"/>
              </w:rPr>
              <w:t>Basic Health Literacy</w:t>
            </w:r>
          </w:p>
        </w:tc>
        <w:tc>
          <w:tcPr>
            <w:tcW w:w="860" w:type="dxa"/>
            <w:vAlign w:val="center"/>
          </w:tcPr>
          <w:p w14:paraId="31C59B8D" w14:textId="77777777" w:rsidR="007C6854" w:rsidRDefault="00E0219E">
            <w:pPr>
              <w:spacing w:line="259" w:lineRule="auto"/>
              <w:jc w:val="center"/>
              <w:rPr>
                <w:rFonts w:eastAsia="Arial" w:cs="Arial"/>
                <w:szCs w:val="24"/>
              </w:rPr>
            </w:pPr>
            <w:r>
              <w:rPr>
                <w:rFonts w:eastAsia="Arial" w:cs="Arial"/>
                <w:szCs w:val="24"/>
              </w:rPr>
              <w:t>151</w:t>
            </w:r>
          </w:p>
        </w:tc>
        <w:tc>
          <w:tcPr>
            <w:tcW w:w="1649" w:type="dxa"/>
            <w:vAlign w:val="center"/>
          </w:tcPr>
          <w:p w14:paraId="04ED4858" w14:textId="77777777" w:rsidR="007C6854" w:rsidRDefault="00E0219E">
            <w:pPr>
              <w:spacing w:line="259" w:lineRule="auto"/>
              <w:jc w:val="center"/>
              <w:rPr>
                <w:rFonts w:eastAsia="Arial" w:cs="Arial"/>
                <w:szCs w:val="24"/>
              </w:rPr>
            </w:pPr>
            <w:r>
              <w:rPr>
                <w:rFonts w:eastAsia="Arial" w:cs="Arial"/>
                <w:szCs w:val="24"/>
              </w:rPr>
              <w:t>3.7</w:t>
            </w:r>
          </w:p>
        </w:tc>
        <w:tc>
          <w:tcPr>
            <w:tcW w:w="1649" w:type="dxa"/>
            <w:vAlign w:val="center"/>
          </w:tcPr>
          <w:p w14:paraId="1DFCFC76" w14:textId="77777777" w:rsidR="007C6854" w:rsidRDefault="00E0219E">
            <w:pPr>
              <w:spacing w:line="259" w:lineRule="auto"/>
              <w:jc w:val="center"/>
              <w:rPr>
                <w:rFonts w:eastAsia="Arial" w:cs="Arial"/>
                <w:szCs w:val="24"/>
              </w:rPr>
            </w:pPr>
            <w:r>
              <w:rPr>
                <w:rFonts w:eastAsia="Arial" w:cs="Arial"/>
                <w:szCs w:val="24"/>
              </w:rPr>
              <w:t>3 - 4</w:t>
            </w:r>
          </w:p>
        </w:tc>
        <w:tc>
          <w:tcPr>
            <w:tcW w:w="1649" w:type="dxa"/>
            <w:vAlign w:val="center"/>
          </w:tcPr>
          <w:p w14:paraId="0D6DFFF4" w14:textId="77777777" w:rsidR="007C6854" w:rsidRDefault="00E0219E">
            <w:pPr>
              <w:spacing w:line="259" w:lineRule="auto"/>
              <w:jc w:val="center"/>
              <w:rPr>
                <w:rFonts w:eastAsia="Arial" w:cs="Arial"/>
                <w:szCs w:val="24"/>
              </w:rPr>
            </w:pPr>
            <w:r>
              <w:rPr>
                <w:rFonts w:eastAsia="Arial" w:cs="Arial"/>
                <w:szCs w:val="24"/>
              </w:rPr>
              <w:t>Poor</w:t>
            </w:r>
          </w:p>
        </w:tc>
      </w:tr>
      <w:tr w:rsidR="007C6854" w14:paraId="0BE59F8F" w14:textId="77777777" w:rsidTr="00956858">
        <w:trPr>
          <w:jc w:val="center"/>
        </w:trPr>
        <w:tc>
          <w:tcPr>
            <w:tcW w:w="2977" w:type="dxa"/>
            <w:vAlign w:val="center"/>
          </w:tcPr>
          <w:p w14:paraId="5066DC46" w14:textId="77777777" w:rsidR="007C6854" w:rsidRDefault="00E0219E">
            <w:pPr>
              <w:spacing w:line="259" w:lineRule="auto"/>
              <w:rPr>
                <w:rFonts w:eastAsia="Arial" w:cs="Arial"/>
                <w:szCs w:val="24"/>
              </w:rPr>
            </w:pPr>
            <w:r>
              <w:rPr>
                <w:rFonts w:eastAsia="Arial" w:cs="Arial"/>
                <w:szCs w:val="24"/>
              </w:rPr>
              <w:t>Communicative or Interactive Health Literacy</w:t>
            </w:r>
          </w:p>
        </w:tc>
        <w:tc>
          <w:tcPr>
            <w:tcW w:w="860" w:type="dxa"/>
            <w:vAlign w:val="center"/>
          </w:tcPr>
          <w:p w14:paraId="151D42F9" w14:textId="77777777" w:rsidR="007C6854" w:rsidRDefault="00E0219E">
            <w:pPr>
              <w:spacing w:line="259" w:lineRule="auto"/>
              <w:jc w:val="center"/>
              <w:rPr>
                <w:rFonts w:eastAsia="Arial" w:cs="Arial"/>
                <w:szCs w:val="24"/>
              </w:rPr>
            </w:pPr>
            <w:r>
              <w:rPr>
                <w:rFonts w:eastAsia="Arial" w:cs="Arial"/>
                <w:szCs w:val="24"/>
              </w:rPr>
              <w:t>151</w:t>
            </w:r>
          </w:p>
        </w:tc>
        <w:tc>
          <w:tcPr>
            <w:tcW w:w="1649" w:type="dxa"/>
            <w:vAlign w:val="center"/>
          </w:tcPr>
          <w:p w14:paraId="1E9F0042" w14:textId="77777777" w:rsidR="007C6854" w:rsidRDefault="00E0219E">
            <w:pPr>
              <w:spacing w:line="259" w:lineRule="auto"/>
              <w:jc w:val="center"/>
              <w:rPr>
                <w:rFonts w:eastAsia="Arial" w:cs="Arial"/>
                <w:szCs w:val="24"/>
              </w:rPr>
            </w:pPr>
            <w:r>
              <w:rPr>
                <w:rFonts w:eastAsia="Arial" w:cs="Arial"/>
                <w:szCs w:val="24"/>
              </w:rPr>
              <w:t>3.9</w:t>
            </w:r>
          </w:p>
        </w:tc>
        <w:tc>
          <w:tcPr>
            <w:tcW w:w="1649" w:type="dxa"/>
            <w:vAlign w:val="center"/>
          </w:tcPr>
          <w:p w14:paraId="54D9A77C" w14:textId="77777777" w:rsidR="007C6854" w:rsidRDefault="00E0219E">
            <w:pPr>
              <w:spacing w:line="259" w:lineRule="auto"/>
              <w:jc w:val="center"/>
              <w:rPr>
                <w:rFonts w:eastAsia="Arial" w:cs="Arial"/>
                <w:szCs w:val="24"/>
              </w:rPr>
            </w:pPr>
            <w:r>
              <w:rPr>
                <w:rFonts w:eastAsia="Arial" w:cs="Arial"/>
                <w:szCs w:val="24"/>
              </w:rPr>
              <w:t>3.25 - 4.25</w:t>
            </w:r>
          </w:p>
        </w:tc>
        <w:tc>
          <w:tcPr>
            <w:tcW w:w="1649" w:type="dxa"/>
            <w:vAlign w:val="center"/>
          </w:tcPr>
          <w:p w14:paraId="3CFB3323" w14:textId="77777777" w:rsidR="007C6854" w:rsidRDefault="00E0219E">
            <w:pPr>
              <w:spacing w:line="259" w:lineRule="auto"/>
              <w:jc w:val="center"/>
              <w:rPr>
                <w:rFonts w:eastAsia="Arial" w:cs="Arial"/>
                <w:szCs w:val="24"/>
              </w:rPr>
            </w:pPr>
            <w:r>
              <w:rPr>
                <w:rFonts w:eastAsia="Arial" w:cs="Arial"/>
                <w:szCs w:val="24"/>
              </w:rPr>
              <w:t>Poor</w:t>
            </w:r>
          </w:p>
        </w:tc>
      </w:tr>
      <w:tr w:rsidR="007C6854" w14:paraId="24518842" w14:textId="77777777" w:rsidTr="00956858">
        <w:trPr>
          <w:jc w:val="center"/>
        </w:trPr>
        <w:tc>
          <w:tcPr>
            <w:tcW w:w="2977" w:type="dxa"/>
            <w:tcBorders>
              <w:bottom w:val="single" w:sz="4" w:space="0" w:color="auto"/>
            </w:tcBorders>
            <w:vAlign w:val="center"/>
          </w:tcPr>
          <w:p w14:paraId="0326DC43" w14:textId="77777777" w:rsidR="007C6854" w:rsidRDefault="00E0219E">
            <w:pPr>
              <w:spacing w:line="259" w:lineRule="auto"/>
              <w:rPr>
                <w:rFonts w:eastAsia="Arial" w:cs="Arial"/>
                <w:szCs w:val="24"/>
              </w:rPr>
            </w:pPr>
            <w:r>
              <w:rPr>
                <w:rFonts w:eastAsia="Arial" w:cs="Arial"/>
                <w:szCs w:val="24"/>
              </w:rPr>
              <w:t>Critical Health Literacy</w:t>
            </w:r>
          </w:p>
        </w:tc>
        <w:tc>
          <w:tcPr>
            <w:tcW w:w="860" w:type="dxa"/>
            <w:tcBorders>
              <w:bottom w:val="single" w:sz="4" w:space="0" w:color="auto"/>
            </w:tcBorders>
            <w:vAlign w:val="center"/>
          </w:tcPr>
          <w:p w14:paraId="04DCA95F" w14:textId="77777777" w:rsidR="007C6854" w:rsidRDefault="00E0219E">
            <w:pPr>
              <w:spacing w:line="259" w:lineRule="auto"/>
              <w:jc w:val="center"/>
              <w:rPr>
                <w:rFonts w:eastAsia="Arial" w:cs="Arial"/>
                <w:szCs w:val="24"/>
              </w:rPr>
            </w:pPr>
            <w:r>
              <w:rPr>
                <w:rFonts w:eastAsia="Arial" w:cs="Arial"/>
                <w:szCs w:val="24"/>
              </w:rPr>
              <w:t>151</w:t>
            </w:r>
          </w:p>
        </w:tc>
        <w:tc>
          <w:tcPr>
            <w:tcW w:w="1649" w:type="dxa"/>
            <w:tcBorders>
              <w:bottom w:val="single" w:sz="4" w:space="0" w:color="auto"/>
            </w:tcBorders>
            <w:vAlign w:val="center"/>
          </w:tcPr>
          <w:p w14:paraId="205A4961" w14:textId="77777777" w:rsidR="007C6854" w:rsidRDefault="00E0219E">
            <w:pPr>
              <w:spacing w:line="259" w:lineRule="auto"/>
              <w:jc w:val="center"/>
              <w:rPr>
                <w:rFonts w:eastAsia="Arial" w:cs="Arial"/>
                <w:szCs w:val="24"/>
              </w:rPr>
            </w:pPr>
            <w:r>
              <w:rPr>
                <w:rFonts w:eastAsia="Arial" w:cs="Arial"/>
                <w:szCs w:val="24"/>
              </w:rPr>
              <w:t>4</w:t>
            </w:r>
          </w:p>
        </w:tc>
        <w:tc>
          <w:tcPr>
            <w:tcW w:w="1649" w:type="dxa"/>
            <w:tcBorders>
              <w:bottom w:val="single" w:sz="4" w:space="0" w:color="auto"/>
            </w:tcBorders>
            <w:vAlign w:val="center"/>
          </w:tcPr>
          <w:p w14:paraId="42BDCA9F" w14:textId="77777777" w:rsidR="007C6854" w:rsidRDefault="00E0219E">
            <w:pPr>
              <w:spacing w:line="259" w:lineRule="auto"/>
              <w:jc w:val="center"/>
              <w:rPr>
                <w:rFonts w:eastAsia="Arial" w:cs="Arial"/>
                <w:szCs w:val="24"/>
              </w:rPr>
            </w:pPr>
            <w:r>
              <w:rPr>
                <w:rFonts w:eastAsia="Arial" w:cs="Arial"/>
                <w:szCs w:val="24"/>
              </w:rPr>
              <w:t>3.5 - 4.3</w:t>
            </w:r>
          </w:p>
        </w:tc>
        <w:tc>
          <w:tcPr>
            <w:tcW w:w="1649" w:type="dxa"/>
            <w:tcBorders>
              <w:bottom w:val="single" w:sz="4" w:space="0" w:color="auto"/>
            </w:tcBorders>
            <w:vAlign w:val="center"/>
          </w:tcPr>
          <w:p w14:paraId="06130FCB" w14:textId="77777777" w:rsidR="007C6854" w:rsidRDefault="00E0219E">
            <w:pPr>
              <w:spacing w:line="259" w:lineRule="auto"/>
              <w:jc w:val="center"/>
              <w:rPr>
                <w:rFonts w:eastAsia="Arial" w:cs="Arial"/>
                <w:szCs w:val="24"/>
              </w:rPr>
            </w:pPr>
            <w:r>
              <w:rPr>
                <w:rFonts w:eastAsia="Arial" w:cs="Arial"/>
                <w:szCs w:val="24"/>
              </w:rPr>
              <w:t>High</w:t>
            </w:r>
          </w:p>
        </w:tc>
      </w:tr>
    </w:tbl>
    <w:p w14:paraId="66E51794" w14:textId="77777777" w:rsidR="007C6854" w:rsidRDefault="007C6854">
      <w:pPr>
        <w:spacing w:after="160" w:line="360" w:lineRule="auto"/>
        <w:ind w:firstLine="720"/>
        <w:rPr>
          <w:rFonts w:eastAsia="Arial" w:cs="Arial"/>
          <w:b/>
          <w:i/>
          <w:szCs w:val="24"/>
        </w:rPr>
      </w:pPr>
    </w:p>
    <w:p w14:paraId="4056F3BF" w14:textId="2AFD2C60" w:rsidR="007C6854" w:rsidRPr="00F362B2" w:rsidRDefault="00E0219E" w:rsidP="00F362B2">
      <w:pPr>
        <w:pStyle w:val="Heading2"/>
        <w:spacing w:line="480" w:lineRule="auto"/>
        <w:jc w:val="both"/>
        <w:rPr>
          <w:rFonts w:eastAsia="Arial" w:cs="Arial"/>
          <w:sz w:val="24"/>
          <w:szCs w:val="24"/>
        </w:rPr>
      </w:pPr>
      <w:bookmarkStart w:id="62" w:name="_heading=h.3ygebqi" w:colFirst="0" w:colLast="0"/>
      <w:bookmarkEnd w:id="62"/>
      <w:r>
        <w:rPr>
          <w:rFonts w:eastAsia="Arial" w:cs="Arial"/>
          <w:sz w:val="24"/>
          <w:szCs w:val="24"/>
        </w:rPr>
        <w:t>Association of Socio-demographic Variables of Urban Poor Settler Groups with Hypertension and Health Literacy</w:t>
      </w:r>
    </w:p>
    <w:p w14:paraId="62D1BA3B" w14:textId="77777777" w:rsidR="007C6854" w:rsidRDefault="00E0219E" w:rsidP="00844861">
      <w:pPr>
        <w:spacing w:after="160" w:line="480" w:lineRule="auto"/>
        <w:ind w:firstLine="720"/>
        <w:jc w:val="both"/>
        <w:rPr>
          <w:rFonts w:eastAsia="Arial" w:cs="Arial"/>
          <w:szCs w:val="24"/>
        </w:rPr>
      </w:pPr>
      <w:r>
        <w:rPr>
          <w:rFonts w:eastAsia="Arial" w:cs="Arial"/>
          <w:szCs w:val="24"/>
        </w:rPr>
        <w:t>The study limits the testing of measures of associations to the following variables: age, gender or sex, educational status, employment status, health insurance coverage, and income or wealth status. This model was applied because the variables on marital status, religion, and ethnic or cultural groups showed irrelevance or showed no meaningful relationship with the outcome variable of interest. For example, marital status has no direct relationship with having hypertension or even having low health literacy. On religion, around 95% were Catholics; this will show an obvious distort in the analysis, while in relation to ethic or cultural sub-groups, the majority were in the Visayas regions, and small samples were computed on the rest; when tested, the result can produce an unstable model or unreliable results.</w:t>
      </w:r>
    </w:p>
    <w:p w14:paraId="22E24D17" w14:textId="77777777" w:rsidR="007C6854" w:rsidRDefault="00E0219E" w:rsidP="00844861">
      <w:pPr>
        <w:spacing w:after="160" w:line="480" w:lineRule="auto"/>
        <w:ind w:firstLine="720"/>
        <w:jc w:val="both"/>
        <w:rPr>
          <w:rFonts w:eastAsia="Arial" w:cs="Arial"/>
          <w:szCs w:val="24"/>
        </w:rPr>
      </w:pPr>
      <w:r>
        <w:rPr>
          <w:rFonts w:eastAsia="Arial" w:cs="Arial"/>
          <w:szCs w:val="24"/>
        </w:rPr>
        <w:lastRenderedPageBreak/>
        <w:t xml:space="preserve">Evaluating using stratified analysis of the socio-demographic characteristics of urban settlers with HPN having low health literacy reveals respondents 60 years old and older had a greater risk compared to those belonging to ages less than 60 years old. No significant association was found between genders. However, the result shows that the odds of getting hypertension among males are 1.42 if the individual has a low level of health literacy. This only reveals that men are more at risk of getting the disease than women. Moreover, having low educational attainment and low health literacy shows greater risk compared with respondents with high educational attainment (Table 11). In their study, Commodore-Mensah et al. (2021) pointed out that the chance of getting Stage 2 hypertension is high among men and women with low educational status. </w:t>
      </w:r>
      <w:r>
        <w:rPr>
          <w:rFonts w:eastAsia="Arial" w:cs="Arial"/>
          <w:color w:val="212121"/>
          <w:szCs w:val="24"/>
          <w:highlight w:val="white"/>
        </w:rPr>
        <w:t xml:space="preserve">Respondents’ age, educational status, and employment status had strong relationships in this study. Age, as an explanatory variable in this study, is included as a risk factor in measuring the risk of an individual having cardiovascular disease (DOH, 2012). </w:t>
      </w:r>
      <w:r>
        <w:rPr>
          <w:rFonts w:eastAsia="Arial" w:cs="Arial"/>
          <w:szCs w:val="24"/>
        </w:rPr>
        <w:t xml:space="preserve">It was also important to consider the risk of respondents ages 40 and older getting the disease. This research found that individuals aged 40 and older have a greater risk. </w:t>
      </w:r>
      <w:r>
        <w:rPr>
          <w:rFonts w:eastAsia="Arial" w:cs="Arial"/>
          <w:color w:val="212121"/>
          <w:szCs w:val="24"/>
          <w:highlight w:val="white"/>
        </w:rPr>
        <w:t xml:space="preserve">On the other hand, </w:t>
      </w:r>
      <w:r>
        <w:rPr>
          <w:rFonts w:eastAsia="Arial" w:cs="Arial"/>
          <w:szCs w:val="24"/>
        </w:rPr>
        <w:t>the majority of respondents surveyed were elderly (ages 60 and above).</w:t>
      </w:r>
      <w:r>
        <w:rPr>
          <w:rFonts w:eastAsia="Arial" w:cs="Arial"/>
          <w:color w:val="212121"/>
          <w:szCs w:val="24"/>
          <w:highlight w:val="white"/>
        </w:rPr>
        <w:t xml:space="preserve"> In the study of Agosto, Briones, and Palatino (2018), it is emphasized that Filipinos 50–70 years old have problematic or inadequate health literacy. Health literacy is a factor affecting a person's health. Individuals with low health literacy have a greater risk of getting a serious illness, including hypertension (Hickey, K. T. et al., 2018). In the report by Hu et al. (2021), it was pointed out that age and gender have a correlation with COVID-19, and the most affected are females and males over 65 years old. The finding of Hu et al. (2021) is important, and in relation to the research, there can be a connection between hypertension and the changes in the behavior of the community during the COVID pandemic. The pandemic restricts an </w:t>
      </w:r>
      <w:r>
        <w:rPr>
          <w:rFonts w:eastAsia="Arial" w:cs="Arial"/>
          <w:color w:val="212121"/>
          <w:szCs w:val="24"/>
          <w:highlight w:val="white"/>
        </w:rPr>
        <w:lastRenderedPageBreak/>
        <w:t>individual's movement due to the Philippine Government's strict quarantine protocol, which prohibits the person from engaging in physical activity, visiting a healthcare facility, engaging in outdoor routine activities, or even going to work. For example, in the report of Tully et al. (2021), showing Google mobility data, people's movements were limited to the following: going to the grocery store or market, pharmacy, and workplace. Also, only younger people are allowed to go out. This is important because the</w:t>
      </w:r>
      <w:r>
        <w:rPr>
          <w:rFonts w:eastAsia="Arial" w:cs="Arial"/>
          <w:szCs w:val="24"/>
        </w:rPr>
        <w:t xml:space="preserve"> reports of Muli et al. and Fryar et al. indicate that hypertension was dominant among the elderly population (Muli, S. et al., 2020; Fryar, C.D. et al., 2017). However, the risk of hypertension was also noticed among lower age groups (Rowlands et al., 2013). Also, Fryar (2017) reported that between 2015 and 2016, in the U.S., hypertension prevalence was 29% and increased as age increased. WHO (2021) reported an increase in hypertension among the age group 30 to 79 years old, while Mills, K.T., et al. (2016) reported a high prevalence of hypertension among 40-year-olds and above. </w:t>
      </w:r>
      <w:r>
        <w:rPr>
          <w:rFonts w:eastAsia="Arial" w:cs="Arial"/>
          <w:color w:val="212121"/>
          <w:szCs w:val="24"/>
          <w:highlight w:val="white"/>
        </w:rPr>
        <w:t xml:space="preserve">The United Health Group (2020) reports that older people who get more healthcare access, take medications, and have chronic conditions show low health literacy. This is important because the findings on health literacy show that the Community of </w:t>
      </w:r>
      <w:proofErr w:type="spellStart"/>
      <w:r>
        <w:rPr>
          <w:rFonts w:eastAsia="Arial" w:cs="Arial"/>
          <w:color w:val="212121"/>
          <w:szCs w:val="24"/>
          <w:highlight w:val="white"/>
        </w:rPr>
        <w:t>Bukuhan</w:t>
      </w:r>
      <w:proofErr w:type="spellEnd"/>
      <w:r>
        <w:rPr>
          <w:rFonts w:eastAsia="Arial" w:cs="Arial"/>
          <w:color w:val="212121"/>
          <w:szCs w:val="24"/>
          <w:highlight w:val="white"/>
        </w:rPr>
        <w:t xml:space="preserve"> was low on Basic or Functional and Communicative or Interactive Health Literacy. This provides a wake-up call to</w:t>
      </w:r>
      <w:r>
        <w:rPr>
          <w:rFonts w:eastAsia="Arial" w:cs="Arial"/>
          <w:szCs w:val="24"/>
        </w:rPr>
        <w:t xml:space="preserve"> </w:t>
      </w:r>
      <w:r>
        <w:rPr>
          <w:rFonts w:eastAsia="Arial" w:cs="Arial"/>
          <w:color w:val="212121"/>
          <w:szCs w:val="24"/>
          <w:highlight w:val="white"/>
        </w:rPr>
        <w:t xml:space="preserve">Pateros to strengthen their hypertension risk assessment activity and promote a healthy lifestyle in urban communities. Pateros had been adopting the WHO PEN for more than a decade; this result was important in the implementation of hypertension and diabetes screening for high-risk individuals. The Department of Health, in its policy, adopted the WHO PEN, emphasizing that risk assessment among people 40 years of age and older is imperative and includes blood pressure measurement as a parameter to assess client’s cardiovascular risk (DOH, 2012). Since the health emergency due to the </w:t>
      </w:r>
      <w:r>
        <w:rPr>
          <w:rFonts w:eastAsia="Arial" w:cs="Arial"/>
          <w:color w:val="212121"/>
          <w:szCs w:val="24"/>
          <w:highlight w:val="white"/>
        </w:rPr>
        <w:lastRenderedPageBreak/>
        <w:t>pandemic has been lifted in the country, the resumption of the risk assessment activity should be strengthened again.</w:t>
      </w:r>
    </w:p>
    <w:p w14:paraId="5EB43529" w14:textId="77777777" w:rsidR="007C6854" w:rsidRDefault="00E0219E" w:rsidP="00844861">
      <w:pPr>
        <w:spacing w:after="160" w:line="480" w:lineRule="auto"/>
        <w:ind w:firstLine="720"/>
        <w:jc w:val="both"/>
        <w:rPr>
          <w:rFonts w:eastAsia="Arial" w:cs="Arial"/>
          <w:szCs w:val="24"/>
        </w:rPr>
      </w:pPr>
      <w:r>
        <w:rPr>
          <w:rFonts w:eastAsia="Arial" w:cs="Arial"/>
          <w:szCs w:val="24"/>
        </w:rPr>
        <w:t xml:space="preserve">Moreover, in Table 11, it was an interesting result that employed individuals with low health literacy have a greater risk (OR = 2.36, 95% CI = 1.19 to 4.68, p-value = 0.0129) compared to unemployed individuals (OR = 0.423, 95% CI = 0.21345 to 0.840, p-value = 0.0129). In addition, those individuals with high education with low health literacy have a lower risk (OR = 0.1438, 95% CI = 0.06985 to 0.296, p-value = 0.0000) compared to individuals with low education status (OR = 6.95, 95% CI = 3.379 to 14.3, p-value = 0.0000). </w:t>
      </w:r>
    </w:p>
    <w:p w14:paraId="42683C83" w14:textId="77777777" w:rsidR="007C6854" w:rsidRDefault="00E0219E" w:rsidP="00844861">
      <w:pPr>
        <w:spacing w:after="160" w:line="480" w:lineRule="auto"/>
        <w:ind w:firstLine="720"/>
        <w:jc w:val="both"/>
        <w:rPr>
          <w:rFonts w:eastAsia="Arial" w:cs="Arial"/>
          <w:color w:val="111111"/>
          <w:szCs w:val="24"/>
          <w:highlight w:val="white"/>
        </w:rPr>
      </w:pPr>
      <w:r>
        <w:rPr>
          <w:rFonts w:eastAsia="Arial" w:cs="Arial"/>
          <w:szCs w:val="24"/>
        </w:rPr>
        <w:t>Analyzing further using the question “Were you first told that you have hypertension in the past 12 months?” as a proxy variable for health seeking behavior, the result shows a significant association with educational status. Those who have high educational status had a lower risk (OR =</w:t>
      </w:r>
      <w:r>
        <w:rPr>
          <w:rFonts w:eastAsia="Arial" w:cs="Arial"/>
        </w:rPr>
        <w:t xml:space="preserve"> </w:t>
      </w:r>
      <w:r>
        <w:rPr>
          <w:rFonts w:eastAsia="Arial" w:cs="Arial"/>
          <w:szCs w:val="24"/>
        </w:rPr>
        <w:t xml:space="preserve">0.144, 95% CI = </w:t>
      </w:r>
      <w:r>
        <w:rPr>
          <w:rFonts w:eastAsia="Arial" w:cs="Arial"/>
          <w:szCs w:val="24"/>
          <w:highlight w:val="white"/>
        </w:rPr>
        <w:t>0.06889 to 0.3</w:t>
      </w:r>
      <w:r>
        <w:rPr>
          <w:rFonts w:eastAsia="Arial" w:cs="Arial"/>
          <w:szCs w:val="24"/>
        </w:rPr>
        <w:t>, p-value = 0.0000) compared to respondents with low educational status (OR = 6.95, 95% CI = 3.329 to 14.5, p-value = 0.0000). This only shows that there is an association between the educational level of individuals with hypertension and health seeking behavior. This result was consistent with other literature. (</w:t>
      </w:r>
      <w:proofErr w:type="spellStart"/>
      <w:r>
        <w:rPr>
          <w:rFonts w:eastAsia="Arial" w:cs="Arial"/>
          <w:szCs w:val="24"/>
        </w:rPr>
        <w:t>Tolabing</w:t>
      </w:r>
      <w:proofErr w:type="spellEnd"/>
      <w:r>
        <w:rPr>
          <w:rFonts w:eastAsia="Arial" w:cs="Arial"/>
          <w:szCs w:val="24"/>
        </w:rPr>
        <w:t xml:space="preserve"> et al., 2022; </w:t>
      </w:r>
      <w:r>
        <w:rPr>
          <w:rFonts w:eastAsia="Arial" w:cs="Arial"/>
          <w:color w:val="111111"/>
          <w:szCs w:val="24"/>
          <w:highlight w:val="white"/>
        </w:rPr>
        <w:t xml:space="preserve">Tilahun, Abera, &amp; </w:t>
      </w:r>
      <w:proofErr w:type="spellStart"/>
      <w:r>
        <w:rPr>
          <w:rFonts w:eastAsia="Arial" w:cs="Arial"/>
          <w:color w:val="111111"/>
          <w:szCs w:val="24"/>
          <w:highlight w:val="white"/>
        </w:rPr>
        <w:t>Nemera</w:t>
      </w:r>
      <w:proofErr w:type="spellEnd"/>
      <w:r>
        <w:rPr>
          <w:rFonts w:eastAsia="Arial" w:cs="Arial"/>
          <w:color w:val="111111"/>
          <w:szCs w:val="24"/>
          <w:highlight w:val="white"/>
        </w:rPr>
        <w:t xml:space="preserve">, 2021; Shan et al., 2023) </w:t>
      </w:r>
      <w:r>
        <w:rPr>
          <w:rFonts w:eastAsia="Arial" w:cs="Arial"/>
          <w:color w:val="212121"/>
          <w:szCs w:val="24"/>
          <w:highlight w:val="white"/>
        </w:rPr>
        <w:t xml:space="preserve">The individual level of education could be a good parameter for health literacy, especially if the clients have hypertension. Those with good educational status could handle their health well compared to those with low educational status (Hickey, K.T., et al., 2018; </w:t>
      </w:r>
      <w:proofErr w:type="spellStart"/>
      <w:r>
        <w:rPr>
          <w:rFonts w:eastAsia="Arial" w:cs="Arial"/>
          <w:color w:val="212121"/>
          <w:szCs w:val="24"/>
          <w:highlight w:val="white"/>
        </w:rPr>
        <w:t>Andiwijaya</w:t>
      </w:r>
      <w:proofErr w:type="spellEnd"/>
      <w:r>
        <w:rPr>
          <w:rFonts w:eastAsia="Arial" w:cs="Arial"/>
          <w:color w:val="212121"/>
          <w:szCs w:val="24"/>
          <w:highlight w:val="white"/>
        </w:rPr>
        <w:t xml:space="preserve">, </w:t>
      </w:r>
      <w:proofErr w:type="spellStart"/>
      <w:r>
        <w:rPr>
          <w:rFonts w:eastAsia="Arial" w:cs="Arial"/>
          <w:color w:val="212121"/>
          <w:szCs w:val="24"/>
          <w:highlight w:val="white"/>
        </w:rPr>
        <w:t>Kadriyan</w:t>
      </w:r>
      <w:proofErr w:type="spellEnd"/>
      <w:r>
        <w:rPr>
          <w:rFonts w:eastAsia="Arial" w:cs="Arial"/>
          <w:color w:val="212121"/>
          <w:szCs w:val="24"/>
          <w:highlight w:val="white"/>
        </w:rPr>
        <w:t xml:space="preserve">, &amp; </w:t>
      </w:r>
      <w:proofErr w:type="spellStart"/>
      <w:r>
        <w:rPr>
          <w:rFonts w:eastAsia="Arial" w:cs="Arial"/>
          <w:color w:val="212121"/>
          <w:szCs w:val="24"/>
          <w:highlight w:val="white"/>
        </w:rPr>
        <w:t>Syamsun</w:t>
      </w:r>
      <w:proofErr w:type="spellEnd"/>
      <w:r>
        <w:rPr>
          <w:rFonts w:eastAsia="Arial" w:cs="Arial"/>
          <w:color w:val="212121"/>
          <w:szCs w:val="24"/>
          <w:highlight w:val="white"/>
        </w:rPr>
        <w:t xml:space="preserve">, 2021). In the study by </w:t>
      </w:r>
      <w:proofErr w:type="spellStart"/>
      <w:r>
        <w:rPr>
          <w:rFonts w:eastAsia="Arial" w:cs="Arial"/>
          <w:color w:val="212121"/>
          <w:szCs w:val="24"/>
          <w:highlight w:val="white"/>
        </w:rPr>
        <w:t>Andiwijaya</w:t>
      </w:r>
      <w:proofErr w:type="spellEnd"/>
      <w:r>
        <w:rPr>
          <w:rFonts w:eastAsia="Arial" w:cs="Arial"/>
          <w:color w:val="212121"/>
          <w:szCs w:val="24"/>
          <w:highlight w:val="white"/>
        </w:rPr>
        <w:t xml:space="preserve">, </w:t>
      </w:r>
      <w:proofErr w:type="spellStart"/>
      <w:r>
        <w:rPr>
          <w:rFonts w:eastAsia="Arial" w:cs="Arial"/>
          <w:color w:val="212121"/>
          <w:szCs w:val="24"/>
          <w:highlight w:val="white"/>
        </w:rPr>
        <w:t>Kadriyan</w:t>
      </w:r>
      <w:proofErr w:type="spellEnd"/>
      <w:r>
        <w:rPr>
          <w:rFonts w:eastAsia="Arial" w:cs="Arial"/>
          <w:color w:val="212121"/>
          <w:szCs w:val="24"/>
          <w:highlight w:val="white"/>
        </w:rPr>
        <w:t xml:space="preserve">, and </w:t>
      </w:r>
      <w:proofErr w:type="spellStart"/>
      <w:r>
        <w:rPr>
          <w:rFonts w:eastAsia="Arial" w:cs="Arial"/>
          <w:color w:val="212121"/>
          <w:szCs w:val="24"/>
          <w:highlight w:val="white"/>
        </w:rPr>
        <w:t>Syamsun</w:t>
      </w:r>
      <w:proofErr w:type="spellEnd"/>
      <w:r>
        <w:rPr>
          <w:rFonts w:eastAsia="Arial" w:cs="Arial"/>
          <w:color w:val="212121"/>
          <w:szCs w:val="24"/>
          <w:highlight w:val="white"/>
        </w:rPr>
        <w:t xml:space="preserve"> (2021), it was stressed that individuals with low educational status could not carry out basic health information. It is also the reason why the findings of this research showed low health literacy in the basic and communicative health literacy domains. Therefore, </w:t>
      </w:r>
      <w:r>
        <w:rPr>
          <w:rFonts w:eastAsia="Arial" w:cs="Arial"/>
          <w:color w:val="212121"/>
          <w:szCs w:val="24"/>
          <w:highlight w:val="white"/>
        </w:rPr>
        <w:lastRenderedPageBreak/>
        <w:t>the fact that those with low educational status also have low health literacy scores increases the risk of getting hypertension.</w:t>
      </w:r>
      <w:r>
        <w:rPr>
          <w:rFonts w:eastAsia="Arial" w:cs="Arial"/>
          <w:color w:val="111111"/>
          <w:szCs w:val="24"/>
          <w:highlight w:val="white"/>
        </w:rPr>
        <w:t xml:space="preserve"> </w:t>
      </w:r>
    </w:p>
    <w:p w14:paraId="33E64688" w14:textId="77777777" w:rsidR="007C6854" w:rsidRDefault="00E0219E" w:rsidP="00844861">
      <w:pPr>
        <w:spacing w:after="160" w:line="480" w:lineRule="auto"/>
        <w:ind w:firstLine="720"/>
        <w:jc w:val="both"/>
        <w:rPr>
          <w:rFonts w:eastAsia="Arial" w:cs="Arial"/>
          <w:szCs w:val="24"/>
        </w:rPr>
      </w:pPr>
      <w:r>
        <w:rPr>
          <w:rFonts w:eastAsia="Arial" w:cs="Arial"/>
          <w:szCs w:val="24"/>
        </w:rPr>
        <w:t>While the association seen in the employment status of individuals with low health literacy shows a significant association between subgroups, being employed (OR = 2.08</w:t>
      </w:r>
      <w:r>
        <w:rPr>
          <w:rFonts w:eastAsia="Arial" w:cs="Arial"/>
          <w:sz w:val="26"/>
          <w:szCs w:val="26"/>
        </w:rPr>
        <w:t xml:space="preserve">, </w:t>
      </w:r>
      <w:r>
        <w:rPr>
          <w:rFonts w:eastAsia="Arial" w:cs="Arial"/>
          <w:szCs w:val="24"/>
        </w:rPr>
        <w:t>95% CI =</w:t>
      </w:r>
      <w:r>
        <w:rPr>
          <w:rFonts w:eastAsia="Arial" w:cs="Arial"/>
          <w:b/>
          <w:szCs w:val="24"/>
        </w:rPr>
        <w:t xml:space="preserve"> </w:t>
      </w:r>
      <w:r>
        <w:rPr>
          <w:rFonts w:eastAsia="Arial" w:cs="Arial"/>
          <w:szCs w:val="24"/>
          <w:highlight w:val="white"/>
        </w:rPr>
        <w:t>1.0310 to 4.18</w:t>
      </w:r>
      <w:r>
        <w:rPr>
          <w:rFonts w:eastAsia="Arial" w:cs="Arial"/>
          <w:szCs w:val="24"/>
        </w:rPr>
        <w:t>, p-value = 0.0392) and being unemployed (OR = 0.482, 95% CI = 0.23919 to 0.97, p-value = 0.0392). This shows that health seeking behavior is associated with the status of employment for individuals with hypertension.</w:t>
      </w:r>
      <w:r>
        <w:rPr>
          <w:rFonts w:eastAsia="Arial" w:cs="Arial"/>
          <w:i/>
          <w:szCs w:val="24"/>
        </w:rPr>
        <w:t xml:space="preserve"> </w:t>
      </w:r>
      <w:r>
        <w:rPr>
          <w:rFonts w:eastAsia="Arial" w:cs="Arial"/>
          <w:szCs w:val="24"/>
        </w:rPr>
        <w:t>It</w:t>
      </w:r>
      <w:r>
        <w:rPr>
          <w:rFonts w:eastAsia="Arial" w:cs="Arial"/>
          <w:color w:val="212121"/>
          <w:szCs w:val="24"/>
          <w:highlight w:val="white"/>
        </w:rPr>
        <w:t xml:space="preserve"> is interesting that employed individuals with hypertension have low health literacy. The same finding by Rowlands et al. (2013) on the characteristics of people with low health literacy and coronary health disease showed that those employed individuals could have low health literacy. </w:t>
      </w:r>
      <w:r>
        <w:rPr>
          <w:rFonts w:eastAsia="Arial" w:cs="Arial"/>
          <w:szCs w:val="24"/>
        </w:rPr>
        <w:t xml:space="preserve">Further, the observation also shows that respondents who were working class and living in urban poverty valued health less compared with unemployed individuals, even though they manifested low health literacy. Since most of the survey participants belong to the poor and low-income classes, this could be the reason why health was less prioritized. Also, in the context of COVID-19, since this research was done during that period. Some literature suggests that the health-seeking behavior of individuals changed during the pandemic due to the changes in the approach of our healthcare system. Nadar et al. (2020) cited that many hospitals cancelled all in-person electives and patient care, including routine out-patient consultations, and shifted to telemedicine. Although Gotanda et al. (2022) pointed out that access to telemedicine can mitigate the impact of hypertension, in the community of </w:t>
      </w:r>
      <w:proofErr w:type="spellStart"/>
      <w:r>
        <w:rPr>
          <w:rFonts w:eastAsia="Arial" w:cs="Arial"/>
          <w:szCs w:val="24"/>
        </w:rPr>
        <w:t>Bukuhan</w:t>
      </w:r>
      <w:proofErr w:type="spellEnd"/>
      <w:r>
        <w:rPr>
          <w:rFonts w:eastAsia="Arial" w:cs="Arial"/>
          <w:szCs w:val="24"/>
        </w:rPr>
        <w:t xml:space="preserve">, there could be limited access for individuals to internet connectivity, not because the area has no access to fast internet connectivity, but maybe the reason is the prioritization of where to put the family expenses. Also, given that most of the respondents belong to the low-income class, their priority could be their daily food </w:t>
      </w:r>
      <w:r>
        <w:rPr>
          <w:rFonts w:eastAsia="Arial" w:cs="Arial"/>
          <w:szCs w:val="24"/>
        </w:rPr>
        <w:lastRenderedPageBreak/>
        <w:t>rather than diverting finances to unnecessary expenses like buying mobile prepaid load. In addition, since the majority of our respondents were elderly, there could be a limitation with access to technology.</w:t>
      </w:r>
    </w:p>
    <w:p w14:paraId="242C9A30" w14:textId="77777777" w:rsidR="007C6854" w:rsidRDefault="00E0219E" w:rsidP="00844861">
      <w:pPr>
        <w:spacing w:after="160" w:line="480" w:lineRule="auto"/>
        <w:ind w:firstLine="720"/>
        <w:jc w:val="both"/>
        <w:rPr>
          <w:rFonts w:eastAsia="Arial" w:cs="Arial"/>
          <w:b/>
          <w:szCs w:val="24"/>
        </w:rPr>
      </w:pPr>
      <w:r>
        <w:rPr>
          <w:rFonts w:eastAsia="Arial" w:cs="Arial"/>
          <w:color w:val="212121"/>
          <w:szCs w:val="24"/>
          <w:highlight w:val="white"/>
        </w:rPr>
        <w:t>In addition, although health insurance showed no significant association, the odds ratio showed a two-times greater risk for individuals with low health literacy of having hypertension among those who do not have health insurance (OR = 1.69).</w:t>
      </w:r>
      <w:r>
        <w:rPr>
          <w:rFonts w:eastAsia="Arial" w:cs="Arial"/>
          <w:b/>
          <w:szCs w:val="24"/>
        </w:rPr>
        <w:t xml:space="preserve"> </w:t>
      </w:r>
      <w:r>
        <w:rPr>
          <w:rFonts w:eastAsia="Arial" w:cs="Arial"/>
          <w:szCs w:val="24"/>
        </w:rPr>
        <w:t xml:space="preserve">On that note, </w:t>
      </w:r>
      <w:r>
        <w:rPr>
          <w:rFonts w:eastAsia="Arial" w:cs="Arial"/>
          <w:color w:val="212121"/>
          <w:szCs w:val="24"/>
          <w:highlight w:val="white"/>
        </w:rPr>
        <w:t xml:space="preserve">the importance of health education could help our target population attain good results in patient care and treatment management of hypertension (Hickey, K.T., et al., 2018; </w:t>
      </w:r>
      <w:proofErr w:type="spellStart"/>
      <w:r>
        <w:rPr>
          <w:rFonts w:eastAsia="Arial" w:cs="Arial"/>
          <w:color w:val="212121"/>
          <w:szCs w:val="24"/>
          <w:highlight w:val="white"/>
        </w:rPr>
        <w:t>Samkange</w:t>
      </w:r>
      <w:proofErr w:type="spellEnd"/>
      <w:r>
        <w:rPr>
          <w:rFonts w:eastAsia="Arial" w:cs="Arial"/>
          <w:color w:val="212121"/>
          <w:szCs w:val="24"/>
          <w:highlight w:val="white"/>
        </w:rPr>
        <w:t xml:space="preserve">-Zeeb, et al.,2022). Also, since the community has a large number of individuals who are self-employed, there could be an assumption that those with no health insurance belong to the group who are self-employed (Table 4). In the study of Gai and Minniti (2015), they pointed out the same idea that those who are self-employed have limited access to health insurance. </w:t>
      </w:r>
    </w:p>
    <w:p w14:paraId="7DB6E4F1" w14:textId="77777777" w:rsidR="00F362B2" w:rsidRDefault="00F362B2">
      <w:pPr>
        <w:rPr>
          <w:rFonts w:eastAsia="Arial" w:cs="Arial"/>
          <w:b/>
          <w:szCs w:val="24"/>
        </w:rPr>
      </w:pPr>
      <w:r>
        <w:rPr>
          <w:rFonts w:eastAsia="Arial" w:cs="Arial"/>
          <w:b/>
          <w:szCs w:val="24"/>
        </w:rPr>
        <w:br w:type="page"/>
      </w:r>
    </w:p>
    <w:p w14:paraId="5E23E18D" w14:textId="4E7F1E36" w:rsidR="007C6854" w:rsidRDefault="00E0219E">
      <w:pPr>
        <w:spacing w:after="160" w:line="360" w:lineRule="auto"/>
        <w:rPr>
          <w:rFonts w:eastAsia="Arial" w:cs="Arial"/>
          <w:b/>
          <w:szCs w:val="24"/>
        </w:rPr>
      </w:pPr>
      <w:r>
        <w:rPr>
          <w:rFonts w:eastAsia="Arial" w:cs="Arial"/>
          <w:b/>
          <w:szCs w:val="24"/>
        </w:rPr>
        <w:lastRenderedPageBreak/>
        <w:t xml:space="preserve">Table 11 </w:t>
      </w:r>
    </w:p>
    <w:p w14:paraId="2190CE51" w14:textId="77777777" w:rsidR="007C6854" w:rsidRDefault="00E0219E">
      <w:pPr>
        <w:spacing w:after="160" w:line="360" w:lineRule="auto"/>
        <w:jc w:val="both"/>
        <w:rPr>
          <w:rFonts w:eastAsia="Arial" w:cs="Arial"/>
          <w:i/>
          <w:szCs w:val="24"/>
        </w:rPr>
      </w:pPr>
      <w:r>
        <w:rPr>
          <w:rFonts w:eastAsia="Arial" w:cs="Arial"/>
          <w:i/>
          <w:szCs w:val="24"/>
        </w:rPr>
        <w:t>Measure of Strength of Association of Health Literacy and Socio-demographic Variables among Urban Poor Settlers who have HPN</w:t>
      </w:r>
    </w:p>
    <w:tbl>
      <w:tblPr>
        <w:tblStyle w:val="afffb"/>
        <w:tblW w:w="9285" w:type="dxa"/>
        <w:tblLayout w:type="fixed"/>
        <w:tblLook w:val="0400" w:firstRow="0" w:lastRow="0" w:firstColumn="0" w:lastColumn="0" w:noHBand="0" w:noVBand="1"/>
      </w:tblPr>
      <w:tblGrid>
        <w:gridCol w:w="3375"/>
        <w:gridCol w:w="1500"/>
        <w:gridCol w:w="3090"/>
        <w:gridCol w:w="1320"/>
      </w:tblGrid>
      <w:tr w:rsidR="007C6854" w14:paraId="6105BB07" w14:textId="77777777" w:rsidTr="00DA41CA">
        <w:tc>
          <w:tcPr>
            <w:tcW w:w="3375" w:type="dxa"/>
            <w:tcBorders>
              <w:top w:val="single" w:sz="4" w:space="0" w:color="auto"/>
              <w:bottom w:val="single" w:sz="4" w:space="0" w:color="auto"/>
            </w:tcBorders>
            <w:vAlign w:val="center"/>
          </w:tcPr>
          <w:p w14:paraId="4B47C913" w14:textId="77777777" w:rsidR="007C6854" w:rsidRDefault="00E0219E">
            <w:pPr>
              <w:spacing w:line="259" w:lineRule="auto"/>
              <w:rPr>
                <w:rFonts w:eastAsia="Arial" w:cs="Arial"/>
                <w:szCs w:val="24"/>
              </w:rPr>
            </w:pPr>
            <w:r>
              <w:rPr>
                <w:rFonts w:eastAsia="Arial" w:cs="Arial"/>
                <w:szCs w:val="24"/>
              </w:rPr>
              <w:t>Socio-Demography of urban poor settlers with HPN</w:t>
            </w:r>
          </w:p>
        </w:tc>
        <w:tc>
          <w:tcPr>
            <w:tcW w:w="1500" w:type="dxa"/>
            <w:tcBorders>
              <w:top w:val="single" w:sz="4" w:space="0" w:color="auto"/>
              <w:bottom w:val="single" w:sz="4" w:space="0" w:color="auto"/>
            </w:tcBorders>
            <w:vAlign w:val="center"/>
          </w:tcPr>
          <w:p w14:paraId="1BF9BAF7" w14:textId="77777777" w:rsidR="007C6854" w:rsidRDefault="00E0219E">
            <w:pPr>
              <w:spacing w:line="259" w:lineRule="auto"/>
              <w:jc w:val="center"/>
              <w:rPr>
                <w:rFonts w:eastAsia="Arial" w:cs="Arial"/>
                <w:szCs w:val="24"/>
              </w:rPr>
            </w:pPr>
            <w:r>
              <w:rPr>
                <w:rFonts w:eastAsia="Arial" w:cs="Arial"/>
                <w:szCs w:val="24"/>
              </w:rPr>
              <w:t>Odds Ratio</w:t>
            </w:r>
          </w:p>
        </w:tc>
        <w:tc>
          <w:tcPr>
            <w:tcW w:w="3090" w:type="dxa"/>
            <w:tcBorders>
              <w:top w:val="single" w:sz="4" w:space="0" w:color="auto"/>
              <w:bottom w:val="single" w:sz="4" w:space="0" w:color="auto"/>
            </w:tcBorders>
            <w:vAlign w:val="center"/>
          </w:tcPr>
          <w:p w14:paraId="56866022" w14:textId="77777777" w:rsidR="007C6854" w:rsidRDefault="00E0219E">
            <w:pPr>
              <w:spacing w:line="259" w:lineRule="auto"/>
              <w:jc w:val="center"/>
              <w:rPr>
                <w:rFonts w:eastAsia="Arial" w:cs="Arial"/>
                <w:szCs w:val="24"/>
              </w:rPr>
            </w:pPr>
            <w:r>
              <w:rPr>
                <w:rFonts w:eastAsia="Arial" w:cs="Arial"/>
                <w:szCs w:val="24"/>
              </w:rPr>
              <w:t>95%CI</w:t>
            </w:r>
          </w:p>
        </w:tc>
        <w:tc>
          <w:tcPr>
            <w:tcW w:w="1320" w:type="dxa"/>
            <w:tcBorders>
              <w:top w:val="single" w:sz="4" w:space="0" w:color="auto"/>
              <w:bottom w:val="single" w:sz="4" w:space="0" w:color="auto"/>
            </w:tcBorders>
            <w:vAlign w:val="center"/>
          </w:tcPr>
          <w:p w14:paraId="7C22E059" w14:textId="77777777" w:rsidR="007C6854" w:rsidRDefault="00E0219E">
            <w:pPr>
              <w:spacing w:line="259" w:lineRule="auto"/>
              <w:jc w:val="center"/>
              <w:rPr>
                <w:rFonts w:eastAsia="Arial" w:cs="Arial"/>
                <w:szCs w:val="24"/>
              </w:rPr>
            </w:pPr>
            <w:r>
              <w:rPr>
                <w:rFonts w:eastAsia="Arial" w:cs="Arial"/>
                <w:szCs w:val="24"/>
              </w:rPr>
              <w:t>P-value</w:t>
            </w:r>
          </w:p>
        </w:tc>
      </w:tr>
      <w:tr w:rsidR="007C6854" w14:paraId="3A6BF377" w14:textId="77777777" w:rsidTr="00DA41CA">
        <w:tc>
          <w:tcPr>
            <w:tcW w:w="3375" w:type="dxa"/>
            <w:tcBorders>
              <w:top w:val="single" w:sz="4" w:space="0" w:color="auto"/>
            </w:tcBorders>
            <w:vAlign w:val="center"/>
          </w:tcPr>
          <w:p w14:paraId="33E4EFC2" w14:textId="77777777" w:rsidR="007C6854" w:rsidRDefault="00E0219E">
            <w:pPr>
              <w:spacing w:line="259" w:lineRule="auto"/>
              <w:rPr>
                <w:rFonts w:eastAsia="Arial" w:cs="Arial"/>
                <w:szCs w:val="24"/>
              </w:rPr>
            </w:pPr>
            <w:r>
              <w:rPr>
                <w:rFonts w:eastAsia="Arial" w:cs="Arial"/>
                <w:szCs w:val="24"/>
              </w:rPr>
              <w:t>60 years old and above</w:t>
            </w:r>
          </w:p>
        </w:tc>
        <w:tc>
          <w:tcPr>
            <w:tcW w:w="1500" w:type="dxa"/>
            <w:tcBorders>
              <w:top w:val="single" w:sz="4" w:space="0" w:color="auto"/>
            </w:tcBorders>
            <w:vAlign w:val="center"/>
          </w:tcPr>
          <w:p w14:paraId="70CEB4BF" w14:textId="77777777" w:rsidR="007C6854" w:rsidRDefault="00E0219E">
            <w:pPr>
              <w:spacing w:line="259" w:lineRule="auto"/>
              <w:jc w:val="center"/>
              <w:rPr>
                <w:rFonts w:eastAsia="Arial" w:cs="Arial"/>
                <w:szCs w:val="24"/>
              </w:rPr>
            </w:pPr>
            <w:r>
              <w:rPr>
                <w:rFonts w:eastAsia="Arial" w:cs="Arial"/>
                <w:szCs w:val="24"/>
              </w:rPr>
              <w:t>4.37</w:t>
            </w:r>
          </w:p>
        </w:tc>
        <w:tc>
          <w:tcPr>
            <w:tcW w:w="3090" w:type="dxa"/>
            <w:tcBorders>
              <w:top w:val="single" w:sz="4" w:space="0" w:color="auto"/>
            </w:tcBorders>
            <w:vAlign w:val="center"/>
          </w:tcPr>
          <w:p w14:paraId="44F90A55" w14:textId="77777777" w:rsidR="007C6854" w:rsidRDefault="00E0219E">
            <w:pPr>
              <w:spacing w:line="259" w:lineRule="auto"/>
              <w:jc w:val="center"/>
              <w:rPr>
                <w:rFonts w:eastAsia="Arial" w:cs="Arial"/>
                <w:szCs w:val="24"/>
              </w:rPr>
            </w:pPr>
            <w:r>
              <w:rPr>
                <w:rFonts w:eastAsia="Arial" w:cs="Arial"/>
                <w:szCs w:val="24"/>
              </w:rPr>
              <w:t>2.182 to 8.74</w:t>
            </w:r>
          </w:p>
        </w:tc>
        <w:tc>
          <w:tcPr>
            <w:tcW w:w="1320" w:type="dxa"/>
            <w:vMerge w:val="restart"/>
            <w:tcBorders>
              <w:top w:val="single" w:sz="4" w:space="0" w:color="auto"/>
            </w:tcBorders>
            <w:vAlign w:val="center"/>
          </w:tcPr>
          <w:p w14:paraId="210E3DF7" w14:textId="77777777" w:rsidR="007C6854" w:rsidRDefault="00E0219E">
            <w:pPr>
              <w:spacing w:line="259" w:lineRule="auto"/>
              <w:jc w:val="center"/>
              <w:rPr>
                <w:rFonts w:eastAsia="Arial" w:cs="Arial"/>
                <w:szCs w:val="24"/>
              </w:rPr>
            </w:pPr>
            <w:r>
              <w:rPr>
                <w:rFonts w:eastAsia="Arial" w:cs="Arial"/>
                <w:szCs w:val="24"/>
              </w:rPr>
              <w:t>0.0000*</w:t>
            </w:r>
          </w:p>
        </w:tc>
      </w:tr>
      <w:tr w:rsidR="007C6854" w14:paraId="33909D07" w14:textId="77777777" w:rsidTr="00DA41CA">
        <w:tc>
          <w:tcPr>
            <w:tcW w:w="3375" w:type="dxa"/>
            <w:vAlign w:val="center"/>
          </w:tcPr>
          <w:p w14:paraId="5A67E1B0" w14:textId="77777777" w:rsidR="007C6854" w:rsidRDefault="00E0219E">
            <w:pPr>
              <w:spacing w:line="259" w:lineRule="auto"/>
              <w:rPr>
                <w:rFonts w:eastAsia="Arial" w:cs="Arial"/>
                <w:szCs w:val="24"/>
              </w:rPr>
            </w:pPr>
            <w:r>
              <w:rPr>
                <w:rFonts w:eastAsia="Arial" w:cs="Arial"/>
                <w:szCs w:val="24"/>
              </w:rPr>
              <w:t xml:space="preserve">Below 60 years old </w:t>
            </w:r>
          </w:p>
        </w:tc>
        <w:tc>
          <w:tcPr>
            <w:tcW w:w="1500" w:type="dxa"/>
            <w:vAlign w:val="center"/>
          </w:tcPr>
          <w:p w14:paraId="5E4A0563" w14:textId="77777777" w:rsidR="007C6854" w:rsidRDefault="00E0219E">
            <w:pPr>
              <w:spacing w:line="259" w:lineRule="auto"/>
              <w:jc w:val="center"/>
              <w:rPr>
                <w:rFonts w:eastAsia="Arial" w:cs="Arial"/>
                <w:szCs w:val="24"/>
              </w:rPr>
            </w:pPr>
            <w:r>
              <w:rPr>
                <w:rFonts w:eastAsia="Arial" w:cs="Arial"/>
                <w:szCs w:val="24"/>
              </w:rPr>
              <w:t>0.229</w:t>
            </w:r>
          </w:p>
        </w:tc>
        <w:tc>
          <w:tcPr>
            <w:tcW w:w="3090" w:type="dxa"/>
            <w:vAlign w:val="center"/>
          </w:tcPr>
          <w:p w14:paraId="58BD88BF" w14:textId="77777777" w:rsidR="007C6854" w:rsidRDefault="00E0219E">
            <w:pPr>
              <w:spacing w:line="259" w:lineRule="auto"/>
              <w:jc w:val="center"/>
              <w:rPr>
                <w:rFonts w:eastAsia="Arial" w:cs="Arial"/>
                <w:szCs w:val="24"/>
              </w:rPr>
            </w:pPr>
            <w:r>
              <w:rPr>
                <w:rFonts w:eastAsia="Arial" w:cs="Arial"/>
                <w:szCs w:val="24"/>
              </w:rPr>
              <w:t>0.1145 to 0.458</w:t>
            </w:r>
          </w:p>
        </w:tc>
        <w:tc>
          <w:tcPr>
            <w:tcW w:w="1320" w:type="dxa"/>
            <w:vMerge/>
            <w:vAlign w:val="center"/>
          </w:tcPr>
          <w:p w14:paraId="7A33E2CC" w14:textId="77777777" w:rsidR="007C6854" w:rsidRDefault="007C6854">
            <w:pPr>
              <w:widowControl w:val="0"/>
              <w:pBdr>
                <w:top w:val="nil"/>
                <w:left w:val="nil"/>
                <w:bottom w:val="nil"/>
                <w:right w:val="nil"/>
                <w:between w:val="nil"/>
              </w:pBdr>
              <w:spacing w:line="276" w:lineRule="auto"/>
              <w:rPr>
                <w:rFonts w:eastAsia="Arial" w:cs="Arial"/>
                <w:szCs w:val="24"/>
              </w:rPr>
            </w:pPr>
          </w:p>
        </w:tc>
      </w:tr>
      <w:tr w:rsidR="007C6854" w14:paraId="1C59C186" w14:textId="77777777" w:rsidTr="00DA41CA">
        <w:trPr>
          <w:trHeight w:val="240"/>
        </w:trPr>
        <w:tc>
          <w:tcPr>
            <w:tcW w:w="3375" w:type="dxa"/>
            <w:vAlign w:val="center"/>
          </w:tcPr>
          <w:p w14:paraId="4DE4E531" w14:textId="77777777" w:rsidR="007C6854" w:rsidRDefault="00E0219E">
            <w:pPr>
              <w:spacing w:line="259" w:lineRule="auto"/>
              <w:rPr>
                <w:rFonts w:eastAsia="Arial" w:cs="Arial"/>
                <w:szCs w:val="24"/>
              </w:rPr>
            </w:pPr>
            <w:r>
              <w:rPr>
                <w:rFonts w:eastAsia="Arial" w:cs="Arial"/>
                <w:szCs w:val="24"/>
              </w:rPr>
              <w:t>40 years old and above</w:t>
            </w:r>
          </w:p>
        </w:tc>
        <w:tc>
          <w:tcPr>
            <w:tcW w:w="1500" w:type="dxa"/>
            <w:vAlign w:val="center"/>
          </w:tcPr>
          <w:p w14:paraId="613965DC" w14:textId="77777777" w:rsidR="007C6854" w:rsidRDefault="00E0219E">
            <w:pPr>
              <w:spacing w:line="259" w:lineRule="auto"/>
              <w:jc w:val="center"/>
              <w:rPr>
                <w:rFonts w:eastAsia="Arial" w:cs="Arial"/>
                <w:szCs w:val="24"/>
              </w:rPr>
            </w:pPr>
            <w:r>
              <w:rPr>
                <w:rFonts w:eastAsia="Arial" w:cs="Arial"/>
                <w:szCs w:val="24"/>
              </w:rPr>
              <w:t>3.60</w:t>
            </w:r>
          </w:p>
        </w:tc>
        <w:tc>
          <w:tcPr>
            <w:tcW w:w="3090" w:type="dxa"/>
            <w:vAlign w:val="center"/>
          </w:tcPr>
          <w:p w14:paraId="720599B0" w14:textId="77777777" w:rsidR="007C6854" w:rsidRDefault="00E0219E">
            <w:pPr>
              <w:spacing w:line="259" w:lineRule="auto"/>
              <w:jc w:val="center"/>
              <w:rPr>
                <w:rFonts w:eastAsia="Arial" w:cs="Arial"/>
                <w:szCs w:val="24"/>
              </w:rPr>
            </w:pPr>
            <w:r>
              <w:rPr>
                <w:rFonts w:eastAsia="Arial" w:cs="Arial"/>
                <w:szCs w:val="24"/>
              </w:rPr>
              <w:t>1.0412 to 12.4</w:t>
            </w:r>
          </w:p>
        </w:tc>
        <w:tc>
          <w:tcPr>
            <w:tcW w:w="1320" w:type="dxa"/>
            <w:vMerge w:val="restart"/>
            <w:vAlign w:val="center"/>
          </w:tcPr>
          <w:p w14:paraId="5BE5DCF0" w14:textId="77777777" w:rsidR="007C6854" w:rsidRDefault="00E0219E">
            <w:pPr>
              <w:spacing w:line="259" w:lineRule="auto"/>
              <w:jc w:val="center"/>
              <w:rPr>
                <w:rFonts w:eastAsia="Arial" w:cs="Arial"/>
                <w:szCs w:val="24"/>
              </w:rPr>
            </w:pPr>
            <w:r>
              <w:rPr>
                <w:rFonts w:eastAsia="Arial" w:cs="Arial"/>
                <w:szCs w:val="24"/>
              </w:rPr>
              <w:t>0.0345*</w:t>
            </w:r>
          </w:p>
        </w:tc>
      </w:tr>
      <w:tr w:rsidR="007C6854" w14:paraId="3CFAC6DF" w14:textId="77777777" w:rsidTr="00DA41CA">
        <w:trPr>
          <w:trHeight w:val="240"/>
        </w:trPr>
        <w:tc>
          <w:tcPr>
            <w:tcW w:w="3375" w:type="dxa"/>
            <w:vAlign w:val="center"/>
          </w:tcPr>
          <w:p w14:paraId="3A61FF75" w14:textId="77777777" w:rsidR="007C6854" w:rsidRDefault="00E0219E">
            <w:pPr>
              <w:spacing w:line="259" w:lineRule="auto"/>
              <w:rPr>
                <w:rFonts w:eastAsia="Arial" w:cs="Arial"/>
                <w:szCs w:val="24"/>
              </w:rPr>
            </w:pPr>
            <w:r>
              <w:rPr>
                <w:rFonts w:eastAsia="Arial" w:cs="Arial"/>
                <w:szCs w:val="24"/>
              </w:rPr>
              <w:t>Below 40 years old</w:t>
            </w:r>
          </w:p>
        </w:tc>
        <w:tc>
          <w:tcPr>
            <w:tcW w:w="1500" w:type="dxa"/>
            <w:vAlign w:val="center"/>
          </w:tcPr>
          <w:p w14:paraId="5C91F3CF" w14:textId="77777777" w:rsidR="007C6854" w:rsidRDefault="00E0219E">
            <w:pPr>
              <w:spacing w:line="259" w:lineRule="auto"/>
              <w:jc w:val="center"/>
              <w:rPr>
                <w:rFonts w:eastAsia="Arial" w:cs="Arial"/>
                <w:szCs w:val="24"/>
              </w:rPr>
            </w:pPr>
            <w:r>
              <w:rPr>
                <w:rFonts w:eastAsia="Arial" w:cs="Arial"/>
                <w:szCs w:val="24"/>
              </w:rPr>
              <w:t>0.278</w:t>
            </w:r>
          </w:p>
        </w:tc>
        <w:tc>
          <w:tcPr>
            <w:tcW w:w="3090" w:type="dxa"/>
            <w:vAlign w:val="center"/>
          </w:tcPr>
          <w:p w14:paraId="664330E7" w14:textId="77777777" w:rsidR="007C6854" w:rsidRDefault="00E0219E">
            <w:pPr>
              <w:spacing w:line="259" w:lineRule="auto"/>
              <w:jc w:val="center"/>
              <w:rPr>
                <w:rFonts w:eastAsia="Arial" w:cs="Arial"/>
                <w:szCs w:val="24"/>
              </w:rPr>
            </w:pPr>
            <w:r>
              <w:rPr>
                <w:rFonts w:eastAsia="Arial" w:cs="Arial"/>
                <w:szCs w:val="24"/>
              </w:rPr>
              <w:t>0.08036 to 0.96</w:t>
            </w:r>
          </w:p>
        </w:tc>
        <w:tc>
          <w:tcPr>
            <w:tcW w:w="1320" w:type="dxa"/>
            <w:vMerge/>
            <w:vAlign w:val="center"/>
          </w:tcPr>
          <w:p w14:paraId="3AB7EC8E" w14:textId="77777777" w:rsidR="007C6854" w:rsidRDefault="007C6854">
            <w:pPr>
              <w:widowControl w:val="0"/>
              <w:pBdr>
                <w:top w:val="nil"/>
                <w:left w:val="nil"/>
                <w:bottom w:val="nil"/>
                <w:right w:val="nil"/>
                <w:between w:val="nil"/>
              </w:pBdr>
              <w:spacing w:line="276" w:lineRule="auto"/>
              <w:rPr>
                <w:rFonts w:eastAsia="Arial" w:cs="Arial"/>
                <w:szCs w:val="24"/>
              </w:rPr>
            </w:pPr>
          </w:p>
        </w:tc>
      </w:tr>
      <w:tr w:rsidR="007C6854" w14:paraId="19105414" w14:textId="77777777" w:rsidTr="00DA41CA">
        <w:trPr>
          <w:trHeight w:val="240"/>
        </w:trPr>
        <w:tc>
          <w:tcPr>
            <w:tcW w:w="3375" w:type="dxa"/>
            <w:vAlign w:val="center"/>
          </w:tcPr>
          <w:p w14:paraId="7BAC3731" w14:textId="77777777" w:rsidR="007C6854" w:rsidRDefault="00E0219E">
            <w:pPr>
              <w:spacing w:line="259" w:lineRule="auto"/>
              <w:rPr>
                <w:rFonts w:eastAsia="Arial" w:cs="Arial"/>
                <w:szCs w:val="24"/>
              </w:rPr>
            </w:pPr>
            <w:r>
              <w:rPr>
                <w:rFonts w:eastAsia="Arial" w:cs="Arial"/>
                <w:szCs w:val="24"/>
              </w:rPr>
              <w:t xml:space="preserve">Female </w:t>
            </w:r>
          </w:p>
        </w:tc>
        <w:tc>
          <w:tcPr>
            <w:tcW w:w="1500" w:type="dxa"/>
            <w:vAlign w:val="center"/>
          </w:tcPr>
          <w:p w14:paraId="18CE5F5E" w14:textId="77777777" w:rsidR="007C6854" w:rsidRDefault="00E0219E">
            <w:pPr>
              <w:spacing w:line="259" w:lineRule="auto"/>
              <w:jc w:val="center"/>
              <w:rPr>
                <w:rFonts w:eastAsia="Arial" w:cs="Arial"/>
                <w:szCs w:val="24"/>
              </w:rPr>
            </w:pPr>
            <w:r>
              <w:rPr>
                <w:rFonts w:eastAsia="Arial" w:cs="Arial"/>
                <w:szCs w:val="24"/>
              </w:rPr>
              <w:t>0.704</w:t>
            </w:r>
          </w:p>
        </w:tc>
        <w:tc>
          <w:tcPr>
            <w:tcW w:w="3090" w:type="dxa"/>
            <w:vAlign w:val="center"/>
          </w:tcPr>
          <w:p w14:paraId="402D69B2" w14:textId="77777777" w:rsidR="007C6854" w:rsidRDefault="00E0219E">
            <w:pPr>
              <w:spacing w:line="259" w:lineRule="auto"/>
              <w:jc w:val="center"/>
              <w:rPr>
                <w:rFonts w:eastAsia="Arial" w:cs="Arial"/>
                <w:szCs w:val="24"/>
              </w:rPr>
            </w:pPr>
            <w:r>
              <w:rPr>
                <w:rFonts w:eastAsia="Arial" w:cs="Arial"/>
                <w:szCs w:val="24"/>
              </w:rPr>
              <w:t>0.349 to 1.42</w:t>
            </w:r>
          </w:p>
        </w:tc>
        <w:tc>
          <w:tcPr>
            <w:tcW w:w="1320" w:type="dxa"/>
            <w:vMerge w:val="restart"/>
            <w:vAlign w:val="center"/>
          </w:tcPr>
          <w:p w14:paraId="293CB59F" w14:textId="77777777" w:rsidR="007C6854" w:rsidRDefault="00E0219E">
            <w:pPr>
              <w:widowControl w:val="0"/>
              <w:jc w:val="center"/>
              <w:rPr>
                <w:rFonts w:eastAsia="Arial" w:cs="Arial"/>
                <w:szCs w:val="24"/>
              </w:rPr>
            </w:pPr>
            <w:r>
              <w:rPr>
                <w:rFonts w:eastAsia="Arial" w:cs="Arial"/>
                <w:szCs w:val="24"/>
              </w:rPr>
              <w:t>0.329</w:t>
            </w:r>
          </w:p>
        </w:tc>
      </w:tr>
      <w:tr w:rsidR="007C6854" w14:paraId="4C0EECC5" w14:textId="77777777" w:rsidTr="00DA41CA">
        <w:trPr>
          <w:trHeight w:val="402"/>
        </w:trPr>
        <w:tc>
          <w:tcPr>
            <w:tcW w:w="3375" w:type="dxa"/>
            <w:vAlign w:val="center"/>
          </w:tcPr>
          <w:p w14:paraId="22764967" w14:textId="77777777" w:rsidR="007C6854" w:rsidRDefault="00E0219E">
            <w:pPr>
              <w:spacing w:line="259" w:lineRule="auto"/>
              <w:rPr>
                <w:rFonts w:eastAsia="Arial" w:cs="Arial"/>
                <w:szCs w:val="24"/>
              </w:rPr>
            </w:pPr>
            <w:r>
              <w:rPr>
                <w:rFonts w:eastAsia="Arial" w:cs="Arial"/>
                <w:szCs w:val="24"/>
              </w:rPr>
              <w:t>Male</w:t>
            </w:r>
          </w:p>
        </w:tc>
        <w:tc>
          <w:tcPr>
            <w:tcW w:w="1500" w:type="dxa"/>
            <w:vAlign w:val="center"/>
          </w:tcPr>
          <w:p w14:paraId="2EEAA87F" w14:textId="77777777" w:rsidR="007C6854" w:rsidRDefault="00E0219E">
            <w:pPr>
              <w:spacing w:line="259" w:lineRule="auto"/>
              <w:jc w:val="center"/>
              <w:rPr>
                <w:rFonts w:eastAsia="Arial" w:cs="Arial"/>
                <w:szCs w:val="24"/>
              </w:rPr>
            </w:pPr>
            <w:r>
              <w:rPr>
                <w:rFonts w:eastAsia="Arial" w:cs="Arial"/>
                <w:szCs w:val="24"/>
              </w:rPr>
              <w:t>1.42</w:t>
            </w:r>
          </w:p>
        </w:tc>
        <w:tc>
          <w:tcPr>
            <w:tcW w:w="3090" w:type="dxa"/>
            <w:vAlign w:val="center"/>
          </w:tcPr>
          <w:p w14:paraId="7B4ECCD3" w14:textId="77777777" w:rsidR="007C6854" w:rsidRDefault="00E0219E">
            <w:pPr>
              <w:spacing w:line="259" w:lineRule="auto"/>
              <w:jc w:val="center"/>
              <w:rPr>
                <w:rFonts w:eastAsia="Arial" w:cs="Arial"/>
                <w:szCs w:val="24"/>
              </w:rPr>
            </w:pPr>
            <w:r>
              <w:rPr>
                <w:rFonts w:eastAsia="Arial" w:cs="Arial"/>
                <w:szCs w:val="24"/>
              </w:rPr>
              <w:t>0.705 to 2.86</w:t>
            </w:r>
          </w:p>
        </w:tc>
        <w:tc>
          <w:tcPr>
            <w:tcW w:w="1320" w:type="dxa"/>
            <w:vMerge/>
            <w:vAlign w:val="center"/>
          </w:tcPr>
          <w:p w14:paraId="1914BFCD" w14:textId="77777777" w:rsidR="007C6854" w:rsidRDefault="007C6854">
            <w:pPr>
              <w:widowControl w:val="0"/>
              <w:pBdr>
                <w:top w:val="nil"/>
                <w:left w:val="nil"/>
                <w:bottom w:val="nil"/>
                <w:right w:val="nil"/>
                <w:between w:val="nil"/>
              </w:pBdr>
              <w:spacing w:line="276" w:lineRule="auto"/>
              <w:rPr>
                <w:rFonts w:eastAsia="Arial" w:cs="Arial"/>
                <w:szCs w:val="24"/>
              </w:rPr>
            </w:pPr>
          </w:p>
        </w:tc>
      </w:tr>
      <w:tr w:rsidR="007C6854" w14:paraId="00786EC7" w14:textId="77777777" w:rsidTr="00DA41CA">
        <w:trPr>
          <w:trHeight w:val="240"/>
        </w:trPr>
        <w:tc>
          <w:tcPr>
            <w:tcW w:w="3375" w:type="dxa"/>
            <w:vAlign w:val="center"/>
          </w:tcPr>
          <w:p w14:paraId="739E1E7A" w14:textId="77777777" w:rsidR="007C6854" w:rsidRDefault="00E0219E">
            <w:pPr>
              <w:spacing w:line="259" w:lineRule="auto"/>
              <w:rPr>
                <w:rFonts w:eastAsia="Arial" w:cs="Arial"/>
                <w:szCs w:val="24"/>
              </w:rPr>
            </w:pPr>
            <w:r>
              <w:rPr>
                <w:rFonts w:eastAsia="Arial" w:cs="Arial"/>
                <w:szCs w:val="24"/>
              </w:rPr>
              <w:t>Individuals with high educational status</w:t>
            </w:r>
          </w:p>
        </w:tc>
        <w:tc>
          <w:tcPr>
            <w:tcW w:w="1500" w:type="dxa"/>
            <w:vAlign w:val="center"/>
          </w:tcPr>
          <w:p w14:paraId="14041127" w14:textId="77777777" w:rsidR="007C6854" w:rsidRDefault="00E0219E">
            <w:pPr>
              <w:spacing w:line="259" w:lineRule="auto"/>
              <w:jc w:val="center"/>
              <w:rPr>
                <w:rFonts w:eastAsia="Arial" w:cs="Arial"/>
                <w:szCs w:val="24"/>
              </w:rPr>
            </w:pPr>
            <w:r>
              <w:rPr>
                <w:rFonts w:eastAsia="Arial" w:cs="Arial"/>
                <w:szCs w:val="24"/>
              </w:rPr>
              <w:t>0.1438</w:t>
            </w:r>
          </w:p>
        </w:tc>
        <w:tc>
          <w:tcPr>
            <w:tcW w:w="3090" w:type="dxa"/>
            <w:vAlign w:val="center"/>
          </w:tcPr>
          <w:p w14:paraId="7B12CF1E" w14:textId="77777777" w:rsidR="007C6854" w:rsidRDefault="00E0219E">
            <w:pPr>
              <w:jc w:val="center"/>
              <w:rPr>
                <w:rFonts w:eastAsia="Arial" w:cs="Arial"/>
                <w:szCs w:val="24"/>
              </w:rPr>
            </w:pPr>
            <w:r>
              <w:rPr>
                <w:rFonts w:eastAsia="Arial" w:cs="Arial"/>
                <w:szCs w:val="24"/>
              </w:rPr>
              <w:t>0.07 to 0.296</w:t>
            </w:r>
          </w:p>
        </w:tc>
        <w:tc>
          <w:tcPr>
            <w:tcW w:w="1320" w:type="dxa"/>
            <w:vMerge w:val="restart"/>
            <w:vAlign w:val="center"/>
          </w:tcPr>
          <w:p w14:paraId="1BA0BCD1" w14:textId="77777777" w:rsidR="007C6854" w:rsidRDefault="00E0219E">
            <w:pPr>
              <w:spacing w:line="259" w:lineRule="auto"/>
              <w:jc w:val="center"/>
              <w:rPr>
                <w:rFonts w:eastAsia="Arial" w:cs="Arial"/>
                <w:szCs w:val="24"/>
              </w:rPr>
            </w:pPr>
            <w:r>
              <w:rPr>
                <w:rFonts w:eastAsia="Arial" w:cs="Arial"/>
                <w:szCs w:val="24"/>
              </w:rPr>
              <w:t>0.0000*</w:t>
            </w:r>
          </w:p>
        </w:tc>
      </w:tr>
      <w:tr w:rsidR="007C6854" w14:paraId="1F57E6F1" w14:textId="77777777" w:rsidTr="00DA41CA">
        <w:trPr>
          <w:trHeight w:val="240"/>
        </w:trPr>
        <w:tc>
          <w:tcPr>
            <w:tcW w:w="3375" w:type="dxa"/>
            <w:vAlign w:val="center"/>
          </w:tcPr>
          <w:p w14:paraId="273E7B65" w14:textId="77777777" w:rsidR="007C6854" w:rsidRDefault="00E0219E">
            <w:pPr>
              <w:spacing w:line="259" w:lineRule="auto"/>
              <w:rPr>
                <w:rFonts w:eastAsia="Arial" w:cs="Arial"/>
                <w:szCs w:val="24"/>
              </w:rPr>
            </w:pPr>
            <w:r>
              <w:rPr>
                <w:rFonts w:eastAsia="Arial" w:cs="Arial"/>
                <w:szCs w:val="24"/>
              </w:rPr>
              <w:t>Individuals with low educational status</w:t>
            </w:r>
          </w:p>
        </w:tc>
        <w:tc>
          <w:tcPr>
            <w:tcW w:w="1500" w:type="dxa"/>
            <w:vAlign w:val="center"/>
          </w:tcPr>
          <w:p w14:paraId="2310A6E3" w14:textId="77777777" w:rsidR="007C6854" w:rsidRDefault="00E0219E">
            <w:pPr>
              <w:jc w:val="center"/>
              <w:rPr>
                <w:rFonts w:eastAsia="Arial" w:cs="Arial"/>
                <w:szCs w:val="24"/>
              </w:rPr>
            </w:pPr>
            <w:r>
              <w:rPr>
                <w:rFonts w:eastAsia="Arial" w:cs="Arial"/>
                <w:szCs w:val="24"/>
              </w:rPr>
              <w:t>6.95</w:t>
            </w:r>
          </w:p>
        </w:tc>
        <w:tc>
          <w:tcPr>
            <w:tcW w:w="3090" w:type="dxa"/>
            <w:vAlign w:val="center"/>
          </w:tcPr>
          <w:p w14:paraId="50DF2599" w14:textId="77777777" w:rsidR="007C6854" w:rsidRDefault="00E0219E">
            <w:pPr>
              <w:spacing w:line="259" w:lineRule="auto"/>
              <w:jc w:val="center"/>
              <w:rPr>
                <w:rFonts w:eastAsia="Arial" w:cs="Arial"/>
                <w:szCs w:val="24"/>
              </w:rPr>
            </w:pPr>
            <w:r>
              <w:rPr>
                <w:rFonts w:eastAsia="Arial" w:cs="Arial"/>
                <w:szCs w:val="24"/>
              </w:rPr>
              <w:t xml:space="preserve">  3.379 to 14.3</w:t>
            </w:r>
          </w:p>
        </w:tc>
        <w:tc>
          <w:tcPr>
            <w:tcW w:w="1320" w:type="dxa"/>
            <w:vMerge/>
            <w:vAlign w:val="center"/>
          </w:tcPr>
          <w:p w14:paraId="1BB23996" w14:textId="77777777" w:rsidR="007C6854" w:rsidRDefault="007C6854">
            <w:pPr>
              <w:widowControl w:val="0"/>
              <w:pBdr>
                <w:top w:val="nil"/>
                <w:left w:val="nil"/>
                <w:bottom w:val="nil"/>
                <w:right w:val="nil"/>
                <w:between w:val="nil"/>
              </w:pBdr>
              <w:spacing w:line="276" w:lineRule="auto"/>
              <w:rPr>
                <w:rFonts w:eastAsia="Arial" w:cs="Arial"/>
                <w:szCs w:val="24"/>
              </w:rPr>
            </w:pPr>
          </w:p>
        </w:tc>
      </w:tr>
      <w:tr w:rsidR="007C6854" w14:paraId="26230EA4" w14:textId="77777777" w:rsidTr="00DA41CA">
        <w:trPr>
          <w:trHeight w:val="240"/>
        </w:trPr>
        <w:tc>
          <w:tcPr>
            <w:tcW w:w="3375" w:type="dxa"/>
            <w:vAlign w:val="center"/>
          </w:tcPr>
          <w:p w14:paraId="0A436EEA" w14:textId="77777777" w:rsidR="007C6854" w:rsidRDefault="00E0219E">
            <w:pPr>
              <w:spacing w:line="259" w:lineRule="auto"/>
              <w:rPr>
                <w:rFonts w:eastAsia="Arial" w:cs="Arial"/>
                <w:szCs w:val="24"/>
              </w:rPr>
            </w:pPr>
            <w:r>
              <w:rPr>
                <w:rFonts w:eastAsia="Arial" w:cs="Arial"/>
                <w:szCs w:val="24"/>
              </w:rPr>
              <w:t>Employed individual</w:t>
            </w:r>
          </w:p>
        </w:tc>
        <w:tc>
          <w:tcPr>
            <w:tcW w:w="1500" w:type="dxa"/>
            <w:vAlign w:val="center"/>
          </w:tcPr>
          <w:p w14:paraId="5802C5CC" w14:textId="77777777" w:rsidR="007C6854" w:rsidRDefault="00E0219E">
            <w:pPr>
              <w:spacing w:line="259" w:lineRule="auto"/>
              <w:jc w:val="center"/>
              <w:rPr>
                <w:rFonts w:eastAsia="Arial" w:cs="Arial"/>
                <w:szCs w:val="24"/>
              </w:rPr>
            </w:pPr>
            <w:r>
              <w:rPr>
                <w:rFonts w:eastAsia="Arial" w:cs="Arial"/>
                <w:szCs w:val="24"/>
              </w:rPr>
              <w:t>2.36</w:t>
            </w:r>
          </w:p>
        </w:tc>
        <w:tc>
          <w:tcPr>
            <w:tcW w:w="3090" w:type="dxa"/>
            <w:vAlign w:val="center"/>
          </w:tcPr>
          <w:p w14:paraId="7D6B0530" w14:textId="77777777" w:rsidR="007C6854" w:rsidRDefault="00E0219E">
            <w:pPr>
              <w:spacing w:line="288" w:lineRule="auto"/>
              <w:jc w:val="center"/>
              <w:rPr>
                <w:rFonts w:eastAsia="Arial" w:cs="Arial"/>
                <w:sz w:val="28"/>
                <w:szCs w:val="28"/>
              </w:rPr>
            </w:pPr>
            <w:r>
              <w:rPr>
                <w:rFonts w:eastAsia="Arial" w:cs="Arial"/>
                <w:szCs w:val="24"/>
                <w:highlight w:val="white"/>
              </w:rPr>
              <w:t>1.19 to 4.68</w:t>
            </w:r>
          </w:p>
        </w:tc>
        <w:tc>
          <w:tcPr>
            <w:tcW w:w="1320" w:type="dxa"/>
            <w:vMerge w:val="restart"/>
            <w:vAlign w:val="center"/>
          </w:tcPr>
          <w:p w14:paraId="0DB2F9BA" w14:textId="77777777" w:rsidR="007C6854" w:rsidRDefault="00E0219E">
            <w:pPr>
              <w:spacing w:line="259" w:lineRule="auto"/>
              <w:jc w:val="center"/>
              <w:rPr>
                <w:rFonts w:eastAsia="Arial" w:cs="Arial"/>
                <w:szCs w:val="24"/>
              </w:rPr>
            </w:pPr>
            <w:r>
              <w:rPr>
                <w:rFonts w:eastAsia="Arial" w:cs="Arial"/>
                <w:szCs w:val="24"/>
              </w:rPr>
              <w:t>0.0129*</w:t>
            </w:r>
          </w:p>
        </w:tc>
      </w:tr>
      <w:tr w:rsidR="007C6854" w14:paraId="4D0237E1" w14:textId="77777777" w:rsidTr="00DA41CA">
        <w:trPr>
          <w:trHeight w:val="240"/>
        </w:trPr>
        <w:tc>
          <w:tcPr>
            <w:tcW w:w="3375" w:type="dxa"/>
            <w:vAlign w:val="center"/>
          </w:tcPr>
          <w:p w14:paraId="29F57AA7" w14:textId="77777777" w:rsidR="007C6854" w:rsidRDefault="00E0219E">
            <w:pPr>
              <w:spacing w:line="259" w:lineRule="auto"/>
              <w:rPr>
                <w:rFonts w:eastAsia="Arial" w:cs="Arial"/>
                <w:szCs w:val="24"/>
              </w:rPr>
            </w:pPr>
            <w:r>
              <w:rPr>
                <w:rFonts w:eastAsia="Arial" w:cs="Arial"/>
                <w:szCs w:val="24"/>
              </w:rPr>
              <w:t>Unemployed individuals</w:t>
            </w:r>
          </w:p>
        </w:tc>
        <w:tc>
          <w:tcPr>
            <w:tcW w:w="1500" w:type="dxa"/>
            <w:vAlign w:val="center"/>
          </w:tcPr>
          <w:p w14:paraId="496F20AC" w14:textId="77777777" w:rsidR="007C6854" w:rsidRDefault="00E0219E">
            <w:pPr>
              <w:spacing w:line="288" w:lineRule="auto"/>
              <w:jc w:val="center"/>
              <w:rPr>
                <w:rFonts w:eastAsia="Arial" w:cs="Arial"/>
                <w:szCs w:val="24"/>
              </w:rPr>
            </w:pPr>
            <w:r>
              <w:rPr>
                <w:rFonts w:eastAsia="Arial" w:cs="Arial"/>
                <w:szCs w:val="24"/>
              </w:rPr>
              <w:t>0.423</w:t>
            </w:r>
          </w:p>
        </w:tc>
        <w:tc>
          <w:tcPr>
            <w:tcW w:w="3090" w:type="dxa"/>
            <w:vAlign w:val="center"/>
          </w:tcPr>
          <w:p w14:paraId="474555AE" w14:textId="77777777" w:rsidR="007C6854" w:rsidRDefault="00E0219E">
            <w:pPr>
              <w:jc w:val="center"/>
              <w:rPr>
                <w:rFonts w:eastAsia="Arial" w:cs="Arial"/>
                <w:szCs w:val="24"/>
              </w:rPr>
            </w:pPr>
            <w:r>
              <w:rPr>
                <w:rFonts w:eastAsia="Arial" w:cs="Arial"/>
                <w:szCs w:val="24"/>
              </w:rPr>
              <w:t>0.21345 to 0.84</w:t>
            </w:r>
          </w:p>
        </w:tc>
        <w:tc>
          <w:tcPr>
            <w:tcW w:w="1320" w:type="dxa"/>
            <w:vMerge/>
            <w:vAlign w:val="center"/>
          </w:tcPr>
          <w:p w14:paraId="49F4BCF7" w14:textId="77777777" w:rsidR="007C6854" w:rsidRDefault="007C6854">
            <w:pPr>
              <w:widowControl w:val="0"/>
              <w:pBdr>
                <w:top w:val="nil"/>
                <w:left w:val="nil"/>
                <w:bottom w:val="nil"/>
                <w:right w:val="nil"/>
                <w:between w:val="nil"/>
              </w:pBdr>
              <w:spacing w:line="276" w:lineRule="auto"/>
              <w:rPr>
                <w:rFonts w:eastAsia="Arial" w:cs="Arial"/>
                <w:szCs w:val="24"/>
              </w:rPr>
            </w:pPr>
          </w:p>
        </w:tc>
      </w:tr>
      <w:tr w:rsidR="007C6854" w14:paraId="166B944D" w14:textId="77777777" w:rsidTr="00DA41CA">
        <w:tc>
          <w:tcPr>
            <w:tcW w:w="3375" w:type="dxa"/>
            <w:vAlign w:val="center"/>
          </w:tcPr>
          <w:p w14:paraId="69269F02" w14:textId="77777777" w:rsidR="007C6854" w:rsidRDefault="00E0219E">
            <w:pPr>
              <w:spacing w:line="259" w:lineRule="auto"/>
              <w:rPr>
                <w:rFonts w:eastAsia="Arial" w:cs="Arial"/>
                <w:szCs w:val="24"/>
              </w:rPr>
            </w:pPr>
            <w:r>
              <w:rPr>
                <w:rFonts w:eastAsia="Arial" w:cs="Arial"/>
                <w:szCs w:val="24"/>
              </w:rPr>
              <w:t>Respondents without health insurance</w:t>
            </w:r>
          </w:p>
        </w:tc>
        <w:tc>
          <w:tcPr>
            <w:tcW w:w="1500" w:type="dxa"/>
            <w:vAlign w:val="center"/>
          </w:tcPr>
          <w:p w14:paraId="09AEFBA0" w14:textId="77777777" w:rsidR="007C6854" w:rsidRDefault="00E0219E">
            <w:pPr>
              <w:spacing w:line="259" w:lineRule="auto"/>
              <w:jc w:val="center"/>
              <w:rPr>
                <w:rFonts w:eastAsia="Arial" w:cs="Arial"/>
                <w:szCs w:val="24"/>
              </w:rPr>
            </w:pPr>
            <w:r>
              <w:rPr>
                <w:rFonts w:eastAsia="Arial" w:cs="Arial"/>
                <w:szCs w:val="24"/>
              </w:rPr>
              <w:t>1.69</w:t>
            </w:r>
          </w:p>
        </w:tc>
        <w:tc>
          <w:tcPr>
            <w:tcW w:w="3090" w:type="dxa"/>
            <w:vAlign w:val="center"/>
          </w:tcPr>
          <w:p w14:paraId="18F7F22F" w14:textId="77777777" w:rsidR="007C6854" w:rsidRDefault="00E0219E">
            <w:pPr>
              <w:spacing w:line="259" w:lineRule="auto"/>
              <w:jc w:val="center"/>
              <w:rPr>
                <w:rFonts w:eastAsia="Arial" w:cs="Arial"/>
                <w:szCs w:val="24"/>
              </w:rPr>
            </w:pPr>
            <w:r>
              <w:rPr>
                <w:rFonts w:eastAsia="Arial" w:cs="Arial"/>
                <w:szCs w:val="24"/>
              </w:rPr>
              <w:t xml:space="preserve">  0.6259 to 4.57</w:t>
            </w:r>
          </w:p>
        </w:tc>
        <w:tc>
          <w:tcPr>
            <w:tcW w:w="1320" w:type="dxa"/>
            <w:vAlign w:val="center"/>
          </w:tcPr>
          <w:p w14:paraId="7B12AC5E" w14:textId="77777777" w:rsidR="007C6854" w:rsidRDefault="00E0219E">
            <w:pPr>
              <w:spacing w:line="259" w:lineRule="auto"/>
              <w:jc w:val="center"/>
              <w:rPr>
                <w:rFonts w:eastAsia="Arial" w:cs="Arial"/>
                <w:szCs w:val="24"/>
              </w:rPr>
            </w:pPr>
            <w:r>
              <w:rPr>
                <w:rFonts w:eastAsia="Arial" w:cs="Arial"/>
                <w:szCs w:val="24"/>
              </w:rPr>
              <w:t>0.302</w:t>
            </w:r>
          </w:p>
        </w:tc>
      </w:tr>
      <w:tr w:rsidR="007C6854" w14:paraId="529C38CD" w14:textId="77777777" w:rsidTr="00DA41CA">
        <w:tc>
          <w:tcPr>
            <w:tcW w:w="3375" w:type="dxa"/>
            <w:vAlign w:val="center"/>
          </w:tcPr>
          <w:p w14:paraId="38251515" w14:textId="77777777" w:rsidR="007C6854" w:rsidRDefault="00E0219E">
            <w:pPr>
              <w:spacing w:line="259" w:lineRule="auto"/>
              <w:rPr>
                <w:rFonts w:eastAsia="Arial" w:cs="Arial"/>
                <w:szCs w:val="24"/>
              </w:rPr>
            </w:pPr>
            <w:r>
              <w:rPr>
                <w:rFonts w:eastAsia="Arial" w:cs="Arial"/>
                <w:szCs w:val="24"/>
              </w:rPr>
              <w:t xml:space="preserve">Respondents with health insurance </w:t>
            </w:r>
          </w:p>
        </w:tc>
        <w:tc>
          <w:tcPr>
            <w:tcW w:w="1500" w:type="dxa"/>
            <w:vAlign w:val="center"/>
          </w:tcPr>
          <w:p w14:paraId="01A68892" w14:textId="77777777" w:rsidR="007C6854" w:rsidRDefault="00E0219E">
            <w:pPr>
              <w:spacing w:line="259" w:lineRule="auto"/>
              <w:jc w:val="center"/>
              <w:rPr>
                <w:rFonts w:eastAsia="Arial" w:cs="Arial"/>
                <w:szCs w:val="24"/>
              </w:rPr>
            </w:pPr>
            <w:r>
              <w:rPr>
                <w:rFonts w:eastAsia="Arial" w:cs="Arial"/>
                <w:szCs w:val="24"/>
              </w:rPr>
              <w:t xml:space="preserve">  0.686</w:t>
            </w:r>
          </w:p>
        </w:tc>
        <w:tc>
          <w:tcPr>
            <w:tcW w:w="3090" w:type="dxa"/>
            <w:vAlign w:val="center"/>
          </w:tcPr>
          <w:p w14:paraId="6CD1F685" w14:textId="77777777" w:rsidR="007C6854" w:rsidRDefault="00E0219E">
            <w:pPr>
              <w:spacing w:line="259" w:lineRule="auto"/>
              <w:jc w:val="center"/>
              <w:rPr>
                <w:rFonts w:eastAsia="Arial" w:cs="Arial"/>
                <w:szCs w:val="24"/>
              </w:rPr>
            </w:pPr>
            <w:r>
              <w:rPr>
                <w:rFonts w:eastAsia="Arial" w:cs="Arial"/>
                <w:szCs w:val="24"/>
              </w:rPr>
              <w:t>0.263 to 1.79</w:t>
            </w:r>
          </w:p>
        </w:tc>
        <w:tc>
          <w:tcPr>
            <w:tcW w:w="1320" w:type="dxa"/>
            <w:vAlign w:val="center"/>
          </w:tcPr>
          <w:p w14:paraId="4DEB2FF9" w14:textId="77777777" w:rsidR="007C6854" w:rsidRDefault="00E0219E">
            <w:pPr>
              <w:spacing w:line="259" w:lineRule="auto"/>
              <w:jc w:val="center"/>
              <w:rPr>
                <w:rFonts w:eastAsia="Arial" w:cs="Arial"/>
                <w:szCs w:val="24"/>
              </w:rPr>
            </w:pPr>
            <w:r>
              <w:rPr>
                <w:rFonts w:eastAsia="Arial" w:cs="Arial"/>
                <w:szCs w:val="24"/>
              </w:rPr>
              <w:t>0.445</w:t>
            </w:r>
          </w:p>
        </w:tc>
      </w:tr>
      <w:tr w:rsidR="007C6854" w14:paraId="3E81BB67" w14:textId="77777777" w:rsidTr="00DA41CA">
        <w:trPr>
          <w:trHeight w:val="240"/>
        </w:trPr>
        <w:tc>
          <w:tcPr>
            <w:tcW w:w="3375" w:type="dxa"/>
            <w:vAlign w:val="center"/>
          </w:tcPr>
          <w:p w14:paraId="4E3BE60A" w14:textId="77777777" w:rsidR="007C6854" w:rsidRDefault="00E0219E">
            <w:pPr>
              <w:spacing w:line="259" w:lineRule="auto"/>
              <w:rPr>
                <w:rFonts w:eastAsia="Arial" w:cs="Arial"/>
                <w:szCs w:val="24"/>
              </w:rPr>
            </w:pPr>
            <w:r>
              <w:rPr>
                <w:rFonts w:eastAsia="Arial" w:cs="Arial"/>
                <w:szCs w:val="24"/>
              </w:rPr>
              <w:t>Respondents belonging to low- to high-income wealth status</w:t>
            </w:r>
          </w:p>
        </w:tc>
        <w:tc>
          <w:tcPr>
            <w:tcW w:w="1500" w:type="dxa"/>
            <w:vAlign w:val="center"/>
          </w:tcPr>
          <w:p w14:paraId="6AF4F81B" w14:textId="77777777" w:rsidR="007C6854" w:rsidRDefault="00E0219E">
            <w:pPr>
              <w:spacing w:line="259" w:lineRule="auto"/>
              <w:jc w:val="center"/>
              <w:rPr>
                <w:rFonts w:eastAsia="Arial" w:cs="Arial"/>
                <w:szCs w:val="24"/>
              </w:rPr>
            </w:pPr>
            <w:r>
              <w:rPr>
                <w:rFonts w:eastAsia="Arial" w:cs="Arial"/>
                <w:szCs w:val="24"/>
              </w:rPr>
              <w:t>0.537</w:t>
            </w:r>
          </w:p>
        </w:tc>
        <w:tc>
          <w:tcPr>
            <w:tcW w:w="3090" w:type="dxa"/>
            <w:vAlign w:val="center"/>
          </w:tcPr>
          <w:p w14:paraId="52DF01EB" w14:textId="77777777" w:rsidR="007C6854" w:rsidRDefault="00E0219E">
            <w:pPr>
              <w:spacing w:line="259" w:lineRule="auto"/>
              <w:jc w:val="center"/>
              <w:rPr>
                <w:rFonts w:eastAsia="Arial" w:cs="Arial"/>
                <w:szCs w:val="24"/>
              </w:rPr>
            </w:pPr>
            <w:r>
              <w:rPr>
                <w:rFonts w:eastAsia="Arial" w:cs="Arial"/>
                <w:szCs w:val="24"/>
              </w:rPr>
              <w:t>0.2652 to 1.09</w:t>
            </w:r>
          </w:p>
        </w:tc>
        <w:tc>
          <w:tcPr>
            <w:tcW w:w="1320" w:type="dxa"/>
            <w:vMerge w:val="restart"/>
            <w:tcBorders>
              <w:bottom w:val="single" w:sz="4" w:space="0" w:color="auto"/>
            </w:tcBorders>
            <w:vAlign w:val="center"/>
          </w:tcPr>
          <w:p w14:paraId="5059739B" w14:textId="77777777" w:rsidR="007C6854" w:rsidRDefault="007C6854">
            <w:pPr>
              <w:spacing w:line="259" w:lineRule="auto"/>
              <w:jc w:val="center"/>
              <w:rPr>
                <w:rFonts w:eastAsia="Arial" w:cs="Arial"/>
                <w:szCs w:val="24"/>
              </w:rPr>
            </w:pPr>
          </w:p>
          <w:p w14:paraId="12B4D5FB" w14:textId="77777777" w:rsidR="007C6854" w:rsidRDefault="00E0219E">
            <w:pPr>
              <w:widowControl w:val="0"/>
              <w:jc w:val="center"/>
              <w:rPr>
                <w:rFonts w:eastAsia="Arial" w:cs="Arial"/>
                <w:szCs w:val="24"/>
              </w:rPr>
            </w:pPr>
            <w:r>
              <w:rPr>
                <w:rFonts w:eastAsia="Arial" w:cs="Arial"/>
                <w:szCs w:val="24"/>
              </w:rPr>
              <w:t>0.0848</w:t>
            </w:r>
          </w:p>
        </w:tc>
      </w:tr>
      <w:tr w:rsidR="007C6854" w14:paraId="67B1844C" w14:textId="77777777" w:rsidTr="00DA41CA">
        <w:trPr>
          <w:trHeight w:val="240"/>
        </w:trPr>
        <w:tc>
          <w:tcPr>
            <w:tcW w:w="3375" w:type="dxa"/>
            <w:tcBorders>
              <w:bottom w:val="single" w:sz="4" w:space="0" w:color="auto"/>
            </w:tcBorders>
            <w:vAlign w:val="center"/>
          </w:tcPr>
          <w:p w14:paraId="11FF2142" w14:textId="77777777" w:rsidR="007C6854" w:rsidRDefault="00E0219E">
            <w:pPr>
              <w:spacing w:line="259" w:lineRule="auto"/>
              <w:rPr>
                <w:rFonts w:eastAsia="Arial" w:cs="Arial"/>
                <w:szCs w:val="24"/>
              </w:rPr>
            </w:pPr>
            <w:r>
              <w:rPr>
                <w:rFonts w:eastAsia="Arial" w:cs="Arial"/>
                <w:szCs w:val="24"/>
              </w:rPr>
              <w:t>Respondents in Poor Income wealth</w:t>
            </w:r>
          </w:p>
        </w:tc>
        <w:tc>
          <w:tcPr>
            <w:tcW w:w="1500" w:type="dxa"/>
            <w:tcBorders>
              <w:bottom w:val="single" w:sz="4" w:space="0" w:color="auto"/>
            </w:tcBorders>
            <w:vAlign w:val="center"/>
          </w:tcPr>
          <w:p w14:paraId="03AB955B" w14:textId="77777777" w:rsidR="007C6854" w:rsidRDefault="00E0219E">
            <w:pPr>
              <w:spacing w:line="259" w:lineRule="auto"/>
              <w:jc w:val="center"/>
              <w:rPr>
                <w:rFonts w:eastAsia="Arial" w:cs="Arial"/>
                <w:szCs w:val="24"/>
              </w:rPr>
            </w:pPr>
            <w:r>
              <w:rPr>
                <w:rFonts w:eastAsia="Arial" w:cs="Arial"/>
                <w:szCs w:val="24"/>
              </w:rPr>
              <w:t>1.86</w:t>
            </w:r>
          </w:p>
        </w:tc>
        <w:tc>
          <w:tcPr>
            <w:tcW w:w="3090" w:type="dxa"/>
            <w:tcBorders>
              <w:bottom w:val="single" w:sz="4" w:space="0" w:color="auto"/>
            </w:tcBorders>
            <w:vAlign w:val="center"/>
          </w:tcPr>
          <w:p w14:paraId="688D7642" w14:textId="77777777" w:rsidR="007C6854" w:rsidRDefault="00E0219E">
            <w:pPr>
              <w:spacing w:line="259" w:lineRule="auto"/>
              <w:jc w:val="center"/>
              <w:rPr>
                <w:rFonts w:eastAsia="Arial" w:cs="Arial"/>
                <w:szCs w:val="24"/>
              </w:rPr>
            </w:pPr>
            <w:r>
              <w:rPr>
                <w:rFonts w:eastAsia="Arial" w:cs="Arial"/>
                <w:szCs w:val="24"/>
              </w:rPr>
              <w:t>0.9189 to 3.77</w:t>
            </w:r>
          </w:p>
        </w:tc>
        <w:tc>
          <w:tcPr>
            <w:tcW w:w="1320" w:type="dxa"/>
            <w:vMerge/>
            <w:tcBorders>
              <w:bottom w:val="single" w:sz="4" w:space="0" w:color="auto"/>
            </w:tcBorders>
            <w:vAlign w:val="center"/>
          </w:tcPr>
          <w:p w14:paraId="15FEB6A5" w14:textId="77777777" w:rsidR="007C6854" w:rsidRDefault="007C6854">
            <w:pPr>
              <w:widowControl w:val="0"/>
              <w:pBdr>
                <w:top w:val="nil"/>
                <w:left w:val="nil"/>
                <w:bottom w:val="nil"/>
                <w:right w:val="nil"/>
                <w:between w:val="nil"/>
              </w:pBdr>
              <w:spacing w:line="276" w:lineRule="auto"/>
              <w:rPr>
                <w:rFonts w:eastAsia="Arial" w:cs="Arial"/>
                <w:szCs w:val="24"/>
              </w:rPr>
            </w:pPr>
          </w:p>
        </w:tc>
      </w:tr>
    </w:tbl>
    <w:p w14:paraId="1FA8CAA1" w14:textId="77777777" w:rsidR="00DA41CA" w:rsidRDefault="00DA41CA">
      <w:pPr>
        <w:spacing w:after="0" w:line="259" w:lineRule="auto"/>
        <w:rPr>
          <w:rFonts w:eastAsia="Arial" w:cs="Arial"/>
          <w:i/>
          <w:szCs w:val="24"/>
        </w:rPr>
      </w:pPr>
    </w:p>
    <w:p w14:paraId="202D45D5" w14:textId="292F8908" w:rsidR="007C6854" w:rsidRDefault="00E0219E">
      <w:pPr>
        <w:spacing w:after="0" w:line="259" w:lineRule="auto"/>
        <w:rPr>
          <w:rFonts w:eastAsia="Arial" w:cs="Arial"/>
          <w:b/>
          <w:szCs w:val="24"/>
        </w:rPr>
      </w:pPr>
      <w:r>
        <w:rPr>
          <w:rFonts w:eastAsia="Arial" w:cs="Arial"/>
          <w:i/>
          <w:szCs w:val="24"/>
        </w:rPr>
        <w:t>*Statistically Significant at p&lt;0.05</w:t>
      </w:r>
    </w:p>
    <w:p w14:paraId="03DCB747" w14:textId="77777777" w:rsidR="007C6854" w:rsidRDefault="00E0219E">
      <w:pPr>
        <w:spacing w:after="160" w:line="259" w:lineRule="auto"/>
        <w:jc w:val="center"/>
        <w:rPr>
          <w:rFonts w:eastAsia="Arial" w:cs="Arial"/>
          <w:b/>
          <w:szCs w:val="24"/>
        </w:rPr>
      </w:pPr>
      <w:r>
        <w:rPr>
          <w:rFonts w:eastAsia="Arial" w:cs="Arial"/>
          <w:b/>
          <w:szCs w:val="24"/>
        </w:rPr>
        <w:br/>
      </w:r>
      <w:r>
        <w:br w:type="page"/>
      </w:r>
    </w:p>
    <w:p w14:paraId="456FC96D" w14:textId="3F21FA5B" w:rsidR="007C6854" w:rsidRDefault="00F362B2" w:rsidP="00F362B2">
      <w:pPr>
        <w:pStyle w:val="Heading1"/>
        <w:spacing w:line="240" w:lineRule="auto"/>
        <w:jc w:val="center"/>
        <w:rPr>
          <w:rFonts w:eastAsia="Arial" w:cs="Arial"/>
          <w:sz w:val="24"/>
          <w:szCs w:val="24"/>
        </w:rPr>
      </w:pPr>
      <w:bookmarkStart w:id="63" w:name="_heading=h.2dlolyb" w:colFirst="0" w:colLast="0"/>
      <w:bookmarkEnd w:id="63"/>
      <w:r>
        <w:rPr>
          <w:rFonts w:eastAsia="Arial" w:cs="Arial"/>
          <w:sz w:val="24"/>
          <w:szCs w:val="24"/>
        </w:rPr>
        <w:lastRenderedPageBreak/>
        <w:t>Chapter</w:t>
      </w:r>
      <w:r w:rsidR="00E0219E">
        <w:rPr>
          <w:rFonts w:eastAsia="Arial" w:cs="Arial"/>
          <w:sz w:val="24"/>
          <w:szCs w:val="24"/>
        </w:rPr>
        <w:t xml:space="preserve"> V:</w:t>
      </w:r>
    </w:p>
    <w:p w14:paraId="6C8F41FF" w14:textId="77777777" w:rsidR="007C6854" w:rsidRDefault="00E0219E" w:rsidP="00F362B2">
      <w:pPr>
        <w:pStyle w:val="Heading1"/>
        <w:spacing w:line="240" w:lineRule="auto"/>
        <w:jc w:val="center"/>
        <w:rPr>
          <w:rFonts w:eastAsia="Arial" w:cs="Arial"/>
          <w:sz w:val="24"/>
          <w:szCs w:val="24"/>
        </w:rPr>
      </w:pPr>
      <w:bookmarkStart w:id="64" w:name="_heading=h.sqyw64" w:colFirst="0" w:colLast="0"/>
      <w:bookmarkEnd w:id="64"/>
      <w:r>
        <w:rPr>
          <w:rFonts w:eastAsia="Arial" w:cs="Arial"/>
          <w:sz w:val="24"/>
          <w:szCs w:val="24"/>
        </w:rPr>
        <w:t>CONCLUSION AND RECOMMENDATIONS</w:t>
      </w:r>
    </w:p>
    <w:p w14:paraId="4EE3C6F3" w14:textId="77777777" w:rsidR="007C6854" w:rsidRPr="00E95D0C" w:rsidRDefault="007C6854" w:rsidP="00862045">
      <w:pPr>
        <w:spacing w:line="480" w:lineRule="auto"/>
        <w:rPr>
          <w:lang w:val="en-PH"/>
        </w:rPr>
      </w:pPr>
    </w:p>
    <w:p w14:paraId="2B0C25FB" w14:textId="687B8986" w:rsidR="00F362B2" w:rsidRDefault="00E0219E" w:rsidP="00F362B2">
      <w:pPr>
        <w:pBdr>
          <w:top w:val="nil"/>
          <w:left w:val="nil"/>
          <w:bottom w:val="nil"/>
          <w:right w:val="nil"/>
          <w:between w:val="nil"/>
        </w:pBdr>
        <w:spacing w:after="160" w:line="480" w:lineRule="auto"/>
        <w:ind w:firstLine="720"/>
        <w:jc w:val="both"/>
        <w:rPr>
          <w:rFonts w:eastAsia="Arial" w:cs="Arial"/>
          <w:szCs w:val="24"/>
        </w:rPr>
      </w:pPr>
      <w:r>
        <w:rPr>
          <w:rFonts w:eastAsia="Arial" w:cs="Arial"/>
          <w:color w:val="212121"/>
          <w:szCs w:val="24"/>
          <w:highlight w:val="white"/>
        </w:rPr>
        <w:t xml:space="preserve">Overall, the study established a correlation between health literacy and hypertension among urban poor settlers in the study population. The study also suggests that hypertension could be high in urban poor communities like the community of </w:t>
      </w:r>
      <w:proofErr w:type="spellStart"/>
      <w:r>
        <w:rPr>
          <w:rFonts w:eastAsia="Arial" w:cs="Arial"/>
          <w:color w:val="212121"/>
          <w:szCs w:val="24"/>
          <w:highlight w:val="white"/>
        </w:rPr>
        <w:t>Bukuhan</w:t>
      </w:r>
      <w:proofErr w:type="spellEnd"/>
      <w:r>
        <w:rPr>
          <w:rFonts w:eastAsia="Arial" w:cs="Arial"/>
          <w:color w:val="212121"/>
          <w:szCs w:val="24"/>
          <w:highlight w:val="white"/>
        </w:rPr>
        <w:t xml:space="preserve"> in Santa Ana, Pateros. More so, the study emphasizes the importance of understanding the role of health literacy in the prevention and control of hypertension. </w:t>
      </w:r>
      <w:r>
        <w:rPr>
          <w:rFonts w:eastAsia="Arial" w:cs="Arial"/>
          <w:color w:val="000000"/>
          <w:szCs w:val="24"/>
        </w:rPr>
        <w:t xml:space="preserve">The risk of an </w:t>
      </w:r>
      <w:r>
        <w:rPr>
          <w:rFonts w:eastAsia="Arial" w:cs="Arial"/>
          <w:szCs w:val="24"/>
        </w:rPr>
        <w:t>individual getting</w:t>
      </w:r>
      <w:r>
        <w:rPr>
          <w:rFonts w:eastAsia="Arial" w:cs="Arial"/>
          <w:color w:val="000000"/>
          <w:szCs w:val="24"/>
        </w:rPr>
        <w:t xml:space="preserve"> hypertension depends on how well he understands his health issues and needs</w:t>
      </w:r>
      <w:r>
        <w:rPr>
          <w:rFonts w:eastAsia="Arial" w:cs="Arial"/>
          <w:szCs w:val="24"/>
        </w:rPr>
        <w:t>, underscoring</w:t>
      </w:r>
      <w:r>
        <w:rPr>
          <w:rFonts w:eastAsia="Arial" w:cs="Arial"/>
          <w:color w:val="000000"/>
          <w:szCs w:val="24"/>
        </w:rPr>
        <w:t xml:space="preserve"> </w:t>
      </w:r>
      <w:r>
        <w:rPr>
          <w:rFonts w:eastAsia="Arial" w:cs="Arial"/>
          <w:szCs w:val="24"/>
        </w:rPr>
        <w:t>the importance of raising awareness about h</w:t>
      </w:r>
      <w:r>
        <w:rPr>
          <w:rFonts w:eastAsia="Arial" w:cs="Arial"/>
          <w:color w:val="000000"/>
          <w:szCs w:val="24"/>
        </w:rPr>
        <w:t xml:space="preserve">ypertension prevention and </w:t>
      </w:r>
      <w:r>
        <w:rPr>
          <w:rFonts w:eastAsia="Arial" w:cs="Arial"/>
          <w:szCs w:val="24"/>
        </w:rPr>
        <w:t>control. The COVID-19 pandemic affects an individual's perception of and care for themselves. However, the result of this research reflects that the pandemic has changed the community's attitude towards health-seeking behavior, maybe because of the fear of seeking consultation at a healthcare facility or of being identified as having COVID-19 disease. In general, the increasing concern about hypertension and health literacy is timely because the two health outcomes under investigation are attributed</w:t>
      </w:r>
      <w:r>
        <w:rPr>
          <w:rFonts w:eastAsia="Arial" w:cs="Arial"/>
          <w:color w:val="000000"/>
          <w:szCs w:val="24"/>
        </w:rPr>
        <w:t xml:space="preserve"> </w:t>
      </w:r>
      <w:r>
        <w:rPr>
          <w:rFonts w:eastAsia="Arial" w:cs="Arial"/>
          <w:szCs w:val="24"/>
        </w:rPr>
        <w:t>to a multifactorial</w:t>
      </w:r>
      <w:r>
        <w:rPr>
          <w:rFonts w:eastAsia="Arial" w:cs="Arial"/>
          <w:color w:val="000000"/>
          <w:szCs w:val="24"/>
        </w:rPr>
        <w:t xml:space="preserve"> cause</w:t>
      </w:r>
      <w:r>
        <w:rPr>
          <w:rFonts w:eastAsia="Arial" w:cs="Arial"/>
          <w:szCs w:val="24"/>
        </w:rPr>
        <w:t>. On that basis, it is critical to comprehend and recognize the influence of socio-demographic factors on the health of an individual.</w:t>
      </w:r>
      <w:r>
        <w:rPr>
          <w:rFonts w:eastAsia="Arial" w:cs="Arial"/>
          <w:color w:val="000000"/>
          <w:szCs w:val="24"/>
        </w:rPr>
        <w:t xml:space="preserve"> So, whenever hypertension is </w:t>
      </w:r>
      <w:r>
        <w:rPr>
          <w:rFonts w:eastAsia="Arial" w:cs="Arial"/>
          <w:szCs w:val="24"/>
        </w:rPr>
        <w:t>discussed,</w:t>
      </w:r>
      <w:r>
        <w:rPr>
          <w:rFonts w:eastAsia="Arial" w:cs="Arial"/>
          <w:color w:val="000000"/>
          <w:szCs w:val="24"/>
        </w:rPr>
        <w:t xml:space="preserve"> the research </w:t>
      </w:r>
      <w:r>
        <w:rPr>
          <w:rFonts w:eastAsia="Arial" w:cs="Arial"/>
          <w:szCs w:val="24"/>
        </w:rPr>
        <w:t>suggests</w:t>
      </w:r>
      <w:r>
        <w:rPr>
          <w:rFonts w:eastAsia="Arial" w:cs="Arial"/>
          <w:color w:val="000000"/>
          <w:szCs w:val="24"/>
        </w:rPr>
        <w:t xml:space="preserve"> </w:t>
      </w:r>
      <w:r>
        <w:rPr>
          <w:rFonts w:eastAsia="Arial" w:cs="Arial"/>
          <w:szCs w:val="24"/>
        </w:rPr>
        <w:t>taking</w:t>
      </w:r>
      <w:r>
        <w:rPr>
          <w:rFonts w:eastAsia="Arial" w:cs="Arial"/>
          <w:color w:val="000000"/>
          <w:szCs w:val="24"/>
        </w:rPr>
        <w:t xml:space="preserve"> into consideration health literacy</w:t>
      </w:r>
      <w:r>
        <w:rPr>
          <w:rFonts w:eastAsia="Arial" w:cs="Arial"/>
          <w:szCs w:val="24"/>
        </w:rPr>
        <w:t xml:space="preserve"> issues and not only focusing on the individual risk factors associated with hypertension, which include smoking status, alcohol consumption, an unhealthy diet, and sedentary living. The World Health Organization provides a clear statement on the prevention of hypertension. These include early assessment of risk factors and early screening, following an integrated approach (WHO, 2020). In addition, health literacy is becoming </w:t>
      </w:r>
      <w:r>
        <w:rPr>
          <w:rFonts w:eastAsia="Arial" w:cs="Arial"/>
          <w:szCs w:val="24"/>
        </w:rPr>
        <w:lastRenderedPageBreak/>
        <w:t xml:space="preserve">a reality in the 21st century and maintaining excellent health literacy is important in controlling hypertension in the community, considering the three health literacy domains addressed by this study (Don </w:t>
      </w:r>
      <w:proofErr w:type="spellStart"/>
      <w:r>
        <w:rPr>
          <w:rFonts w:eastAsia="Arial" w:cs="Arial"/>
          <w:szCs w:val="24"/>
        </w:rPr>
        <w:t>Nutbeam</w:t>
      </w:r>
      <w:proofErr w:type="spellEnd"/>
      <w:r>
        <w:rPr>
          <w:rFonts w:eastAsia="Arial" w:cs="Arial"/>
          <w:szCs w:val="24"/>
        </w:rPr>
        <w:t xml:space="preserve">, 2000; Scott C. Ratzan, 2001). </w:t>
      </w:r>
    </w:p>
    <w:p w14:paraId="502B5EF6" w14:textId="77777777" w:rsidR="007C6854" w:rsidRDefault="00E0219E" w:rsidP="00F362B2">
      <w:pPr>
        <w:pStyle w:val="Heading2"/>
        <w:spacing w:line="480" w:lineRule="auto"/>
        <w:jc w:val="center"/>
      </w:pPr>
      <w:bookmarkStart w:id="65" w:name="_heading=h.3cqmetx" w:colFirst="0" w:colLast="0"/>
      <w:bookmarkEnd w:id="65"/>
      <w:r>
        <w:rPr>
          <w:rFonts w:eastAsia="Arial" w:cs="Arial"/>
          <w:sz w:val="24"/>
          <w:szCs w:val="24"/>
        </w:rPr>
        <w:t>Recommendations</w:t>
      </w:r>
    </w:p>
    <w:p w14:paraId="2AE6DA83" w14:textId="77777777" w:rsidR="007C6854" w:rsidRDefault="00E0219E" w:rsidP="00862045">
      <w:pPr>
        <w:pStyle w:val="Heading3"/>
        <w:spacing w:line="480" w:lineRule="auto"/>
      </w:pPr>
      <w:bookmarkStart w:id="66" w:name="_heading=h.1rvwp1q" w:colFirst="0" w:colLast="0"/>
      <w:bookmarkEnd w:id="66"/>
      <w:r>
        <w:rPr>
          <w:rFonts w:eastAsia="Arial" w:cs="Arial"/>
          <w:sz w:val="24"/>
          <w:szCs w:val="24"/>
        </w:rPr>
        <w:t>Department of Health</w:t>
      </w:r>
    </w:p>
    <w:p w14:paraId="75599094" w14:textId="77777777" w:rsidR="007C6854" w:rsidRDefault="00E0219E" w:rsidP="00862045">
      <w:pPr>
        <w:numPr>
          <w:ilvl w:val="0"/>
          <w:numId w:val="2"/>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To the </w:t>
      </w:r>
      <w:r>
        <w:rPr>
          <w:rFonts w:eastAsia="Arial" w:cs="Arial"/>
          <w:i/>
          <w:szCs w:val="24"/>
        </w:rPr>
        <w:t>Disease Prevention and Control Bureau</w:t>
      </w:r>
      <w:r>
        <w:rPr>
          <w:rFonts w:eastAsia="Arial" w:cs="Arial"/>
          <w:szCs w:val="24"/>
        </w:rPr>
        <w:t>, to review and implement the implementation of the administrative order pertaining to the package of essential noncommunicable diseases in managing hypertension for primary care facilities, particularly on the early detection, risk assessment, and management of patients with hypertension. Also, it is high time for the Department of Health to strengthen the country’s NCD multi-sectoral alliance or partnership.</w:t>
      </w:r>
    </w:p>
    <w:p w14:paraId="080C786D" w14:textId="77777777" w:rsidR="007C6854" w:rsidRDefault="00E0219E" w:rsidP="00862045">
      <w:pPr>
        <w:numPr>
          <w:ilvl w:val="0"/>
          <w:numId w:val="2"/>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To the </w:t>
      </w:r>
      <w:r>
        <w:rPr>
          <w:rFonts w:eastAsia="Arial" w:cs="Arial"/>
          <w:i/>
          <w:szCs w:val="24"/>
        </w:rPr>
        <w:t>Health Promotion Bureau</w:t>
      </w:r>
      <w:r>
        <w:rPr>
          <w:rFonts w:eastAsia="Arial" w:cs="Arial"/>
          <w:szCs w:val="24"/>
        </w:rPr>
        <w:t>, to strengthen community-based health promotion campaigns and health education efforts on healthy lifestyles focusing on risk factor prevention, risk assessment, and seeking early consultation. It can also be beneficial if the developed materials target high-risk individuals, e.g., women, elderly, and employed individuals.</w:t>
      </w:r>
    </w:p>
    <w:p w14:paraId="6174AE69" w14:textId="0DB77E36" w:rsidR="007C6854" w:rsidRDefault="00E0219E" w:rsidP="00862045">
      <w:pPr>
        <w:numPr>
          <w:ilvl w:val="0"/>
          <w:numId w:val="2"/>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To the </w:t>
      </w:r>
      <w:r>
        <w:rPr>
          <w:rFonts w:eastAsia="Arial" w:cs="Arial"/>
          <w:i/>
          <w:szCs w:val="24"/>
        </w:rPr>
        <w:t>Philippine Health Insurance Corporation (PhilHealth)</w:t>
      </w:r>
      <w:r>
        <w:rPr>
          <w:rFonts w:eastAsia="Arial" w:cs="Arial"/>
          <w:szCs w:val="24"/>
        </w:rPr>
        <w:t xml:space="preserve">, </w:t>
      </w:r>
      <w:r w:rsidR="006D1740">
        <w:rPr>
          <w:rFonts w:eastAsia="Arial" w:cs="Arial"/>
          <w:szCs w:val="24"/>
        </w:rPr>
        <w:t>t</w:t>
      </w:r>
      <w:r w:rsidR="006D1740" w:rsidRPr="006D1740">
        <w:rPr>
          <w:rFonts w:eastAsia="Arial" w:cs="Arial"/>
          <w:szCs w:val="24"/>
        </w:rPr>
        <w:t>o enhance the primary health care package, it is imperative to review and make improvements. This includes incorporating access to health materials, health counseling, and ensuring availability of quality and affordable medication for hypertensive clients. It is particularly crucial to focus on unprivileged individuals and those who are employed in sectors where research indicates a high prevalence of hypertension.</w:t>
      </w:r>
    </w:p>
    <w:p w14:paraId="5453D08E" w14:textId="77777777" w:rsidR="007C6854" w:rsidRDefault="00E0219E" w:rsidP="00862045">
      <w:pPr>
        <w:numPr>
          <w:ilvl w:val="0"/>
          <w:numId w:val="2"/>
        </w:numPr>
        <w:pBdr>
          <w:top w:val="nil"/>
          <w:left w:val="nil"/>
          <w:bottom w:val="nil"/>
          <w:right w:val="nil"/>
          <w:between w:val="nil"/>
        </w:pBdr>
        <w:spacing w:after="160" w:line="480" w:lineRule="auto"/>
        <w:jc w:val="both"/>
        <w:rPr>
          <w:rFonts w:eastAsia="Arial" w:cs="Arial"/>
          <w:szCs w:val="24"/>
        </w:rPr>
      </w:pPr>
      <w:r>
        <w:rPr>
          <w:rFonts w:eastAsia="Arial" w:cs="Arial"/>
          <w:szCs w:val="24"/>
        </w:rPr>
        <w:lastRenderedPageBreak/>
        <w:t xml:space="preserve">To the </w:t>
      </w:r>
      <w:r>
        <w:rPr>
          <w:rFonts w:eastAsia="Arial" w:cs="Arial"/>
          <w:i/>
          <w:szCs w:val="24"/>
        </w:rPr>
        <w:t xml:space="preserve">Center for Health Development </w:t>
      </w:r>
      <w:r>
        <w:rPr>
          <w:rFonts w:eastAsia="Arial" w:cs="Arial"/>
          <w:szCs w:val="24"/>
        </w:rPr>
        <w:t>in Metro Manila, guide the local health department in the implementation of the package of essential noncommunicable diseases for hypertension, especially in conducting community-based and workplace risk assessment activities.</w:t>
      </w:r>
    </w:p>
    <w:p w14:paraId="2E74AC55" w14:textId="77777777" w:rsidR="007C6854" w:rsidRDefault="00E0219E" w:rsidP="00862045">
      <w:pPr>
        <w:pStyle w:val="Heading3"/>
        <w:spacing w:line="480" w:lineRule="auto"/>
      </w:pPr>
      <w:bookmarkStart w:id="67" w:name="_heading=h.4bvk7pj" w:colFirst="0" w:colLast="0"/>
      <w:bookmarkEnd w:id="67"/>
      <w:r>
        <w:rPr>
          <w:rFonts w:eastAsia="Arial" w:cs="Arial"/>
          <w:sz w:val="24"/>
          <w:szCs w:val="24"/>
        </w:rPr>
        <w:t>Department of Education and Commission on Higher Education</w:t>
      </w:r>
    </w:p>
    <w:p w14:paraId="4D03FD10" w14:textId="005A43F9" w:rsidR="007C6854" w:rsidRDefault="00E0219E" w:rsidP="00862045">
      <w:pPr>
        <w:numPr>
          <w:ilvl w:val="0"/>
          <w:numId w:val="9"/>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To the </w:t>
      </w:r>
      <w:r>
        <w:rPr>
          <w:rFonts w:eastAsia="Arial" w:cs="Arial"/>
          <w:i/>
          <w:szCs w:val="24"/>
        </w:rPr>
        <w:t>Department of Education</w:t>
      </w:r>
      <w:r>
        <w:rPr>
          <w:rFonts w:eastAsia="Arial" w:cs="Arial"/>
          <w:szCs w:val="24"/>
        </w:rPr>
        <w:t xml:space="preserve">, </w:t>
      </w:r>
      <w:r w:rsidR="00BD7563">
        <w:rPr>
          <w:rFonts w:eastAsia="Arial" w:cs="Arial"/>
          <w:szCs w:val="24"/>
        </w:rPr>
        <w:t xml:space="preserve">to </w:t>
      </w:r>
      <w:r>
        <w:rPr>
          <w:rFonts w:eastAsia="Arial" w:cs="Arial"/>
          <w:szCs w:val="24"/>
        </w:rPr>
        <w:t>include in the health education subject the prevention and control of hypertension, including risk factor prevention and modification awareness, for all students starting in Grades 1 to 12.</w:t>
      </w:r>
    </w:p>
    <w:p w14:paraId="2D1033E4" w14:textId="04EC4B94" w:rsidR="007C6854" w:rsidRDefault="00E0219E" w:rsidP="00862045">
      <w:pPr>
        <w:numPr>
          <w:ilvl w:val="0"/>
          <w:numId w:val="9"/>
        </w:numPr>
        <w:pBdr>
          <w:top w:val="nil"/>
          <w:left w:val="nil"/>
          <w:bottom w:val="nil"/>
          <w:right w:val="nil"/>
          <w:between w:val="nil"/>
        </w:pBdr>
        <w:spacing w:after="160" w:line="480" w:lineRule="auto"/>
        <w:jc w:val="both"/>
        <w:rPr>
          <w:rFonts w:eastAsia="Arial" w:cs="Arial"/>
          <w:szCs w:val="24"/>
        </w:rPr>
      </w:pPr>
      <w:r>
        <w:rPr>
          <w:rFonts w:eastAsia="Arial" w:cs="Arial"/>
          <w:szCs w:val="24"/>
        </w:rPr>
        <w:t xml:space="preserve">The </w:t>
      </w:r>
      <w:r>
        <w:rPr>
          <w:rFonts w:eastAsia="Arial" w:cs="Arial"/>
          <w:i/>
          <w:szCs w:val="24"/>
        </w:rPr>
        <w:t>Commission on Higher Education</w:t>
      </w:r>
      <w:r w:rsidR="00BD7563" w:rsidRPr="00BD7563">
        <w:rPr>
          <w:rFonts w:eastAsia="Arial" w:cs="Arial"/>
          <w:i/>
          <w:szCs w:val="24"/>
        </w:rPr>
        <w:t>,</w:t>
      </w:r>
      <w:r w:rsidR="00BD7563" w:rsidRPr="00BD7563">
        <w:rPr>
          <w:rFonts w:eastAsia="Arial" w:cs="Arial"/>
          <w:iCs/>
          <w:szCs w:val="24"/>
        </w:rPr>
        <w:t xml:space="preserve"> to</w:t>
      </w:r>
      <w:r>
        <w:rPr>
          <w:rFonts w:eastAsia="Arial" w:cs="Arial"/>
          <w:szCs w:val="24"/>
        </w:rPr>
        <w:t xml:space="preserve"> encourages academic institutions to review and strengthen their Health Professional Education or Inter-professional Education module, focusing on improving community-based health care networks that will improve the health literacy of the community and empower our community health workforce.</w:t>
      </w:r>
    </w:p>
    <w:p w14:paraId="61A38CF0" w14:textId="77777777" w:rsidR="007C6854" w:rsidRDefault="00E0219E" w:rsidP="00862045">
      <w:pPr>
        <w:pStyle w:val="Heading3"/>
        <w:spacing w:line="480" w:lineRule="auto"/>
      </w:pPr>
      <w:bookmarkStart w:id="68" w:name="_heading=h.2r0uhxc" w:colFirst="0" w:colLast="0"/>
      <w:bookmarkEnd w:id="68"/>
      <w:r>
        <w:rPr>
          <w:rFonts w:eastAsia="Arial" w:cs="Arial"/>
          <w:sz w:val="24"/>
          <w:szCs w:val="24"/>
        </w:rPr>
        <w:t>Municipality of Pateros, Health Department</w:t>
      </w:r>
    </w:p>
    <w:p w14:paraId="5A62CE98" w14:textId="77777777" w:rsidR="007C6854" w:rsidRDefault="00E0219E" w:rsidP="00862045">
      <w:pPr>
        <w:numPr>
          <w:ilvl w:val="0"/>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Since the health emergency caused by the COVID-19 pandemic had been lifted, engage the community in healthy lifestyle awareness, focusing on prevention and control of hypertension in the community of </w:t>
      </w:r>
      <w:proofErr w:type="spellStart"/>
      <w:r>
        <w:rPr>
          <w:rFonts w:eastAsia="Arial" w:cs="Arial"/>
          <w:szCs w:val="24"/>
        </w:rPr>
        <w:t>Bukuhan</w:t>
      </w:r>
      <w:proofErr w:type="spellEnd"/>
      <w:r>
        <w:rPr>
          <w:rFonts w:eastAsia="Arial" w:cs="Arial"/>
          <w:szCs w:val="24"/>
        </w:rPr>
        <w:t>, e.g.</w:t>
      </w:r>
    </w:p>
    <w:p w14:paraId="1B9C7D48" w14:textId="77777777" w:rsidR="007C6854" w:rsidRDefault="00E0219E" w:rsidP="00862045">
      <w:pPr>
        <w:numPr>
          <w:ilvl w:val="1"/>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Developing targeted health promotion strategies on the following</w:t>
      </w:r>
    </w:p>
    <w:p w14:paraId="5D7EE163" w14:textId="77777777" w:rsidR="007C6854" w:rsidRDefault="00E0219E" w:rsidP="00862045">
      <w:pPr>
        <w:numPr>
          <w:ilvl w:val="2"/>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Women and the Elderly: Promotion of individual lifestyle modification activities that will reduce the risk or acceleration of hypertension among individuals, that </w:t>
      </w:r>
      <w:proofErr w:type="gramStart"/>
      <w:r>
        <w:rPr>
          <w:rFonts w:eastAsia="Arial" w:cs="Arial"/>
          <w:szCs w:val="24"/>
        </w:rPr>
        <w:t>includes:</w:t>
      </w:r>
      <w:proofErr w:type="gramEnd"/>
      <w:r>
        <w:rPr>
          <w:rFonts w:eastAsia="Arial" w:cs="Arial"/>
          <w:szCs w:val="24"/>
        </w:rPr>
        <w:t xml:space="preserve"> promotion of healthy diet (low sodium intake and low fat diet); increasing physical activity; and body weight watch or monitoring.</w:t>
      </w:r>
    </w:p>
    <w:p w14:paraId="67996F93" w14:textId="77777777" w:rsidR="007C6854" w:rsidRDefault="00E0219E" w:rsidP="00862045">
      <w:pPr>
        <w:numPr>
          <w:ilvl w:val="2"/>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Workplace healthy lifestyle campaign involving</w:t>
      </w:r>
    </w:p>
    <w:p w14:paraId="045A47BA" w14:textId="77777777" w:rsidR="007C6854" w:rsidRDefault="00E0219E" w:rsidP="00862045">
      <w:pPr>
        <w:numPr>
          <w:ilvl w:val="3"/>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lastRenderedPageBreak/>
        <w:t>Serving vegetables and fruits in the canteen or encouraging food chains to serve healthy foods</w:t>
      </w:r>
    </w:p>
    <w:p w14:paraId="167E5E93" w14:textId="77777777" w:rsidR="007C6854" w:rsidRDefault="00E0219E" w:rsidP="00862045">
      <w:pPr>
        <w:numPr>
          <w:ilvl w:val="3"/>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Promoting physical activities or encouraging employees to organize sportsfest activity</w:t>
      </w:r>
    </w:p>
    <w:p w14:paraId="08FEE321" w14:textId="77777777" w:rsidR="007C6854" w:rsidRDefault="00E0219E" w:rsidP="00862045">
      <w:pPr>
        <w:numPr>
          <w:ilvl w:val="3"/>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Conduct risk assessment activities in the workplace to detect and monitor early onset of hypertension among employed individuals.</w:t>
      </w:r>
    </w:p>
    <w:p w14:paraId="355C2588" w14:textId="77777777" w:rsidR="007C6854" w:rsidRDefault="00E0219E" w:rsidP="00862045">
      <w:pPr>
        <w:numPr>
          <w:ilvl w:val="1"/>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Investing in health education strategies that will increase basic, functional, and communicative or interactive health literacy, for example:</w:t>
      </w:r>
    </w:p>
    <w:p w14:paraId="2B18A341" w14:textId="065F0639" w:rsidR="007C6854" w:rsidRDefault="00E0219E" w:rsidP="00862045">
      <w:pPr>
        <w:numPr>
          <w:ilvl w:val="2"/>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In developing life skills that are conducive to individual and community health in the context of hypertension, </w:t>
      </w:r>
      <w:r w:rsidR="006D1740">
        <w:rPr>
          <w:rFonts w:eastAsia="Arial" w:cs="Arial"/>
          <w:szCs w:val="24"/>
        </w:rPr>
        <w:t>i</w:t>
      </w:r>
      <w:r w:rsidR="006D1740" w:rsidRPr="006D1740">
        <w:rPr>
          <w:rFonts w:eastAsia="Arial" w:cs="Arial"/>
          <w:szCs w:val="24"/>
        </w:rPr>
        <w:t xml:space="preserve">t is crucial to instill the significance of participating in physical activity, maintaining a healthy body weight, effectively managing stress, and faithfully adhering to anti-hypertensive </w:t>
      </w:r>
      <w:proofErr w:type="gramStart"/>
      <w:r w:rsidR="006D1740" w:rsidRPr="006D1740">
        <w:rPr>
          <w:rFonts w:eastAsia="Arial" w:cs="Arial"/>
          <w:szCs w:val="24"/>
        </w:rPr>
        <w:t>medications.</w:t>
      </w:r>
      <w:r>
        <w:rPr>
          <w:rFonts w:eastAsia="Arial" w:cs="Arial"/>
          <w:szCs w:val="24"/>
        </w:rPr>
        <w:t>.</w:t>
      </w:r>
      <w:proofErr w:type="gramEnd"/>
    </w:p>
    <w:p w14:paraId="6B3BCE13" w14:textId="77777777" w:rsidR="007C6854" w:rsidRDefault="00E0219E" w:rsidP="00862045">
      <w:pPr>
        <w:numPr>
          <w:ilvl w:val="2"/>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Investing in the health provider-patient relationship orientation as part of the workforce's continuous professional education </w:t>
      </w:r>
    </w:p>
    <w:p w14:paraId="705DAA75" w14:textId="77777777" w:rsidR="007C6854" w:rsidRDefault="00E0219E" w:rsidP="00862045">
      <w:pPr>
        <w:numPr>
          <w:ilvl w:val="2"/>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Orient the health workforce, including barangay health workers, on the package of essential noncommunicable diseases for hypertension, particularly on the use of the risk assessment form.</w:t>
      </w:r>
    </w:p>
    <w:p w14:paraId="54613893" w14:textId="77777777" w:rsidR="007C6854" w:rsidRDefault="00E0219E" w:rsidP="00862045">
      <w:pPr>
        <w:numPr>
          <w:ilvl w:val="0"/>
          <w:numId w:val="31"/>
        </w:numPr>
        <w:pBdr>
          <w:top w:val="nil"/>
          <w:left w:val="nil"/>
          <w:bottom w:val="nil"/>
          <w:right w:val="nil"/>
          <w:between w:val="nil"/>
        </w:pBdr>
        <w:spacing w:after="0" w:line="480" w:lineRule="auto"/>
        <w:jc w:val="both"/>
        <w:rPr>
          <w:rFonts w:eastAsia="Arial" w:cs="Arial"/>
          <w:szCs w:val="24"/>
        </w:rPr>
      </w:pPr>
      <w:r>
        <w:rPr>
          <w:rFonts w:eastAsia="Arial" w:cs="Arial"/>
          <w:szCs w:val="24"/>
        </w:rPr>
        <w:t xml:space="preserve">To update the hypertension registry of the municipality to be able to list all hypertensive individuals, particularly in the community of </w:t>
      </w:r>
      <w:proofErr w:type="spellStart"/>
      <w:r>
        <w:rPr>
          <w:rFonts w:eastAsia="Arial" w:cs="Arial"/>
          <w:szCs w:val="24"/>
        </w:rPr>
        <w:t>Bukuhan</w:t>
      </w:r>
      <w:proofErr w:type="spellEnd"/>
      <w:r>
        <w:rPr>
          <w:rFonts w:eastAsia="Arial" w:cs="Arial"/>
          <w:szCs w:val="24"/>
        </w:rPr>
        <w:t>.</w:t>
      </w:r>
    </w:p>
    <w:p w14:paraId="30C432CC" w14:textId="77777777" w:rsidR="007C6854" w:rsidRDefault="00E0219E" w:rsidP="00F362B2">
      <w:pPr>
        <w:numPr>
          <w:ilvl w:val="0"/>
          <w:numId w:val="31"/>
        </w:numPr>
        <w:pBdr>
          <w:top w:val="nil"/>
          <w:left w:val="nil"/>
          <w:bottom w:val="nil"/>
          <w:right w:val="nil"/>
          <w:between w:val="nil"/>
        </w:pBdr>
        <w:spacing w:after="160" w:line="480" w:lineRule="auto"/>
        <w:jc w:val="both"/>
        <w:rPr>
          <w:rFonts w:eastAsia="Arial" w:cs="Arial"/>
          <w:szCs w:val="24"/>
        </w:rPr>
      </w:pPr>
      <w:r>
        <w:rPr>
          <w:rFonts w:eastAsia="Arial" w:cs="Arial"/>
          <w:szCs w:val="24"/>
        </w:rPr>
        <w:t>To continue maintaining high health insurance coverage, especially among urban poor communities.</w:t>
      </w:r>
    </w:p>
    <w:p w14:paraId="5DC2B1F4" w14:textId="244DF9C1" w:rsidR="007C6854" w:rsidRPr="00F362B2" w:rsidRDefault="00E0219E" w:rsidP="00F362B2">
      <w:pPr>
        <w:pStyle w:val="Heading3"/>
        <w:spacing w:line="480" w:lineRule="auto"/>
        <w:rPr>
          <w:rFonts w:eastAsia="Arial" w:cs="Arial"/>
          <w:sz w:val="24"/>
          <w:szCs w:val="24"/>
        </w:rPr>
      </w:pPr>
      <w:bookmarkStart w:id="69" w:name="_heading=h.1664s55" w:colFirst="0" w:colLast="0"/>
      <w:bookmarkEnd w:id="69"/>
      <w:r>
        <w:rPr>
          <w:rFonts w:eastAsia="Arial" w:cs="Arial"/>
          <w:sz w:val="24"/>
          <w:szCs w:val="24"/>
        </w:rPr>
        <w:lastRenderedPageBreak/>
        <w:t>Future Researchers</w:t>
      </w:r>
    </w:p>
    <w:p w14:paraId="1131D874" w14:textId="77777777" w:rsidR="007C6854" w:rsidRDefault="00E0219E" w:rsidP="00F362B2">
      <w:pPr>
        <w:numPr>
          <w:ilvl w:val="0"/>
          <w:numId w:val="5"/>
        </w:numPr>
        <w:spacing w:after="160" w:line="480" w:lineRule="auto"/>
        <w:jc w:val="both"/>
        <w:rPr>
          <w:rFonts w:eastAsia="Arial" w:cs="Arial"/>
          <w:szCs w:val="24"/>
        </w:rPr>
      </w:pPr>
      <w:r>
        <w:rPr>
          <w:rFonts w:eastAsia="Arial" w:cs="Arial"/>
          <w:szCs w:val="24"/>
        </w:rPr>
        <w:t>To improve research questionnaire design, particularly in exploring critical health literacy questions, as this research finds weaknesses and needs more information.</w:t>
      </w:r>
    </w:p>
    <w:p w14:paraId="40498274" w14:textId="77777777" w:rsidR="007C6854" w:rsidRDefault="00E0219E" w:rsidP="00862045">
      <w:pPr>
        <w:numPr>
          <w:ilvl w:val="0"/>
          <w:numId w:val="5"/>
        </w:numPr>
        <w:spacing w:after="160" w:line="480" w:lineRule="auto"/>
        <w:jc w:val="both"/>
        <w:rPr>
          <w:rFonts w:eastAsia="Arial" w:cs="Arial"/>
          <w:szCs w:val="24"/>
        </w:rPr>
      </w:pPr>
      <w:r>
        <w:rPr>
          <w:rFonts w:eastAsia="Arial" w:cs="Arial"/>
          <w:szCs w:val="24"/>
        </w:rPr>
        <w:t>To take into consideration in the study design method both quantitative and qualitative approaches to evaluate health literacy skills and to offer convincing evidence for investing in health programs designed to improve health literacy (Deborah Chin, 2011).</w:t>
      </w:r>
    </w:p>
    <w:p w14:paraId="5F1E6B57" w14:textId="77777777" w:rsidR="007C6854" w:rsidRDefault="007C6854">
      <w:pPr>
        <w:rPr>
          <w:rFonts w:eastAsia="Arial" w:cs="Arial"/>
        </w:rPr>
      </w:pPr>
    </w:p>
    <w:p w14:paraId="2D08C239" w14:textId="77777777" w:rsidR="007C6854" w:rsidRDefault="00E0219E">
      <w:pPr>
        <w:spacing w:after="160" w:line="259" w:lineRule="auto"/>
        <w:rPr>
          <w:rFonts w:eastAsia="Arial" w:cs="Arial"/>
          <w:b/>
          <w:szCs w:val="24"/>
        </w:rPr>
      </w:pPr>
      <w:r>
        <w:br w:type="page"/>
      </w:r>
    </w:p>
    <w:p w14:paraId="440FC179" w14:textId="77777777" w:rsidR="007C6854" w:rsidRDefault="00E0219E" w:rsidP="001F291B">
      <w:pPr>
        <w:pStyle w:val="Heading1"/>
        <w:spacing w:line="480" w:lineRule="auto"/>
        <w:jc w:val="center"/>
        <w:rPr>
          <w:rFonts w:eastAsia="Arial" w:cs="Arial"/>
          <w:sz w:val="24"/>
          <w:szCs w:val="24"/>
        </w:rPr>
      </w:pPr>
      <w:bookmarkStart w:id="70" w:name="_heading=h.3q5sasy" w:colFirst="0" w:colLast="0"/>
      <w:bookmarkEnd w:id="70"/>
      <w:r>
        <w:rPr>
          <w:rFonts w:eastAsia="Arial" w:cs="Arial"/>
          <w:sz w:val="24"/>
          <w:szCs w:val="24"/>
        </w:rPr>
        <w:lastRenderedPageBreak/>
        <w:t>REFERENCES</w:t>
      </w:r>
    </w:p>
    <w:p w14:paraId="6AEAECC8" w14:textId="5F666E26" w:rsidR="001F0252" w:rsidRDefault="001F0252" w:rsidP="00FD5DC4">
      <w:pPr>
        <w:spacing w:after="240" w:line="240" w:lineRule="auto"/>
        <w:ind w:left="480" w:hanging="720"/>
        <w:jc w:val="both"/>
        <w:rPr>
          <w:rFonts w:eastAsia="Arial"/>
          <w:szCs w:val="24"/>
        </w:rPr>
      </w:pPr>
      <w:r w:rsidRPr="001F0252">
        <w:rPr>
          <w:rFonts w:eastAsia="Arial"/>
          <w:szCs w:val="24"/>
        </w:rPr>
        <w:t xml:space="preserve">Aaby, A. et. al. (2017). Health Literacy is associated with health behavior and self-reported health: A large population-based study in individuals with cardiovascular disease. </w:t>
      </w:r>
      <w:proofErr w:type="spellStart"/>
      <w:r w:rsidRPr="001F0252">
        <w:rPr>
          <w:rFonts w:eastAsia="Arial"/>
          <w:szCs w:val="24"/>
        </w:rPr>
        <w:t>Eur</w:t>
      </w:r>
      <w:proofErr w:type="spellEnd"/>
      <w:r w:rsidRPr="001F0252">
        <w:rPr>
          <w:rFonts w:eastAsia="Arial"/>
          <w:szCs w:val="24"/>
        </w:rPr>
        <w:t xml:space="preserve"> J Prev </w:t>
      </w:r>
      <w:proofErr w:type="spellStart"/>
      <w:r w:rsidRPr="001F0252">
        <w:rPr>
          <w:rFonts w:eastAsia="Arial"/>
          <w:szCs w:val="24"/>
        </w:rPr>
        <w:t>Cardiol</w:t>
      </w:r>
      <w:proofErr w:type="spellEnd"/>
      <w:r w:rsidRPr="001F0252">
        <w:rPr>
          <w:rFonts w:eastAsia="Arial"/>
          <w:szCs w:val="24"/>
        </w:rPr>
        <w:t xml:space="preserve">. 2017 Nov; 24(17): 1880-1888. Accessed from: </w:t>
      </w:r>
      <w:proofErr w:type="gramStart"/>
      <w:r w:rsidRPr="001F0252">
        <w:rPr>
          <w:rFonts w:eastAsia="Arial"/>
          <w:szCs w:val="24"/>
        </w:rPr>
        <w:t>https://www.ncbi.nlm.nih.gov/pmc/articles/PMC5680908/</w:t>
      </w:r>
      <w:proofErr w:type="gramEnd"/>
    </w:p>
    <w:p w14:paraId="21532738" w14:textId="13096817" w:rsidR="007C6854" w:rsidRPr="001F291B" w:rsidRDefault="00E0219E" w:rsidP="00FD5DC4">
      <w:pPr>
        <w:spacing w:after="240" w:line="240" w:lineRule="auto"/>
        <w:ind w:left="480" w:hanging="720"/>
        <w:jc w:val="both"/>
        <w:rPr>
          <w:rFonts w:eastAsia="Arial"/>
          <w:szCs w:val="24"/>
        </w:rPr>
      </w:pPr>
      <w:r w:rsidRPr="001F291B">
        <w:rPr>
          <w:rFonts w:eastAsia="Arial"/>
          <w:szCs w:val="24"/>
        </w:rPr>
        <w:t xml:space="preserve">Aaron O’Neil (2023). Urbanization in the Philippines 2021. Accessed from: </w:t>
      </w:r>
      <w:hyperlink r:id="rId43">
        <w:r w:rsidRPr="001F291B">
          <w:rPr>
            <w:rFonts w:eastAsia="Arial"/>
            <w:szCs w:val="24"/>
          </w:rPr>
          <w:t>https://www.statista.com/statistics/455910/urbanization-in-philippines/</w:t>
        </w:r>
      </w:hyperlink>
      <w:r w:rsidRPr="001F291B">
        <w:rPr>
          <w:rFonts w:eastAsia="Arial"/>
          <w:szCs w:val="24"/>
        </w:rPr>
        <w:t xml:space="preserve"> </w:t>
      </w:r>
    </w:p>
    <w:p w14:paraId="0E1465AA" w14:textId="77777777" w:rsidR="007C6854" w:rsidRPr="001F291B" w:rsidRDefault="00E0219E" w:rsidP="00FD5DC4">
      <w:pPr>
        <w:spacing w:after="240" w:line="240" w:lineRule="auto"/>
        <w:ind w:left="480" w:hanging="720"/>
        <w:jc w:val="both"/>
        <w:rPr>
          <w:rFonts w:eastAsia="Arial"/>
          <w:szCs w:val="24"/>
        </w:rPr>
      </w:pPr>
      <w:r w:rsidRPr="001F291B">
        <w:rPr>
          <w:rFonts w:eastAsia="Arial"/>
          <w:szCs w:val="24"/>
          <w:highlight w:val="white"/>
        </w:rPr>
        <w:t xml:space="preserve">Abdel-Latif MMM. The enigma of health literacy and COVID-19 pandemic. Public Health. 2020 Aug; 185:95-96. </w:t>
      </w:r>
      <w:proofErr w:type="spellStart"/>
      <w:r w:rsidRPr="001F291B">
        <w:rPr>
          <w:rFonts w:eastAsia="Arial"/>
          <w:szCs w:val="24"/>
          <w:highlight w:val="white"/>
        </w:rPr>
        <w:t>doi</w:t>
      </w:r>
      <w:proofErr w:type="spellEnd"/>
      <w:r w:rsidRPr="001F291B">
        <w:rPr>
          <w:rFonts w:eastAsia="Arial"/>
          <w:szCs w:val="24"/>
          <w:highlight w:val="white"/>
        </w:rPr>
        <w:t xml:space="preserve">: 10.1016/j.puhe.2020.06.030. </w:t>
      </w:r>
      <w:proofErr w:type="spellStart"/>
      <w:r w:rsidRPr="001F291B">
        <w:rPr>
          <w:rFonts w:eastAsia="Arial"/>
          <w:szCs w:val="24"/>
          <w:highlight w:val="white"/>
        </w:rPr>
        <w:t>Epub</w:t>
      </w:r>
      <w:proofErr w:type="spellEnd"/>
      <w:r w:rsidRPr="001F291B">
        <w:rPr>
          <w:rFonts w:eastAsia="Arial"/>
          <w:szCs w:val="24"/>
          <w:highlight w:val="white"/>
        </w:rPr>
        <w:t xml:space="preserve"> 2020 Jun 19. PMID: 32593054; PMCID: PMC7303647. Accessed from: </w:t>
      </w:r>
      <w:hyperlink r:id="rId44">
        <w:r w:rsidRPr="001F291B">
          <w:rPr>
            <w:rFonts w:eastAsia="Arial"/>
            <w:szCs w:val="24"/>
            <w:highlight w:val="white"/>
          </w:rPr>
          <w:t>https://www.ncbi.nlm.nih.gov/pmc/articles/PMC7303647/</w:t>
        </w:r>
      </w:hyperlink>
      <w:r w:rsidRPr="001F291B">
        <w:rPr>
          <w:rFonts w:eastAsia="Arial"/>
          <w:szCs w:val="24"/>
          <w:highlight w:val="white"/>
        </w:rPr>
        <w:t xml:space="preserve"> </w:t>
      </w:r>
    </w:p>
    <w:p w14:paraId="3F8CE7D3" w14:textId="77777777" w:rsidR="007C6854" w:rsidRPr="001F291B" w:rsidRDefault="00E0219E" w:rsidP="00FD5DC4">
      <w:pPr>
        <w:spacing w:after="240" w:line="240" w:lineRule="auto"/>
        <w:ind w:left="480" w:hanging="720"/>
        <w:jc w:val="both"/>
        <w:rPr>
          <w:rFonts w:eastAsia="Arial"/>
          <w:szCs w:val="24"/>
          <w:highlight w:val="white"/>
        </w:rPr>
      </w:pPr>
      <w:r w:rsidRPr="001F291B">
        <w:rPr>
          <w:rFonts w:eastAsia="Arial"/>
          <w:szCs w:val="24"/>
        </w:rPr>
        <w:t>Altin, S.V., Finke, I., Kautz-Freimuth, S. et al. (2014). The evolution of health literacy assessment tools: a systematic review. BMC Public Health 14, 1207 (2014). https://doi.org/10.1186/1471-2458-14-1207</w:t>
      </w:r>
    </w:p>
    <w:p w14:paraId="1BA664EB" w14:textId="77777777" w:rsidR="007C6854" w:rsidRPr="001F291B" w:rsidRDefault="00E0219E" w:rsidP="00FD5DC4">
      <w:pPr>
        <w:spacing w:after="240" w:line="240" w:lineRule="auto"/>
        <w:ind w:left="480" w:hanging="720"/>
        <w:jc w:val="both"/>
        <w:rPr>
          <w:rFonts w:eastAsia="Arial"/>
          <w:szCs w:val="24"/>
          <w:highlight w:val="white"/>
        </w:rPr>
      </w:pPr>
      <w:proofErr w:type="spellStart"/>
      <w:r w:rsidRPr="001F291B">
        <w:rPr>
          <w:rFonts w:eastAsia="Arial"/>
          <w:szCs w:val="24"/>
          <w:highlight w:val="white"/>
        </w:rPr>
        <w:t>Andiwijaya</w:t>
      </w:r>
      <w:proofErr w:type="spellEnd"/>
      <w:r w:rsidRPr="001F291B">
        <w:rPr>
          <w:rFonts w:eastAsia="Arial"/>
          <w:szCs w:val="24"/>
          <w:highlight w:val="white"/>
        </w:rPr>
        <w:t xml:space="preserve">, F. R., </w:t>
      </w:r>
      <w:proofErr w:type="spellStart"/>
      <w:r w:rsidRPr="001F291B">
        <w:rPr>
          <w:rFonts w:eastAsia="Arial"/>
          <w:szCs w:val="24"/>
          <w:highlight w:val="white"/>
        </w:rPr>
        <w:t>Kadriyan</w:t>
      </w:r>
      <w:proofErr w:type="spellEnd"/>
      <w:r w:rsidRPr="001F291B">
        <w:rPr>
          <w:rFonts w:eastAsia="Arial"/>
          <w:szCs w:val="24"/>
          <w:highlight w:val="white"/>
        </w:rPr>
        <w:t xml:space="preserve">, H., &amp; </w:t>
      </w:r>
      <w:proofErr w:type="spellStart"/>
      <w:r w:rsidRPr="001F291B">
        <w:rPr>
          <w:rFonts w:eastAsia="Arial"/>
          <w:szCs w:val="24"/>
          <w:highlight w:val="white"/>
        </w:rPr>
        <w:t>Syamsun</w:t>
      </w:r>
      <w:proofErr w:type="spellEnd"/>
      <w:r w:rsidRPr="001F291B">
        <w:rPr>
          <w:rFonts w:eastAsia="Arial"/>
          <w:szCs w:val="24"/>
          <w:highlight w:val="white"/>
        </w:rPr>
        <w:t xml:space="preserve">, A. (2021). Education Level as predictor for health literacy levels in a rural community health </w:t>
      </w:r>
      <w:proofErr w:type="spellStart"/>
      <w:r w:rsidRPr="001F291B">
        <w:rPr>
          <w:rFonts w:eastAsia="Arial"/>
          <w:szCs w:val="24"/>
          <w:highlight w:val="white"/>
        </w:rPr>
        <w:t>centre</w:t>
      </w:r>
      <w:proofErr w:type="spellEnd"/>
      <w:r w:rsidRPr="001F291B">
        <w:rPr>
          <w:rFonts w:eastAsia="Arial"/>
          <w:szCs w:val="24"/>
          <w:highlight w:val="white"/>
        </w:rPr>
        <w:t>, A cross-sectional study. Advances in Health Sciences Research, volume 46. Accessed from:</w:t>
      </w:r>
      <w:hyperlink r:id="rId45">
        <w:r w:rsidRPr="001F291B">
          <w:rPr>
            <w:rFonts w:eastAsia="Arial"/>
            <w:szCs w:val="24"/>
            <w:highlight w:val="white"/>
          </w:rPr>
          <w:t xml:space="preserve"> https://www.atlantis-press.com/article/125970594.pdf</w:t>
        </w:r>
      </w:hyperlink>
    </w:p>
    <w:p w14:paraId="597A47FD" w14:textId="77777777" w:rsidR="007C6854" w:rsidRPr="001F291B" w:rsidRDefault="00E0219E" w:rsidP="00FD5DC4">
      <w:pPr>
        <w:spacing w:after="240" w:line="240" w:lineRule="auto"/>
        <w:ind w:left="480" w:hanging="720"/>
        <w:jc w:val="both"/>
        <w:rPr>
          <w:rFonts w:eastAsia="Arial"/>
          <w:szCs w:val="24"/>
        </w:rPr>
      </w:pPr>
      <w:r w:rsidRPr="001F291B">
        <w:rPr>
          <w:rFonts w:eastAsia="Arial"/>
          <w:szCs w:val="24"/>
          <w:highlight w:val="white"/>
        </w:rPr>
        <w:t>Agosto, H.G., Briones, M.V.A., &amp; Palatino, M.C. (2018). Correlates of Health Literacy among Filipinos aged 50-70 years old belonging to low-income families in selected community. Accessed from:</w:t>
      </w:r>
      <w:hyperlink r:id="rId46">
        <w:r w:rsidRPr="001F291B">
          <w:rPr>
            <w:rFonts w:eastAsia="Arial"/>
            <w:szCs w:val="24"/>
            <w:highlight w:val="white"/>
          </w:rPr>
          <w:t xml:space="preserve"> https://actamedicaphilippina.upm.edu.ph/index.php/acta/article/download/397/358/</w:t>
        </w:r>
      </w:hyperlink>
    </w:p>
    <w:p w14:paraId="43288CB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Aizawa, T. &amp; Helble, M., 2016. Asian Development Bank Institute. January 2016. Accessed from: </w:t>
      </w:r>
      <w:hyperlink r:id="rId47">
        <w:r w:rsidRPr="001F291B">
          <w:rPr>
            <w:rFonts w:eastAsia="Arial"/>
            <w:szCs w:val="24"/>
          </w:rPr>
          <w:t>www.adb.org/sites/default/files/publication/179758/adbi-wp556.pdf</w:t>
        </w:r>
      </w:hyperlink>
      <w:r w:rsidRPr="001F291B">
        <w:rPr>
          <w:rFonts w:eastAsia="Arial"/>
          <w:szCs w:val="24"/>
        </w:rPr>
        <w:t xml:space="preserve"> </w:t>
      </w:r>
    </w:p>
    <w:p w14:paraId="05AB90E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proofErr w:type="spellStart"/>
      <w:r w:rsidRPr="001F291B">
        <w:rPr>
          <w:rFonts w:eastAsia="Arial"/>
          <w:szCs w:val="24"/>
        </w:rPr>
        <w:t>Angkurawaranon</w:t>
      </w:r>
      <w:proofErr w:type="spellEnd"/>
      <w:r w:rsidRPr="001F291B">
        <w:rPr>
          <w:rFonts w:eastAsia="Arial"/>
          <w:szCs w:val="24"/>
        </w:rPr>
        <w:t xml:space="preserve">, C, </w:t>
      </w:r>
      <w:r w:rsidRPr="001F291B">
        <w:rPr>
          <w:rFonts w:eastAsia="Arial"/>
          <w:i/>
          <w:szCs w:val="24"/>
        </w:rPr>
        <w:t>et al</w:t>
      </w:r>
      <w:r w:rsidRPr="001F291B">
        <w:rPr>
          <w:rFonts w:eastAsia="Arial"/>
          <w:szCs w:val="24"/>
        </w:rPr>
        <w:t xml:space="preserve"> (2014). Urbanization and Non-communicable Disease in Southeast Asia: a review of current evidence. </w:t>
      </w:r>
      <w:hyperlink r:id="rId48">
        <w:r w:rsidRPr="001F291B">
          <w:rPr>
            <w:rFonts w:eastAsia="Arial"/>
            <w:szCs w:val="24"/>
            <w:highlight w:val="white"/>
          </w:rPr>
          <w:t>Public Health.</w:t>
        </w:r>
      </w:hyperlink>
      <w:r w:rsidRPr="001F291B">
        <w:rPr>
          <w:rFonts w:eastAsia="Arial"/>
          <w:szCs w:val="24"/>
          <w:highlight w:val="white"/>
        </w:rPr>
        <w:t xml:space="preserve"> 2014 Oct;128(10):886-95. DOI: 10.1016/j.puhe.2014.08.003. </w:t>
      </w:r>
      <w:proofErr w:type="spellStart"/>
      <w:r w:rsidRPr="001F291B">
        <w:rPr>
          <w:rFonts w:eastAsia="Arial"/>
          <w:szCs w:val="24"/>
          <w:highlight w:val="white"/>
        </w:rPr>
        <w:t>Epub</w:t>
      </w:r>
      <w:proofErr w:type="spellEnd"/>
      <w:r w:rsidRPr="001F291B">
        <w:rPr>
          <w:rFonts w:eastAsia="Arial"/>
          <w:szCs w:val="24"/>
          <w:highlight w:val="white"/>
        </w:rPr>
        <w:t xml:space="preserve"> 2014 Oct 13. Retrieved from: </w:t>
      </w:r>
      <w:hyperlink r:id="rId49">
        <w:r w:rsidRPr="001F291B">
          <w:rPr>
            <w:rFonts w:eastAsia="Arial"/>
            <w:szCs w:val="24"/>
            <w:highlight w:val="white"/>
          </w:rPr>
          <w:t>https://www.sciencedirect.com/science/article/pii/S0033350614001954?via%3Dihub</w:t>
        </w:r>
      </w:hyperlink>
    </w:p>
    <w:p w14:paraId="21E33694" w14:textId="77777777" w:rsidR="007C6854" w:rsidRPr="001F291B" w:rsidRDefault="00E0219E" w:rsidP="00FD5DC4">
      <w:pPr>
        <w:spacing w:after="240" w:line="240" w:lineRule="auto"/>
        <w:ind w:left="480" w:hanging="720"/>
        <w:jc w:val="both"/>
        <w:rPr>
          <w:rFonts w:eastAsia="Arial"/>
          <w:szCs w:val="24"/>
          <w:highlight w:val="white"/>
        </w:rPr>
      </w:pPr>
      <w:r w:rsidRPr="001F291B">
        <w:rPr>
          <w:rFonts w:eastAsia="Arial"/>
          <w:szCs w:val="24"/>
          <w:highlight w:val="white"/>
        </w:rPr>
        <w:t xml:space="preserve">Artemios G Karagiannidis, Marieta P </w:t>
      </w:r>
      <w:proofErr w:type="spellStart"/>
      <w:r w:rsidRPr="001F291B">
        <w:rPr>
          <w:rFonts w:eastAsia="Arial"/>
          <w:szCs w:val="24"/>
          <w:highlight w:val="white"/>
        </w:rPr>
        <w:t>Theodorakopoulou</w:t>
      </w:r>
      <w:proofErr w:type="spellEnd"/>
      <w:r w:rsidRPr="001F291B">
        <w:rPr>
          <w:rFonts w:eastAsia="Arial"/>
          <w:szCs w:val="24"/>
          <w:highlight w:val="white"/>
        </w:rPr>
        <w:t xml:space="preserve">, Charles J Ferro, Alberto Ortiz, Maria Jose Soler, Jean-Michel Halimi, Andrzej </w:t>
      </w:r>
      <w:proofErr w:type="spellStart"/>
      <w:r w:rsidRPr="001F291B">
        <w:rPr>
          <w:rFonts w:eastAsia="Arial"/>
          <w:szCs w:val="24"/>
          <w:highlight w:val="white"/>
        </w:rPr>
        <w:t>Januszewicz</w:t>
      </w:r>
      <w:proofErr w:type="spellEnd"/>
      <w:r w:rsidRPr="001F291B">
        <w:rPr>
          <w:rFonts w:eastAsia="Arial"/>
          <w:szCs w:val="24"/>
          <w:highlight w:val="white"/>
        </w:rPr>
        <w:t xml:space="preserve">, Alexandre </w:t>
      </w:r>
      <w:proofErr w:type="spellStart"/>
      <w:r w:rsidRPr="001F291B">
        <w:rPr>
          <w:rFonts w:eastAsia="Arial"/>
          <w:szCs w:val="24"/>
          <w:highlight w:val="white"/>
        </w:rPr>
        <w:t>Persu</w:t>
      </w:r>
      <w:proofErr w:type="spellEnd"/>
      <w:r w:rsidRPr="001F291B">
        <w:rPr>
          <w:rFonts w:eastAsia="Arial"/>
          <w:szCs w:val="24"/>
          <w:highlight w:val="white"/>
        </w:rPr>
        <w:t xml:space="preserve">, Reinhold Kreutz, Pantelis </w:t>
      </w:r>
      <w:proofErr w:type="spellStart"/>
      <w:r w:rsidRPr="001F291B">
        <w:rPr>
          <w:rFonts w:eastAsia="Arial"/>
          <w:szCs w:val="24"/>
          <w:highlight w:val="white"/>
        </w:rPr>
        <w:t>Sarafidis</w:t>
      </w:r>
      <w:proofErr w:type="spellEnd"/>
      <w:r w:rsidRPr="001F291B">
        <w:rPr>
          <w:rFonts w:eastAsia="Arial"/>
          <w:szCs w:val="24"/>
          <w:highlight w:val="white"/>
        </w:rPr>
        <w:t xml:space="preserve">, Impact of public restrictive measures on hypertension during the COVID-19 pandemic: existing evidence and long-term implications, </w:t>
      </w:r>
      <w:r w:rsidRPr="001F291B">
        <w:rPr>
          <w:rFonts w:eastAsia="Arial"/>
          <w:i/>
          <w:szCs w:val="24"/>
          <w:highlight w:val="white"/>
        </w:rPr>
        <w:t>Clinical Kidney Journal</w:t>
      </w:r>
      <w:r w:rsidRPr="001F291B">
        <w:rPr>
          <w:rFonts w:eastAsia="Arial"/>
          <w:szCs w:val="24"/>
          <w:highlight w:val="white"/>
        </w:rPr>
        <w:t xml:space="preserve">, Volume 16, Issue 4, April 2023, Pages 619–634, </w:t>
      </w:r>
      <w:hyperlink r:id="rId50">
        <w:r w:rsidRPr="001F291B">
          <w:rPr>
            <w:rFonts w:eastAsia="Arial"/>
            <w:szCs w:val="24"/>
            <w:highlight w:val="white"/>
          </w:rPr>
          <w:t>https://doi.org/10.1093/ckj/sfac235</w:t>
        </w:r>
      </w:hyperlink>
      <w:r w:rsidRPr="001F291B">
        <w:rPr>
          <w:rFonts w:eastAsia="Arial"/>
          <w:szCs w:val="24"/>
        </w:rPr>
        <w:t xml:space="preserve"> . Accessed from: </w:t>
      </w:r>
      <w:hyperlink r:id="rId51">
        <w:r w:rsidRPr="001F291B">
          <w:rPr>
            <w:rFonts w:eastAsia="Arial"/>
            <w:szCs w:val="24"/>
          </w:rPr>
          <w:t>https://academic.oup.com/ckj/article/16/4/619/6779690</w:t>
        </w:r>
      </w:hyperlink>
      <w:r w:rsidRPr="001F291B">
        <w:rPr>
          <w:rFonts w:eastAsia="Arial"/>
          <w:szCs w:val="24"/>
        </w:rPr>
        <w:t xml:space="preserve"> </w:t>
      </w:r>
    </w:p>
    <w:p w14:paraId="24B18FE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lastRenderedPageBreak/>
        <w:t xml:space="preserve">Asayama, K., Ohkubo, T. &amp; Imai, Y. In-office and out-of-office blood pressure measurement. </w:t>
      </w:r>
      <w:r w:rsidRPr="001F291B">
        <w:rPr>
          <w:rFonts w:eastAsia="Arial"/>
          <w:i/>
          <w:szCs w:val="24"/>
          <w:highlight w:val="white"/>
        </w:rPr>
        <w:t xml:space="preserve">J Hum </w:t>
      </w:r>
      <w:proofErr w:type="spellStart"/>
      <w:r w:rsidRPr="001F291B">
        <w:rPr>
          <w:rFonts w:eastAsia="Arial"/>
          <w:i/>
          <w:szCs w:val="24"/>
          <w:highlight w:val="white"/>
        </w:rPr>
        <w:t>Hypertens</w:t>
      </w:r>
      <w:proofErr w:type="spellEnd"/>
      <w:r w:rsidRPr="001F291B">
        <w:rPr>
          <w:rFonts w:eastAsia="Arial"/>
          <w:szCs w:val="24"/>
          <w:highlight w:val="white"/>
        </w:rPr>
        <w:t xml:space="preserve"> (2021). </w:t>
      </w:r>
      <w:hyperlink r:id="rId52">
        <w:r w:rsidRPr="001F291B">
          <w:rPr>
            <w:rFonts w:eastAsia="Arial"/>
            <w:szCs w:val="24"/>
            <w:highlight w:val="white"/>
          </w:rPr>
          <w:t>https://doi.org/10.1038/s41371-021-00486-8</w:t>
        </w:r>
      </w:hyperlink>
      <w:r w:rsidRPr="001F291B">
        <w:rPr>
          <w:rFonts w:eastAsia="Arial"/>
          <w:szCs w:val="24"/>
          <w:highlight w:val="white"/>
        </w:rPr>
        <w:t xml:space="preserve"> </w:t>
      </w:r>
    </w:p>
    <w:p w14:paraId="4AE9627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Asian Development Bank (ADB). 2014. </w:t>
      </w:r>
      <w:r w:rsidRPr="001F291B">
        <w:rPr>
          <w:rFonts w:eastAsia="Arial"/>
          <w:i/>
          <w:szCs w:val="24"/>
          <w:highlight w:val="white"/>
        </w:rPr>
        <w:t>Urban Poverty in Asia</w:t>
      </w:r>
      <w:r w:rsidRPr="001F291B">
        <w:rPr>
          <w:rFonts w:eastAsia="Arial"/>
          <w:szCs w:val="24"/>
          <w:highlight w:val="white"/>
        </w:rPr>
        <w:t>. © Asian Development Bank. http://hdl.handle.net/11540/3310. License: CC BY 3.0 IGO.</w:t>
      </w:r>
      <w:r w:rsidRPr="001F291B">
        <w:rPr>
          <w:rFonts w:eastAsia="Arial"/>
          <w:szCs w:val="24"/>
        </w:rPr>
        <w:t xml:space="preserve"> </w:t>
      </w:r>
    </w:p>
    <w:p w14:paraId="76740E47"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Batra, Neale, et al. (2021) The Epidemiologist R Handbook. Accessed from: </w:t>
      </w:r>
      <w:hyperlink r:id="rId53">
        <w:r w:rsidRPr="001F291B">
          <w:rPr>
            <w:rFonts w:eastAsia="Arial"/>
            <w:szCs w:val="24"/>
          </w:rPr>
          <w:t>https://epirhandbook.com/en/index.html</w:t>
        </w:r>
      </w:hyperlink>
      <w:r w:rsidRPr="001F291B">
        <w:rPr>
          <w:rFonts w:eastAsia="Arial"/>
          <w:szCs w:val="24"/>
        </w:rPr>
        <w:t xml:space="preserve"> </w:t>
      </w:r>
      <w:r w:rsidRPr="001F291B">
        <w:rPr>
          <w:rFonts w:eastAsia="Arial"/>
          <w:szCs w:val="24"/>
        </w:rPr>
        <w:tab/>
      </w:r>
    </w:p>
    <w:p w14:paraId="5D54B4D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Bâ</w:t>
      </w:r>
      <w:proofErr w:type="spellEnd"/>
      <w:r w:rsidRPr="001F291B">
        <w:rPr>
          <w:rFonts w:eastAsia="Arial"/>
          <w:szCs w:val="24"/>
        </w:rPr>
        <w:t xml:space="preserve">, HO, </w:t>
      </w:r>
      <w:r w:rsidRPr="001F291B">
        <w:rPr>
          <w:rFonts w:eastAsia="Arial"/>
          <w:i/>
          <w:szCs w:val="24"/>
        </w:rPr>
        <w:t>et al</w:t>
      </w:r>
      <w:r w:rsidRPr="001F291B">
        <w:rPr>
          <w:rFonts w:eastAsia="Arial"/>
          <w:szCs w:val="24"/>
        </w:rPr>
        <w:t xml:space="preserve"> (2018). Hypertension and Associated Factors in Rural and Urban Areas Mali: Data from the STEP 2013 Survey. International Journal of Hypertension Volume 2018, Article ID 6959165, 7 pages. </w:t>
      </w:r>
      <w:hyperlink r:id="rId54">
        <w:r w:rsidRPr="001F291B">
          <w:rPr>
            <w:rFonts w:eastAsia="Arial"/>
            <w:szCs w:val="24"/>
          </w:rPr>
          <w:t>https://doi.org/10.1155/2018/6959165</w:t>
        </w:r>
      </w:hyperlink>
      <w:r w:rsidRPr="001F291B">
        <w:rPr>
          <w:rFonts w:eastAsia="Arial"/>
          <w:szCs w:val="24"/>
        </w:rPr>
        <w:t xml:space="preserve">. Retrieved from: </w:t>
      </w:r>
      <w:hyperlink r:id="rId55">
        <w:r w:rsidRPr="001F291B">
          <w:rPr>
            <w:rFonts w:eastAsia="Arial"/>
            <w:szCs w:val="24"/>
          </w:rPr>
          <w:t>https://www.hindawi.com/journals/ijhy/2018/6959165/</w:t>
        </w:r>
      </w:hyperlink>
    </w:p>
    <w:p w14:paraId="15A9E66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David W. Baker, Julie A. </w:t>
      </w:r>
      <w:proofErr w:type="spellStart"/>
      <w:r w:rsidRPr="001F291B">
        <w:rPr>
          <w:rFonts w:eastAsia="Arial"/>
          <w:szCs w:val="24"/>
        </w:rPr>
        <w:t>Gazmararian</w:t>
      </w:r>
      <w:proofErr w:type="spellEnd"/>
      <w:r w:rsidRPr="001F291B">
        <w:rPr>
          <w:rFonts w:eastAsia="Arial"/>
          <w:szCs w:val="24"/>
        </w:rPr>
        <w:t xml:space="preserve">, Mark V. Williams, Tracy Scott, Ruth M. Parker, Diane Green, </w:t>
      </w:r>
      <w:proofErr w:type="spellStart"/>
      <w:r w:rsidRPr="001F291B">
        <w:rPr>
          <w:rFonts w:eastAsia="Arial"/>
          <w:szCs w:val="24"/>
        </w:rPr>
        <w:t>Junling</w:t>
      </w:r>
      <w:proofErr w:type="spellEnd"/>
      <w:r w:rsidRPr="001F291B">
        <w:rPr>
          <w:rFonts w:eastAsia="Arial"/>
          <w:szCs w:val="24"/>
        </w:rPr>
        <w:t xml:space="preserve"> Ren, and Jennifer Peel, 2002: </w:t>
      </w:r>
      <w:hyperlink r:id="rId56">
        <w:r w:rsidRPr="001F291B">
          <w:rPr>
            <w:rFonts w:eastAsia="Arial"/>
            <w:szCs w:val="24"/>
          </w:rPr>
          <w:t>Functional Health Literacy and the Risk of Hospital Admission Among Medicare Managed Care Enrollees</w:t>
        </w:r>
      </w:hyperlink>
      <w:r w:rsidRPr="001F291B">
        <w:rPr>
          <w:rFonts w:eastAsia="Arial"/>
          <w:szCs w:val="24"/>
        </w:rPr>
        <w:t xml:space="preserve"> American Journal of Public Health </w:t>
      </w:r>
      <w:r w:rsidRPr="001F291B">
        <w:rPr>
          <w:rFonts w:eastAsia="Arial"/>
          <w:b/>
          <w:szCs w:val="24"/>
        </w:rPr>
        <w:t>92</w:t>
      </w:r>
      <w:r w:rsidRPr="001F291B">
        <w:rPr>
          <w:rFonts w:eastAsia="Arial"/>
          <w:szCs w:val="24"/>
        </w:rPr>
        <w:t xml:space="preserve">, 1278_1283, </w:t>
      </w:r>
      <w:hyperlink r:id="rId57">
        <w:r w:rsidRPr="001F291B">
          <w:rPr>
            <w:rFonts w:eastAsia="Arial"/>
            <w:szCs w:val="24"/>
          </w:rPr>
          <w:t>https://doi.org/10.2105/AJPH.92.8.1278</w:t>
        </w:r>
      </w:hyperlink>
      <w:r w:rsidRPr="001F291B">
        <w:rPr>
          <w:rFonts w:eastAsia="Arial"/>
          <w:szCs w:val="24"/>
        </w:rPr>
        <w:t xml:space="preserve"> Accessed from: </w:t>
      </w:r>
      <w:hyperlink r:id="rId58">
        <w:r w:rsidRPr="001F291B">
          <w:rPr>
            <w:rFonts w:eastAsia="Arial"/>
            <w:szCs w:val="24"/>
          </w:rPr>
          <w:t>https://ajph.aphapublications.org/doi/10.2105/ajph.92.8.1278?url_ver=Z39.88-2003&amp;rfr_id=ori%3Arid%3Acrossref.org&amp;rfr_dat=cr_pub++0pubmed</w:t>
        </w:r>
      </w:hyperlink>
      <w:r w:rsidRPr="001F291B">
        <w:rPr>
          <w:rFonts w:eastAsia="Arial"/>
          <w:szCs w:val="24"/>
        </w:rPr>
        <w:t xml:space="preserve"> </w:t>
      </w:r>
    </w:p>
    <w:p w14:paraId="31F80E6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Baydu</w:t>
      </w:r>
      <w:proofErr w:type="spellEnd"/>
      <w:r w:rsidRPr="001F291B">
        <w:rPr>
          <w:rFonts w:eastAsia="Arial"/>
          <w:szCs w:val="24"/>
        </w:rPr>
        <w:t xml:space="preserve">, M.M., Kaplan, O., &amp; Bayar, A. (2013). Facing Influence of Poverty on Graduation Rates in Public High Schools. Accessed from: </w:t>
      </w:r>
      <w:hyperlink r:id="rId59">
        <w:r w:rsidRPr="001F291B">
          <w:rPr>
            <w:rFonts w:eastAsia="Arial"/>
            <w:szCs w:val="24"/>
          </w:rPr>
          <w:t>https://www.sciencedirect.com/science/article/pii/S187704281301608X</w:t>
        </w:r>
      </w:hyperlink>
      <w:r w:rsidRPr="001F291B">
        <w:rPr>
          <w:rFonts w:eastAsia="Arial"/>
          <w:szCs w:val="24"/>
        </w:rPr>
        <w:t xml:space="preserve"> </w:t>
      </w:r>
    </w:p>
    <w:p w14:paraId="144C4B6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Bevans, R. (2022). Understanding Confidence Intervals | Easy Examples and Formulas. </w:t>
      </w:r>
      <w:proofErr w:type="spellStart"/>
      <w:r w:rsidRPr="001F291B">
        <w:rPr>
          <w:rFonts w:eastAsia="Arial"/>
          <w:szCs w:val="24"/>
        </w:rPr>
        <w:t>Scribbr</w:t>
      </w:r>
      <w:proofErr w:type="spellEnd"/>
      <w:r w:rsidRPr="001F291B">
        <w:rPr>
          <w:rFonts w:eastAsia="Arial"/>
          <w:szCs w:val="24"/>
        </w:rPr>
        <w:t xml:space="preserve">. Accessed from: </w:t>
      </w:r>
      <w:hyperlink r:id="rId60">
        <w:r w:rsidRPr="001F291B">
          <w:rPr>
            <w:rFonts w:eastAsia="Arial"/>
            <w:szCs w:val="24"/>
          </w:rPr>
          <w:t>https://www.scribbr.com/statistics/confidence-interval/</w:t>
        </w:r>
      </w:hyperlink>
      <w:r w:rsidRPr="001F291B">
        <w:rPr>
          <w:rFonts w:eastAsia="Arial"/>
          <w:szCs w:val="24"/>
        </w:rPr>
        <w:t xml:space="preserve"> </w:t>
      </w:r>
    </w:p>
    <w:p w14:paraId="4DF454D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Cappelletti, E.R., Greco, A., </w:t>
      </w:r>
      <w:proofErr w:type="spellStart"/>
      <w:r w:rsidRPr="001F291B">
        <w:rPr>
          <w:rFonts w:eastAsia="Arial"/>
          <w:szCs w:val="24"/>
          <w:highlight w:val="white"/>
        </w:rPr>
        <w:t>Maloberti</w:t>
      </w:r>
      <w:proofErr w:type="spellEnd"/>
      <w:r w:rsidRPr="001F291B">
        <w:rPr>
          <w:rFonts w:eastAsia="Arial"/>
          <w:szCs w:val="24"/>
          <w:highlight w:val="white"/>
        </w:rPr>
        <w:t xml:space="preserve">, A. </w:t>
      </w:r>
      <w:r w:rsidRPr="001F291B">
        <w:rPr>
          <w:rFonts w:eastAsia="Arial"/>
          <w:i/>
          <w:szCs w:val="24"/>
          <w:highlight w:val="white"/>
        </w:rPr>
        <w:t>et al.</w:t>
      </w:r>
      <w:r w:rsidRPr="001F291B">
        <w:rPr>
          <w:rFonts w:eastAsia="Arial"/>
          <w:szCs w:val="24"/>
          <w:highlight w:val="white"/>
        </w:rPr>
        <w:t xml:space="preserve"> What hypertensive patients want to know [and from whom] about their disease: a two-year longitudinal study. </w:t>
      </w:r>
      <w:r w:rsidRPr="001F291B">
        <w:rPr>
          <w:rFonts w:eastAsia="Arial"/>
          <w:i/>
          <w:szCs w:val="24"/>
          <w:highlight w:val="white"/>
        </w:rPr>
        <w:t>BMC Public Health</w:t>
      </w:r>
      <w:r w:rsidRPr="001F291B">
        <w:rPr>
          <w:rFonts w:eastAsia="Arial"/>
          <w:szCs w:val="24"/>
          <w:highlight w:val="white"/>
        </w:rPr>
        <w:t xml:space="preserve"> 20, 308 (2020). </w:t>
      </w:r>
      <w:hyperlink r:id="rId61">
        <w:r w:rsidRPr="001F291B">
          <w:rPr>
            <w:rFonts w:eastAsia="Arial"/>
            <w:szCs w:val="24"/>
            <w:highlight w:val="white"/>
          </w:rPr>
          <w:t>https://doi.org/10.1186/s12889-020-8421-6</w:t>
        </w:r>
      </w:hyperlink>
      <w:r w:rsidRPr="001F291B">
        <w:rPr>
          <w:rFonts w:eastAsia="Arial"/>
          <w:szCs w:val="24"/>
          <w:highlight w:val="white"/>
        </w:rPr>
        <w:t xml:space="preserve"> . </w:t>
      </w:r>
    </w:p>
    <w:p w14:paraId="3167104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Carter, D. (2019). R for Statistics in EPH. Accessed from: </w:t>
      </w:r>
      <w:hyperlink r:id="rId62">
        <w:r w:rsidRPr="001F291B">
          <w:rPr>
            <w:rFonts w:eastAsia="Arial"/>
            <w:szCs w:val="24"/>
          </w:rPr>
          <w:t>https://bookdown.org/danieljcarter/r4steph/</w:t>
        </w:r>
      </w:hyperlink>
      <w:r w:rsidRPr="001F291B">
        <w:rPr>
          <w:rFonts w:eastAsia="Arial"/>
          <w:szCs w:val="24"/>
        </w:rPr>
        <w:t xml:space="preserve"> </w:t>
      </w:r>
    </w:p>
    <w:p w14:paraId="59E81D4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Center for Disease Control and Prevention (CDC, 2022). Health Topics - High Blood Pressure. Accessed from: </w:t>
      </w:r>
      <w:hyperlink r:id="rId63" w:anchor=":~:text=High%20blood%20pressure%20costs%20the,of%20productivity%20from%20premature%20death">
        <w:r w:rsidRPr="001F291B">
          <w:rPr>
            <w:rFonts w:eastAsia="Arial"/>
            <w:szCs w:val="24"/>
          </w:rPr>
          <w:t>https://www.cdc.gov/policy/polaris/healthtopics/highbloodpressure/index.html#:~:text=High%20blood%20pressure%20costs%20the,of%20productivity%20from%20premature%20death</w:t>
        </w:r>
      </w:hyperlink>
      <w:r w:rsidRPr="001F291B">
        <w:rPr>
          <w:rFonts w:eastAsia="Arial"/>
          <w:szCs w:val="24"/>
        </w:rPr>
        <w:t xml:space="preserve">. </w:t>
      </w:r>
    </w:p>
    <w:p w14:paraId="38B904F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CDC, 2022. What is Health Literacy? Updated February 2022. Accessed from:</w:t>
      </w:r>
      <w:hyperlink r:id="rId64" w:anchor=":~:text=Personal%20health%20literacy%20is%20the,actions%20for%20themselves%20and%20others">
        <w:r w:rsidRPr="001F291B">
          <w:rPr>
            <w:rFonts w:eastAsia="Arial"/>
            <w:szCs w:val="24"/>
          </w:rPr>
          <w:t xml:space="preserve"> https://www.cdc.gov/healthliteracy/learn/index.html#:~:text=Personal%20health%20literacy%20is%20the,actions%20for%20themselves%20and%20others</w:t>
        </w:r>
      </w:hyperlink>
      <w:r w:rsidRPr="001F291B">
        <w:rPr>
          <w:rFonts w:eastAsia="Arial"/>
          <w:szCs w:val="24"/>
        </w:rPr>
        <w:t>.</w:t>
      </w:r>
    </w:p>
    <w:p w14:paraId="2CFF4F9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CDC, n.d. National Center for Health Statistics. NHANES 2021-2022 Questionnaire Instruments. Retrieved from: </w:t>
      </w:r>
      <w:hyperlink r:id="rId65">
        <w:r w:rsidRPr="001F291B">
          <w:rPr>
            <w:rFonts w:eastAsia="Arial"/>
            <w:szCs w:val="24"/>
          </w:rPr>
          <w:t>https://wwwn.cdc.gov/Nchs/Data/Nhanes/2011-2012/Questionnaires/bpq.pdf</w:t>
        </w:r>
      </w:hyperlink>
      <w:r w:rsidRPr="001F291B">
        <w:rPr>
          <w:rFonts w:eastAsia="Arial"/>
          <w:szCs w:val="24"/>
        </w:rPr>
        <w:t xml:space="preserve"> </w:t>
      </w:r>
    </w:p>
    <w:p w14:paraId="599D3CF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lastRenderedPageBreak/>
        <w:t xml:space="preserve">Chew QH, Wei KC, </w:t>
      </w:r>
      <w:proofErr w:type="spellStart"/>
      <w:r w:rsidRPr="001F291B">
        <w:rPr>
          <w:rFonts w:eastAsia="Arial"/>
          <w:szCs w:val="24"/>
          <w:highlight w:val="white"/>
        </w:rPr>
        <w:t>Vasoo</w:t>
      </w:r>
      <w:proofErr w:type="spellEnd"/>
      <w:r w:rsidRPr="001F291B">
        <w:rPr>
          <w:rFonts w:eastAsia="Arial"/>
          <w:szCs w:val="24"/>
          <w:highlight w:val="white"/>
        </w:rPr>
        <w:t xml:space="preserve"> S, Chua HC, Sim K. Narrative synthesis of psychological and coping responses towards emerging infectious disease outbreaks in the general population: practical considerations for the COVID-19 pandemic. Singapore Med J. 2020 Jul;61(7):350-356. </w:t>
      </w:r>
      <w:proofErr w:type="spellStart"/>
      <w:r w:rsidRPr="001F291B">
        <w:rPr>
          <w:rFonts w:eastAsia="Arial"/>
          <w:szCs w:val="24"/>
          <w:highlight w:val="white"/>
        </w:rPr>
        <w:t>doi</w:t>
      </w:r>
      <w:proofErr w:type="spellEnd"/>
      <w:r w:rsidRPr="001F291B">
        <w:rPr>
          <w:rFonts w:eastAsia="Arial"/>
          <w:szCs w:val="24"/>
          <w:highlight w:val="white"/>
        </w:rPr>
        <w:t xml:space="preserve">: 10.11622/smedj.2020046. </w:t>
      </w:r>
      <w:proofErr w:type="spellStart"/>
      <w:r w:rsidRPr="001F291B">
        <w:rPr>
          <w:rFonts w:eastAsia="Arial"/>
          <w:szCs w:val="24"/>
          <w:highlight w:val="white"/>
        </w:rPr>
        <w:t>Epub</w:t>
      </w:r>
      <w:proofErr w:type="spellEnd"/>
      <w:r w:rsidRPr="001F291B">
        <w:rPr>
          <w:rFonts w:eastAsia="Arial"/>
          <w:szCs w:val="24"/>
          <w:highlight w:val="white"/>
        </w:rPr>
        <w:t xml:space="preserve"> 2020 Apr 3. PMID: 32241071; PMCID: PMC7926608. Accessed from: ​​</w:t>
      </w:r>
      <w:hyperlink r:id="rId66">
        <w:r w:rsidRPr="001F291B">
          <w:rPr>
            <w:rFonts w:eastAsia="Arial"/>
            <w:szCs w:val="24"/>
            <w:highlight w:val="white"/>
          </w:rPr>
          <w:t>https://www.ncbi.nlm.nih.gov/pmc/articles/PMC7926608/</w:t>
        </w:r>
      </w:hyperlink>
      <w:r w:rsidRPr="001F291B">
        <w:rPr>
          <w:rFonts w:eastAsia="Arial"/>
          <w:szCs w:val="24"/>
          <w:highlight w:val="white"/>
        </w:rPr>
        <w:t xml:space="preserve"> </w:t>
      </w:r>
    </w:p>
    <w:p w14:paraId="00393CF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Claire Dennis S. Mapa (Mapa, 2021). Proportion of Poor Filipinos was recorded at 18.1 percent in 2021. Accessed from:</w:t>
      </w:r>
      <w:hyperlink r:id="rId67">
        <w:r w:rsidRPr="001F291B">
          <w:rPr>
            <w:rFonts w:eastAsia="Arial"/>
            <w:szCs w:val="24"/>
          </w:rPr>
          <w:t xml:space="preserve"> https://psa.gov.ph/poverty-press-releases/nid/167972</w:t>
        </w:r>
      </w:hyperlink>
    </w:p>
    <w:p w14:paraId="2EE4395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shd w:val="clear" w:color="auto" w:fill="FCFCFC"/>
        </w:rPr>
      </w:pPr>
      <w:r w:rsidRPr="001F291B">
        <w:rPr>
          <w:rFonts w:eastAsia="Arial"/>
          <w:szCs w:val="24"/>
          <w:shd w:val="clear" w:color="auto" w:fill="FCFCFC"/>
        </w:rPr>
        <w:t xml:space="preserve">Commodore-Mensah, et al. (2021). Association between social determinants and hypertension, Stage 2 hypertension, and controlled blood pressure among men and women in the United States. American Journal of Hypertension, Volume 34, Issue 7, July 2021, Pages 707-717. </w:t>
      </w:r>
      <w:hyperlink r:id="rId68">
        <w:r w:rsidRPr="001F291B">
          <w:rPr>
            <w:rFonts w:eastAsia="Arial"/>
            <w:szCs w:val="24"/>
            <w:highlight w:val="white"/>
          </w:rPr>
          <w:t>https://doi.org/10.1093/ajh/hpab011</w:t>
        </w:r>
      </w:hyperlink>
      <w:r w:rsidRPr="001F291B">
        <w:rPr>
          <w:rFonts w:eastAsia="Arial"/>
          <w:szCs w:val="24"/>
          <w:shd w:val="clear" w:color="auto" w:fill="FCFCFC"/>
        </w:rPr>
        <w:t xml:space="preserve"> </w:t>
      </w:r>
    </w:p>
    <w:p w14:paraId="0478197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shd w:val="clear" w:color="auto" w:fill="FCFCFC"/>
        </w:rPr>
        <w:t xml:space="preserve">Connelly, P.J., Currie, G. &amp; Delles, C. Sex Differences in the Prevalence, Outcomes and Management of Hypertension. </w:t>
      </w:r>
      <w:proofErr w:type="spellStart"/>
      <w:r w:rsidRPr="001F291B">
        <w:rPr>
          <w:rFonts w:eastAsia="Arial"/>
          <w:i/>
          <w:szCs w:val="24"/>
          <w:shd w:val="clear" w:color="auto" w:fill="FCFCFC"/>
        </w:rPr>
        <w:t>Curr</w:t>
      </w:r>
      <w:proofErr w:type="spellEnd"/>
      <w:r w:rsidRPr="001F291B">
        <w:rPr>
          <w:rFonts w:eastAsia="Arial"/>
          <w:i/>
          <w:szCs w:val="24"/>
          <w:shd w:val="clear" w:color="auto" w:fill="FCFCFC"/>
        </w:rPr>
        <w:t xml:space="preserve"> </w:t>
      </w:r>
      <w:proofErr w:type="spellStart"/>
      <w:r w:rsidRPr="001F291B">
        <w:rPr>
          <w:rFonts w:eastAsia="Arial"/>
          <w:i/>
          <w:szCs w:val="24"/>
          <w:shd w:val="clear" w:color="auto" w:fill="FCFCFC"/>
        </w:rPr>
        <w:t>Hypertens</w:t>
      </w:r>
      <w:proofErr w:type="spellEnd"/>
      <w:r w:rsidRPr="001F291B">
        <w:rPr>
          <w:rFonts w:eastAsia="Arial"/>
          <w:i/>
          <w:szCs w:val="24"/>
          <w:shd w:val="clear" w:color="auto" w:fill="FCFCFC"/>
        </w:rPr>
        <w:t xml:space="preserve"> Rep</w:t>
      </w:r>
      <w:r w:rsidRPr="001F291B">
        <w:rPr>
          <w:rFonts w:eastAsia="Arial"/>
          <w:szCs w:val="24"/>
          <w:shd w:val="clear" w:color="auto" w:fill="FCFCFC"/>
        </w:rPr>
        <w:t xml:space="preserve"> 24, 185–192 (2022). </w:t>
      </w:r>
      <w:hyperlink r:id="rId69">
        <w:r w:rsidRPr="001F291B">
          <w:rPr>
            <w:rFonts w:eastAsia="Arial"/>
            <w:szCs w:val="24"/>
            <w:shd w:val="clear" w:color="auto" w:fill="FCFCFC"/>
          </w:rPr>
          <w:t>https://doi.org/10.1007/s11906-022-01183-8</w:t>
        </w:r>
      </w:hyperlink>
      <w:r w:rsidRPr="001F291B">
        <w:rPr>
          <w:rFonts w:eastAsia="Arial"/>
          <w:szCs w:val="24"/>
          <w:shd w:val="clear" w:color="auto" w:fill="FCFCFC"/>
        </w:rPr>
        <w:t xml:space="preserve">. Accessed from: </w:t>
      </w:r>
      <w:hyperlink r:id="rId70" w:anchor="citeas">
        <w:r w:rsidRPr="001F291B">
          <w:rPr>
            <w:rFonts w:eastAsia="Arial"/>
            <w:szCs w:val="24"/>
            <w:shd w:val="clear" w:color="auto" w:fill="FCFCFC"/>
          </w:rPr>
          <w:t>https://link.springer.com/article/10.1007/s11906-022-01183-8#citeas</w:t>
        </w:r>
      </w:hyperlink>
      <w:r w:rsidRPr="001F291B">
        <w:rPr>
          <w:rFonts w:eastAsia="Arial"/>
          <w:szCs w:val="24"/>
          <w:shd w:val="clear" w:color="auto" w:fill="FCFCFC"/>
        </w:rPr>
        <w:t xml:space="preserve"> </w:t>
      </w:r>
    </w:p>
    <w:p w14:paraId="0E74E8A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Congressional Policy &amp; Budget Research Department (CPBRD), 2022. Demographic Profile of Poor Households in the Philippines. House of Representatives, March 2022. Accessed from: </w:t>
      </w:r>
      <w:hyperlink r:id="rId71">
        <w:r w:rsidRPr="001F291B">
          <w:rPr>
            <w:rFonts w:eastAsia="Arial"/>
            <w:szCs w:val="24"/>
          </w:rPr>
          <w:t>https://cpbrd.congress.gov.ph/images/PDF%20Attachments/Facts%20in%20Figures/FF2022-20_Demographic_Profile_of_Poor_Households_in_the_Philippines.pdf</w:t>
        </w:r>
      </w:hyperlink>
      <w:r w:rsidRPr="001F291B">
        <w:rPr>
          <w:rFonts w:eastAsia="Arial"/>
          <w:szCs w:val="24"/>
        </w:rPr>
        <w:t xml:space="preserve"> </w:t>
      </w:r>
    </w:p>
    <w:p w14:paraId="360F32E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Cristobal, L. (2015). Literacy in the Philippines: The Stories Behind the Numbers. International Literacy Association. Accessed from: </w:t>
      </w:r>
      <w:hyperlink r:id="rId72">
        <w:r w:rsidRPr="001F291B">
          <w:rPr>
            <w:rFonts w:eastAsia="Arial"/>
            <w:szCs w:val="24"/>
          </w:rPr>
          <w:t>https://www.literacyworldwide.org/blog/literacy-daily/2015/08/06/literacy-in-the-philippines-the-stories-behind-the-numbers</w:t>
        </w:r>
      </w:hyperlink>
      <w:r w:rsidRPr="001F291B">
        <w:rPr>
          <w:rFonts w:eastAsia="Arial"/>
          <w:szCs w:val="24"/>
        </w:rPr>
        <w:t xml:space="preserve"> </w:t>
      </w:r>
    </w:p>
    <w:p w14:paraId="001FA92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proofErr w:type="spellStart"/>
      <w:r w:rsidRPr="001F291B">
        <w:rPr>
          <w:rFonts w:eastAsia="Arial"/>
          <w:szCs w:val="24"/>
        </w:rPr>
        <w:t>Daştan</w:t>
      </w:r>
      <w:proofErr w:type="spellEnd"/>
      <w:r w:rsidRPr="001F291B">
        <w:rPr>
          <w:rFonts w:eastAsia="Arial"/>
          <w:szCs w:val="24"/>
        </w:rPr>
        <w:t xml:space="preserve"> I., </w:t>
      </w:r>
      <w:r w:rsidRPr="001F291B">
        <w:rPr>
          <w:rFonts w:eastAsia="Arial"/>
          <w:i/>
          <w:szCs w:val="24"/>
        </w:rPr>
        <w:t>et al.</w:t>
      </w:r>
      <w:r w:rsidRPr="001F291B">
        <w:rPr>
          <w:rFonts w:eastAsia="Arial"/>
          <w:szCs w:val="24"/>
        </w:rPr>
        <w:t xml:space="preserve"> (2017). Urban and Rural differences in hypertension risk factors in Turkey. </w:t>
      </w:r>
      <w:r w:rsidRPr="001F291B">
        <w:rPr>
          <w:rFonts w:eastAsia="Arial"/>
          <w:szCs w:val="24"/>
          <w:highlight w:val="white"/>
        </w:rPr>
        <w:t xml:space="preserve">Anatol J </w:t>
      </w:r>
      <w:proofErr w:type="spellStart"/>
      <w:r w:rsidRPr="001F291B">
        <w:rPr>
          <w:rFonts w:eastAsia="Arial"/>
          <w:szCs w:val="24"/>
          <w:highlight w:val="white"/>
        </w:rPr>
        <w:t>Cardiol</w:t>
      </w:r>
      <w:proofErr w:type="spellEnd"/>
      <w:r w:rsidRPr="001F291B">
        <w:rPr>
          <w:rFonts w:eastAsia="Arial"/>
          <w:szCs w:val="24"/>
          <w:highlight w:val="white"/>
        </w:rPr>
        <w:t xml:space="preserve">. 2017 Jul; 18(1): 39–47. </w:t>
      </w:r>
      <w:hyperlink r:id="rId73">
        <w:r w:rsidRPr="001F291B">
          <w:rPr>
            <w:rFonts w:eastAsia="Arial"/>
            <w:szCs w:val="24"/>
            <w:highlight w:val="white"/>
          </w:rPr>
          <w:t xml:space="preserve">Anatol J </w:t>
        </w:r>
        <w:proofErr w:type="spellStart"/>
        <w:r w:rsidRPr="001F291B">
          <w:rPr>
            <w:rFonts w:eastAsia="Arial"/>
            <w:szCs w:val="24"/>
            <w:highlight w:val="white"/>
          </w:rPr>
          <w:t>Cardiol</w:t>
        </w:r>
        <w:proofErr w:type="spellEnd"/>
      </w:hyperlink>
      <w:r w:rsidRPr="001F291B">
        <w:rPr>
          <w:rFonts w:eastAsia="Arial"/>
          <w:szCs w:val="24"/>
          <w:highlight w:val="white"/>
        </w:rPr>
        <w:t xml:space="preserve">. 2017 Jul; 18(1): 39–47. Published online 2017 Apr 19. </w:t>
      </w:r>
      <w:proofErr w:type="spellStart"/>
      <w:r w:rsidRPr="001F291B">
        <w:rPr>
          <w:rFonts w:eastAsia="Arial"/>
          <w:szCs w:val="24"/>
          <w:highlight w:val="white"/>
        </w:rPr>
        <w:t>doi</w:t>
      </w:r>
      <w:proofErr w:type="spellEnd"/>
      <w:r w:rsidRPr="001F291B">
        <w:rPr>
          <w:rFonts w:eastAsia="Arial"/>
          <w:szCs w:val="24"/>
          <w:highlight w:val="white"/>
        </w:rPr>
        <w:t xml:space="preserve">: </w:t>
      </w:r>
      <w:hyperlink r:id="rId74">
        <w:r w:rsidRPr="001F291B">
          <w:rPr>
            <w:rFonts w:eastAsia="Arial"/>
            <w:szCs w:val="24"/>
            <w:highlight w:val="white"/>
          </w:rPr>
          <w:t>10.14744/AnatolJCardiol.2017.7452</w:t>
        </w:r>
      </w:hyperlink>
    </w:p>
    <w:p w14:paraId="59A8CE4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Deborah Chin (2011). Critical health literacy: A review and critical analysis </w:t>
      </w:r>
      <w:r w:rsidRPr="001F291B">
        <w:rPr>
          <w:rFonts w:eastAsia="Arial"/>
          <w:i/>
          <w:szCs w:val="24"/>
        </w:rPr>
        <w:t>(Abstract)</w:t>
      </w:r>
      <w:r w:rsidRPr="001F291B">
        <w:rPr>
          <w:rFonts w:eastAsia="Arial"/>
          <w:szCs w:val="24"/>
        </w:rPr>
        <w:t xml:space="preserve">. Accessed from: </w:t>
      </w:r>
      <w:hyperlink r:id="rId75">
        <w:r w:rsidRPr="001F291B">
          <w:rPr>
            <w:rFonts w:eastAsia="Arial"/>
            <w:szCs w:val="24"/>
          </w:rPr>
          <w:t>https://www.sciencedirect.com/science/article/abs/pii/S0277953611002401</w:t>
        </w:r>
      </w:hyperlink>
      <w:r w:rsidRPr="001F291B">
        <w:rPr>
          <w:rFonts w:eastAsia="Arial"/>
          <w:szCs w:val="24"/>
        </w:rPr>
        <w:t xml:space="preserve"> </w:t>
      </w:r>
    </w:p>
    <w:p w14:paraId="3BFD56F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Denuwara</w:t>
      </w:r>
      <w:proofErr w:type="spellEnd"/>
      <w:r w:rsidRPr="001F291B">
        <w:rPr>
          <w:rFonts w:eastAsia="Arial"/>
          <w:szCs w:val="24"/>
        </w:rPr>
        <w:t xml:space="preserve">, H.M.B.H. and Gunawardena, N.S. (2017). Level of health literacy and factors associated with it among </w:t>
      </w:r>
      <w:proofErr w:type="gramStart"/>
      <w:r w:rsidRPr="001F291B">
        <w:rPr>
          <w:rFonts w:eastAsia="Arial"/>
          <w:szCs w:val="24"/>
        </w:rPr>
        <w:t>school teachers</w:t>
      </w:r>
      <w:proofErr w:type="gramEnd"/>
      <w:r w:rsidRPr="001F291B">
        <w:rPr>
          <w:rFonts w:eastAsia="Arial"/>
          <w:szCs w:val="24"/>
        </w:rPr>
        <w:t xml:space="preserve"> in an education zone in Colombo, Sri Lanka. BMC Public Health. 2017; 17:631. Published online 2017 Jul 6. </w:t>
      </w:r>
      <w:proofErr w:type="spellStart"/>
      <w:r w:rsidRPr="001F291B">
        <w:rPr>
          <w:rFonts w:eastAsia="Arial"/>
          <w:szCs w:val="24"/>
        </w:rPr>
        <w:t>doi</w:t>
      </w:r>
      <w:proofErr w:type="spellEnd"/>
      <w:r w:rsidRPr="001F291B">
        <w:rPr>
          <w:rFonts w:eastAsia="Arial"/>
          <w:szCs w:val="24"/>
        </w:rPr>
        <w:t xml:space="preserve">: 10.1186/s12889-017-4543-x.  Retrieved from: </w:t>
      </w:r>
      <w:hyperlink r:id="rId76">
        <w:r w:rsidRPr="001F291B">
          <w:rPr>
            <w:rFonts w:eastAsia="Arial"/>
            <w:szCs w:val="24"/>
          </w:rPr>
          <w:t>https://www.ncbi.nlm.nih.gov/pmc/articles/PMC5500949/</w:t>
        </w:r>
      </w:hyperlink>
      <w:r w:rsidRPr="001F291B">
        <w:rPr>
          <w:rFonts w:eastAsia="Arial"/>
          <w:szCs w:val="24"/>
        </w:rPr>
        <w:t xml:space="preserve"> </w:t>
      </w:r>
    </w:p>
    <w:p w14:paraId="00FE820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Department of Health (DOH, 2012). Administrative Order No. 2012-0029: Implementing guidelines on the institutionalization of Philippine package of essential NCD intervention (</w:t>
      </w:r>
      <w:proofErr w:type="spellStart"/>
      <w:r w:rsidRPr="001F291B">
        <w:rPr>
          <w:rFonts w:eastAsia="Arial"/>
          <w:szCs w:val="24"/>
          <w:highlight w:val="white"/>
        </w:rPr>
        <w:t>PhilPEN</w:t>
      </w:r>
      <w:proofErr w:type="spellEnd"/>
      <w:r w:rsidRPr="001F291B">
        <w:rPr>
          <w:rFonts w:eastAsia="Arial"/>
          <w:szCs w:val="24"/>
          <w:highlight w:val="white"/>
        </w:rPr>
        <w:t xml:space="preserve">) on the integrated management of hypertension and </w:t>
      </w:r>
      <w:r w:rsidRPr="001F291B">
        <w:rPr>
          <w:rFonts w:eastAsia="Arial"/>
          <w:szCs w:val="24"/>
          <w:highlight w:val="white"/>
        </w:rPr>
        <w:lastRenderedPageBreak/>
        <w:t>diabetes for primary health care facilities. Accessed from:</w:t>
      </w:r>
      <w:hyperlink r:id="rId77">
        <w:r w:rsidRPr="001F291B">
          <w:rPr>
            <w:rFonts w:eastAsia="Arial"/>
            <w:szCs w:val="24"/>
            <w:highlight w:val="white"/>
          </w:rPr>
          <w:t xml:space="preserve"> https://extranet.who.int/ncdccs/Data/PHL_D1_PHIL%20PEN.pdf</w:t>
        </w:r>
      </w:hyperlink>
    </w:p>
    <w:p w14:paraId="3ECDF0E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Department of Health (DOH, 2019). The 2019 Philippine Health Statistics. Epidemiology Bureau, Department of Health. Accessed from: </w:t>
      </w:r>
      <w:hyperlink r:id="rId78">
        <w:r w:rsidRPr="001F291B">
          <w:rPr>
            <w:rFonts w:eastAsia="Arial"/>
            <w:szCs w:val="24"/>
          </w:rPr>
          <w:t>https://doh.gov.ph/sites/default/files/publications/2019PHS_Final_092121.pdf</w:t>
        </w:r>
      </w:hyperlink>
      <w:r w:rsidRPr="001F291B">
        <w:rPr>
          <w:rFonts w:eastAsia="Arial"/>
          <w:szCs w:val="24"/>
        </w:rPr>
        <w:t xml:space="preserve"> </w:t>
      </w:r>
    </w:p>
    <w:p w14:paraId="7DA06D0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Diaz, A.B.F., et.al. (2021). May Measurement Month 2019: an analysis of blood pressure screening results in the Philippines. European Heart Journal Supplements, Volume 23, Issue Supplement B, May 2021, pages B120-B123, </w:t>
      </w:r>
      <w:hyperlink r:id="rId79">
        <w:r w:rsidRPr="001F291B">
          <w:rPr>
            <w:rFonts w:eastAsia="Arial"/>
            <w:szCs w:val="24"/>
            <w:highlight w:val="white"/>
          </w:rPr>
          <w:t>https://doi.org/10.1093/eurheartj/suab061</w:t>
        </w:r>
      </w:hyperlink>
      <w:r w:rsidRPr="001F291B">
        <w:rPr>
          <w:rFonts w:eastAsia="Arial"/>
          <w:szCs w:val="24"/>
        </w:rPr>
        <w:t xml:space="preserve"> . Accessed on </w:t>
      </w:r>
      <w:hyperlink r:id="rId80">
        <w:r w:rsidRPr="001F291B">
          <w:rPr>
            <w:rFonts w:eastAsia="Arial"/>
            <w:szCs w:val="24"/>
          </w:rPr>
          <w:t>https://academic.oup.com/eurheartjsupp/article/23/Supplement_B/B120/6279139</w:t>
        </w:r>
      </w:hyperlink>
      <w:r w:rsidRPr="001F291B">
        <w:rPr>
          <w:rFonts w:eastAsia="Arial"/>
          <w:szCs w:val="24"/>
        </w:rPr>
        <w:t xml:space="preserve"> </w:t>
      </w:r>
    </w:p>
    <w:p w14:paraId="0E84261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Dodson, S., Beauchamp, A., </w:t>
      </w:r>
      <w:proofErr w:type="spellStart"/>
      <w:r w:rsidRPr="001F291B">
        <w:rPr>
          <w:rFonts w:eastAsia="Arial"/>
          <w:szCs w:val="24"/>
        </w:rPr>
        <w:t>Batterham</w:t>
      </w:r>
      <w:proofErr w:type="spellEnd"/>
      <w:r w:rsidRPr="001F291B">
        <w:rPr>
          <w:rFonts w:eastAsia="Arial"/>
          <w:szCs w:val="24"/>
        </w:rPr>
        <w:t xml:space="preserve">, R.W., and Osborne, R.H. (2014). Information sheet 10: About the Health Literacy Questionnaire (HLQ). In Ophelia Toolkit: A step-by-step guide for identifying and responding to health literacy needs within local communities. Retrieved from </w:t>
      </w:r>
      <w:hyperlink r:id="rId81">
        <w:r w:rsidRPr="001F291B">
          <w:rPr>
            <w:rFonts w:eastAsia="Arial"/>
            <w:szCs w:val="24"/>
          </w:rPr>
          <w:t>http://citeseerx.ist.psu.edu/viewdoc/download?doi=10.1.1.726.6237&amp;rep=rep1&amp;type=pdf</w:t>
        </w:r>
      </w:hyperlink>
    </w:p>
    <w:p w14:paraId="7EB6648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Dogan, N., et. al. (2012). Hypertension Prevalence and risk factors among adult population in </w:t>
      </w:r>
      <w:proofErr w:type="spellStart"/>
      <w:r w:rsidRPr="001F291B">
        <w:rPr>
          <w:rFonts w:eastAsia="Arial"/>
          <w:szCs w:val="24"/>
          <w:highlight w:val="white"/>
        </w:rPr>
        <w:t>Afyonkarahisar</w:t>
      </w:r>
      <w:proofErr w:type="spellEnd"/>
      <w:r w:rsidRPr="001F291B">
        <w:rPr>
          <w:rFonts w:eastAsia="Arial"/>
          <w:szCs w:val="24"/>
          <w:highlight w:val="white"/>
        </w:rPr>
        <w:t xml:space="preserve"> region: </w:t>
      </w:r>
      <w:proofErr w:type="gramStart"/>
      <w:r w:rsidRPr="001F291B">
        <w:rPr>
          <w:rFonts w:eastAsia="Arial"/>
          <w:szCs w:val="24"/>
          <w:highlight w:val="white"/>
        </w:rPr>
        <w:t>a cross-sectional research</w:t>
      </w:r>
      <w:proofErr w:type="gramEnd"/>
      <w:r w:rsidRPr="001F291B">
        <w:rPr>
          <w:rFonts w:eastAsia="Arial"/>
          <w:szCs w:val="24"/>
          <w:highlight w:val="white"/>
        </w:rPr>
        <w:t xml:space="preserve">. Accessed from: </w:t>
      </w:r>
      <w:hyperlink r:id="rId82">
        <w:r w:rsidRPr="001F291B">
          <w:rPr>
            <w:rFonts w:eastAsia="Arial"/>
            <w:szCs w:val="24"/>
          </w:rPr>
          <w:t>https://pubmed.ncbi.nlm.nih.gov/22214743/</w:t>
        </w:r>
      </w:hyperlink>
      <w:r w:rsidRPr="001F291B">
        <w:rPr>
          <w:rFonts w:eastAsia="Arial"/>
          <w:szCs w:val="24"/>
        </w:rPr>
        <w:t xml:space="preserve"> </w:t>
      </w:r>
    </w:p>
    <w:p w14:paraId="363B418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Don </w:t>
      </w:r>
      <w:proofErr w:type="spellStart"/>
      <w:r w:rsidRPr="001F291B">
        <w:rPr>
          <w:rFonts w:eastAsia="Arial"/>
          <w:szCs w:val="24"/>
        </w:rPr>
        <w:t>Nutbeam</w:t>
      </w:r>
      <w:proofErr w:type="spellEnd"/>
      <w:r w:rsidRPr="001F291B">
        <w:rPr>
          <w:rFonts w:eastAsia="Arial"/>
          <w:szCs w:val="24"/>
        </w:rPr>
        <w:t xml:space="preserve"> (2000). Health Literacy as a public health goal: a challenge for contemporary health education and communication strategies into the 21</w:t>
      </w:r>
      <w:r w:rsidRPr="001F291B">
        <w:rPr>
          <w:rFonts w:eastAsia="Arial"/>
          <w:szCs w:val="24"/>
          <w:vertAlign w:val="superscript"/>
        </w:rPr>
        <w:t>st</w:t>
      </w:r>
      <w:r w:rsidRPr="001F291B">
        <w:rPr>
          <w:rFonts w:eastAsia="Arial"/>
          <w:szCs w:val="24"/>
        </w:rPr>
        <w:t xml:space="preserve"> century. Accessed from: </w:t>
      </w:r>
      <w:hyperlink r:id="rId83">
        <w:r w:rsidRPr="001F291B">
          <w:rPr>
            <w:rFonts w:eastAsia="Arial"/>
            <w:szCs w:val="24"/>
          </w:rPr>
          <w:t>https://academic.oup.com/heapro/article/15/3/259/551108</w:t>
        </w:r>
      </w:hyperlink>
      <w:r w:rsidRPr="001F291B">
        <w:rPr>
          <w:rFonts w:eastAsia="Arial"/>
          <w:szCs w:val="24"/>
        </w:rPr>
        <w:t xml:space="preserve"> </w:t>
      </w:r>
    </w:p>
    <w:p w14:paraId="1A4E5BD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Don </w:t>
      </w:r>
      <w:proofErr w:type="spellStart"/>
      <w:r w:rsidRPr="001F291B">
        <w:rPr>
          <w:rFonts w:eastAsia="Arial"/>
          <w:szCs w:val="24"/>
        </w:rPr>
        <w:t>Nutbeam</w:t>
      </w:r>
      <w:proofErr w:type="spellEnd"/>
      <w:r w:rsidRPr="001F291B">
        <w:rPr>
          <w:rFonts w:eastAsia="Arial"/>
          <w:szCs w:val="24"/>
        </w:rPr>
        <w:t xml:space="preserve"> (2015). Defining, </w:t>
      </w:r>
      <w:proofErr w:type="gramStart"/>
      <w:r w:rsidRPr="001F291B">
        <w:rPr>
          <w:rFonts w:eastAsia="Arial"/>
          <w:szCs w:val="24"/>
        </w:rPr>
        <w:t>measuring</w:t>
      </w:r>
      <w:proofErr w:type="gramEnd"/>
      <w:r w:rsidRPr="001F291B">
        <w:rPr>
          <w:rFonts w:eastAsia="Arial"/>
          <w:szCs w:val="24"/>
        </w:rPr>
        <w:t xml:space="preserve"> and improving health literacy. Japan Society of Health Evaluation and Promotion, 2015 Volume 42 Issue 4 Pages 450-456. Accessed from: </w:t>
      </w:r>
      <w:hyperlink r:id="rId84">
        <w:r w:rsidRPr="001F291B">
          <w:rPr>
            <w:rFonts w:eastAsia="Arial"/>
            <w:szCs w:val="24"/>
          </w:rPr>
          <w:t>https://www.jstage.jst.go.jp/article/jhep/42/4/42_450/_article</w:t>
        </w:r>
      </w:hyperlink>
    </w:p>
    <w:p w14:paraId="4B25577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Du, S., </w:t>
      </w:r>
      <w:r w:rsidRPr="001F291B">
        <w:rPr>
          <w:rFonts w:eastAsia="Arial"/>
          <w:i/>
          <w:szCs w:val="24"/>
          <w:highlight w:val="white"/>
        </w:rPr>
        <w:t xml:space="preserve">et. al. </w:t>
      </w:r>
      <w:r w:rsidRPr="001F291B">
        <w:rPr>
          <w:rFonts w:eastAsia="Arial"/>
          <w:szCs w:val="24"/>
          <w:highlight w:val="white"/>
        </w:rPr>
        <w:t xml:space="preserve">(2018). Health Literacy and health outcomes in hypertension: An integrative review. International Journal of Nursing Sciences, Volume 5, Issue 3, 10 July 2018, Pages 301-309. Accessed from: </w:t>
      </w:r>
      <w:hyperlink r:id="rId85">
        <w:r w:rsidRPr="001F291B">
          <w:rPr>
            <w:rFonts w:eastAsia="Arial"/>
            <w:szCs w:val="24"/>
            <w:highlight w:val="white"/>
          </w:rPr>
          <w:t>https://www.sciencedirect.com/science/article/pii/S2352013217302971</w:t>
        </w:r>
      </w:hyperlink>
      <w:r w:rsidRPr="001F291B">
        <w:rPr>
          <w:rFonts w:eastAsia="Arial"/>
          <w:szCs w:val="24"/>
          <w:highlight w:val="white"/>
        </w:rPr>
        <w:t xml:space="preserve"> </w:t>
      </w:r>
    </w:p>
    <w:p w14:paraId="72993157"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El Omari, S. and </w:t>
      </w:r>
      <w:proofErr w:type="spellStart"/>
      <w:r w:rsidRPr="001F291B">
        <w:rPr>
          <w:rFonts w:eastAsia="Arial"/>
          <w:szCs w:val="24"/>
          <w:highlight w:val="white"/>
        </w:rPr>
        <w:t>Karasneh</w:t>
      </w:r>
      <w:proofErr w:type="spellEnd"/>
      <w:r w:rsidRPr="001F291B">
        <w:rPr>
          <w:rFonts w:eastAsia="Arial"/>
          <w:szCs w:val="24"/>
          <w:highlight w:val="white"/>
        </w:rPr>
        <w:t xml:space="preserve">, M. (2021). Social health insurance in the Philippines: do the poor really benefit? </w:t>
      </w:r>
      <w:r w:rsidRPr="001F291B">
        <w:rPr>
          <w:rFonts w:eastAsia="Arial"/>
          <w:i/>
          <w:szCs w:val="24"/>
          <w:highlight w:val="white"/>
        </w:rPr>
        <w:t>J Econ Finan</w:t>
      </w:r>
      <w:r w:rsidRPr="001F291B">
        <w:rPr>
          <w:rFonts w:eastAsia="Arial"/>
          <w:szCs w:val="24"/>
          <w:highlight w:val="white"/>
        </w:rPr>
        <w:t xml:space="preserve"> 45, 171–187 (2021). </w:t>
      </w:r>
      <w:hyperlink r:id="rId86">
        <w:r w:rsidRPr="001F291B">
          <w:rPr>
            <w:rFonts w:eastAsia="Arial"/>
            <w:szCs w:val="24"/>
            <w:highlight w:val="white"/>
          </w:rPr>
          <w:t>https://doi.org/10.1007/s12197-020-09525-5</w:t>
        </w:r>
      </w:hyperlink>
      <w:r w:rsidRPr="001F291B">
        <w:rPr>
          <w:rFonts w:eastAsia="Arial"/>
          <w:szCs w:val="24"/>
          <w:highlight w:val="white"/>
        </w:rPr>
        <w:t xml:space="preserve"> </w:t>
      </w:r>
    </w:p>
    <w:p w14:paraId="7A06D0E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Estimation and Sample Size Determination for Finite Populations. Accessed from: </w:t>
      </w:r>
      <w:hyperlink r:id="rId87">
        <w:r w:rsidRPr="001F291B">
          <w:rPr>
            <w:rFonts w:eastAsia="Arial"/>
            <w:szCs w:val="24"/>
          </w:rPr>
          <w:t>https://www.alnap.org/system/files/content/resource/files/main/finite.pdf</w:t>
        </w:r>
      </w:hyperlink>
      <w:r w:rsidRPr="001F291B">
        <w:rPr>
          <w:rFonts w:eastAsia="Arial"/>
          <w:szCs w:val="24"/>
        </w:rPr>
        <w:t xml:space="preserve">  </w:t>
      </w:r>
    </w:p>
    <w:p w14:paraId="72887F1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Feitosa, F.G.A.M., Feitosa, A.D.M., Paiva, A.M.G. </w:t>
      </w:r>
      <w:r w:rsidRPr="001F291B">
        <w:rPr>
          <w:rFonts w:eastAsia="Arial"/>
          <w:i/>
          <w:szCs w:val="24"/>
          <w:highlight w:val="white"/>
        </w:rPr>
        <w:t>et al.</w:t>
      </w:r>
      <w:r w:rsidRPr="001F291B">
        <w:rPr>
          <w:rFonts w:eastAsia="Arial"/>
          <w:szCs w:val="24"/>
          <w:highlight w:val="white"/>
        </w:rPr>
        <w:t xml:space="preserve"> Impact of the COVID-19 pandemic on blood pressure control: a nationwide home blood pressure monitoring study. </w:t>
      </w:r>
      <w:proofErr w:type="spellStart"/>
      <w:r w:rsidRPr="001F291B">
        <w:rPr>
          <w:rFonts w:eastAsia="Arial"/>
          <w:i/>
          <w:szCs w:val="24"/>
          <w:highlight w:val="white"/>
        </w:rPr>
        <w:t>Hypertens</w:t>
      </w:r>
      <w:proofErr w:type="spellEnd"/>
      <w:r w:rsidRPr="001F291B">
        <w:rPr>
          <w:rFonts w:eastAsia="Arial"/>
          <w:i/>
          <w:szCs w:val="24"/>
          <w:highlight w:val="white"/>
        </w:rPr>
        <w:t xml:space="preserve"> Res</w:t>
      </w:r>
      <w:r w:rsidRPr="001F291B">
        <w:rPr>
          <w:rFonts w:eastAsia="Arial"/>
          <w:szCs w:val="24"/>
          <w:highlight w:val="white"/>
        </w:rPr>
        <w:t xml:space="preserve"> 45, 364–368 (2022). </w:t>
      </w:r>
      <w:hyperlink r:id="rId88">
        <w:r w:rsidRPr="001F291B">
          <w:rPr>
            <w:rFonts w:eastAsia="Arial"/>
            <w:szCs w:val="24"/>
            <w:highlight w:val="white"/>
          </w:rPr>
          <w:t>https://doi.org/10.1038/s41440-021-00784-1</w:t>
        </w:r>
      </w:hyperlink>
      <w:r w:rsidRPr="001F291B">
        <w:rPr>
          <w:rFonts w:eastAsia="Arial"/>
          <w:szCs w:val="24"/>
          <w:highlight w:val="white"/>
        </w:rPr>
        <w:t xml:space="preserve"> . Accessed from: </w:t>
      </w:r>
      <w:hyperlink r:id="rId89">
        <w:r w:rsidRPr="001F291B">
          <w:rPr>
            <w:rFonts w:eastAsia="Arial"/>
            <w:szCs w:val="24"/>
            <w:highlight w:val="white"/>
          </w:rPr>
          <w:t>https://www.nature.com/articles/s41440-021-00784-1</w:t>
        </w:r>
      </w:hyperlink>
      <w:r w:rsidRPr="001F291B">
        <w:rPr>
          <w:rFonts w:eastAsia="Arial"/>
          <w:szCs w:val="24"/>
          <w:highlight w:val="white"/>
        </w:rPr>
        <w:t xml:space="preserve"> </w:t>
      </w:r>
    </w:p>
    <w:p w14:paraId="79805B1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lastRenderedPageBreak/>
        <w:t>Field Health Services Information System (FHSIS, 2018). 2018 Annual Report. Department of Health. Manila</w:t>
      </w:r>
    </w:p>
    <w:p w14:paraId="4C34459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Food and Nutrition Research Institute (FNRI, 2018). 2018 Expanded National Nutrition Survey: Health and Nutritional Status of Filipino Adults, 20-59 years old. Accessed from: </w:t>
      </w:r>
      <w:hyperlink r:id="rId90">
        <w:r w:rsidRPr="001F291B">
          <w:rPr>
            <w:rFonts w:eastAsia="Arial"/>
            <w:szCs w:val="24"/>
            <w:highlight w:val="white"/>
          </w:rPr>
          <w:t>https://www.fnri.dost.gov.ph/images//sources/eNNS2018/Adults_and_Elderly.pdf</w:t>
        </w:r>
      </w:hyperlink>
      <w:r w:rsidRPr="001F291B">
        <w:rPr>
          <w:rFonts w:eastAsia="Arial"/>
          <w:szCs w:val="24"/>
          <w:highlight w:val="white"/>
        </w:rPr>
        <w:t xml:space="preserve"> </w:t>
      </w:r>
    </w:p>
    <w:p w14:paraId="0C5DCA6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Food and Nutrition Research Institute (FNRI, 2018). 2018 Expanded National Nutrition Survey: Health and Nutritional Status of Filipino Adults, 60 years old and above. Accessed from: </w:t>
      </w:r>
      <w:hyperlink r:id="rId91">
        <w:r w:rsidRPr="001F291B">
          <w:rPr>
            <w:rFonts w:eastAsia="Arial"/>
            <w:szCs w:val="24"/>
            <w:highlight w:val="white"/>
          </w:rPr>
          <w:t>https://www.fnri.dost.gov.ph/images//sources/eNNS2018/Adults_and_Elderly.pdf</w:t>
        </w:r>
      </w:hyperlink>
    </w:p>
    <w:p w14:paraId="0529CB0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Fryar C.D., et. al. (2017). Hypertension Prevalence and Control Among Adults: United States, 2015-2016. Accessed from:</w:t>
      </w:r>
      <w:hyperlink r:id="rId92">
        <w:r w:rsidRPr="001F291B">
          <w:rPr>
            <w:rFonts w:eastAsia="Arial"/>
            <w:szCs w:val="24"/>
          </w:rPr>
          <w:t xml:space="preserve"> https://www.cdc.gov/nchs/products/databriefs/db289.htm</w:t>
        </w:r>
      </w:hyperlink>
    </w:p>
    <w:p w14:paraId="2F5D77B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Gai and Minniti (2015). Health Insurance, Job lock, and the Supply of Self-employment. Wiley Online Library. DOI: </w:t>
      </w:r>
      <w:hyperlink r:id="rId93">
        <w:r w:rsidRPr="001F291B">
          <w:rPr>
            <w:rFonts w:eastAsia="Arial"/>
            <w:szCs w:val="24"/>
            <w:highlight w:val="white"/>
          </w:rPr>
          <w:t>https://doi.org/10.1111/jsbm.12169</w:t>
        </w:r>
      </w:hyperlink>
      <w:r w:rsidRPr="001F291B">
        <w:rPr>
          <w:rFonts w:eastAsia="Arial"/>
          <w:szCs w:val="24"/>
          <w:highlight w:val="white"/>
        </w:rPr>
        <w:t xml:space="preserve">. </w:t>
      </w:r>
    </w:p>
    <w:p w14:paraId="2FC6BAF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Garcia-Cordina, O., et al. (2019). Determinants of health literacy in the general population: results of the Catalan health survey. BMC Public Health. 2019 Aug 16; 19(1):1122. Accessed from: </w:t>
      </w:r>
      <w:hyperlink r:id="rId94">
        <w:r w:rsidRPr="001F291B">
          <w:rPr>
            <w:rFonts w:eastAsia="Arial"/>
            <w:szCs w:val="24"/>
            <w:highlight w:val="white"/>
          </w:rPr>
          <w:t>https://www.ncbi.nlm.nih.gov/pubmed/31420029</w:t>
        </w:r>
      </w:hyperlink>
      <w:r w:rsidRPr="001F291B">
        <w:rPr>
          <w:rFonts w:eastAsia="Arial"/>
          <w:szCs w:val="24"/>
          <w:highlight w:val="white"/>
        </w:rPr>
        <w:t xml:space="preserve"> </w:t>
      </w:r>
    </w:p>
    <w:p w14:paraId="75FE750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Ghazi, L. et. al. (2022). Severe inpatient hypertension prevalence and blood pressure response to antihypertensive treatment. Published: 17 February 2022. </w:t>
      </w:r>
      <w:hyperlink r:id="rId95">
        <w:r w:rsidRPr="001F291B">
          <w:rPr>
            <w:rFonts w:eastAsia="Arial"/>
            <w:szCs w:val="24"/>
            <w:highlight w:val="white"/>
          </w:rPr>
          <w:t>https://doi.org/10.1111/jch.14431</w:t>
        </w:r>
      </w:hyperlink>
      <w:r w:rsidRPr="001F291B">
        <w:rPr>
          <w:rFonts w:eastAsia="Arial"/>
          <w:szCs w:val="24"/>
          <w:highlight w:val="white"/>
        </w:rPr>
        <w:t xml:space="preserve">. Accessed from: </w:t>
      </w:r>
      <w:hyperlink r:id="rId96">
        <w:r w:rsidRPr="001F291B">
          <w:rPr>
            <w:rFonts w:eastAsia="Arial"/>
            <w:szCs w:val="24"/>
            <w:highlight w:val="white"/>
          </w:rPr>
          <w:t>https://onlinelibrary.wiley.com/doi/10.1111/jch.14431</w:t>
        </w:r>
      </w:hyperlink>
      <w:r w:rsidRPr="001F291B">
        <w:rPr>
          <w:rFonts w:eastAsia="Arial"/>
          <w:szCs w:val="24"/>
          <w:highlight w:val="white"/>
        </w:rPr>
        <w:t xml:space="preserve"> </w:t>
      </w:r>
    </w:p>
    <w:p w14:paraId="3DDBB62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Gotanda, H., et al. (2022). Changes in Blood Pressure Outcome Among Hypertensive Individuals during the COVID-19 Pandemic: A Time Series Analysis in Three US Healthcare Organizations. Accessed from:</w:t>
      </w:r>
      <w:hyperlink r:id="rId97">
        <w:r w:rsidRPr="001F291B">
          <w:rPr>
            <w:rFonts w:eastAsia="Arial"/>
            <w:szCs w:val="24"/>
            <w:highlight w:val="white"/>
          </w:rPr>
          <w:t>https://www.ahajournals.org/doi/10.1161/HYPERTENSIONAHA.122.19861</w:t>
        </w:r>
      </w:hyperlink>
      <w:r w:rsidRPr="001F291B">
        <w:rPr>
          <w:rFonts w:eastAsia="Arial"/>
          <w:szCs w:val="24"/>
          <w:highlight w:val="white"/>
        </w:rPr>
        <w:t xml:space="preserve">  </w:t>
      </w:r>
    </w:p>
    <w:p w14:paraId="30E8BE4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Gurven, M., et al (2012). Does Blood Pressure Inevitably Rise with Age? Hypertension. 2012; 60:25-33. Accessed from: </w:t>
      </w:r>
      <w:hyperlink r:id="rId98">
        <w:r w:rsidRPr="001F291B">
          <w:rPr>
            <w:rFonts w:eastAsia="Arial"/>
            <w:szCs w:val="24"/>
            <w:highlight w:val="white"/>
          </w:rPr>
          <w:t>https://doi.org/10.1161/HYPERTENSIONAHA.111.189100</w:t>
        </w:r>
      </w:hyperlink>
    </w:p>
    <w:p w14:paraId="6BD8932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Heijman, M., et. al. (2015). Functional, communicative, and critical health literacy of chronic disease patients and their importance for self-management. Accessed from:</w:t>
      </w:r>
      <w:hyperlink r:id="rId99">
        <w:r w:rsidRPr="001F291B">
          <w:rPr>
            <w:rFonts w:eastAsia="Arial"/>
            <w:szCs w:val="24"/>
          </w:rPr>
          <w:t xml:space="preserve"> https://www.sciencedirect.com/science/article/abs/pii/S0738399114004133?via%3Dihub</w:t>
        </w:r>
      </w:hyperlink>
    </w:p>
    <w:p w14:paraId="6E91B4C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Health Policy Institute (HPI, n.d.). Low Health Literacy Skills Increase Annual Health Care Expenditures by USD 73 Billion. Accessed from: </w:t>
      </w:r>
      <w:hyperlink r:id="rId100">
        <w:r w:rsidRPr="001F291B">
          <w:rPr>
            <w:rFonts w:eastAsia="Arial"/>
            <w:szCs w:val="24"/>
          </w:rPr>
          <w:t>https://hpi.georgetown.edu/healthlit/</w:t>
        </w:r>
      </w:hyperlink>
      <w:r w:rsidRPr="001F291B">
        <w:rPr>
          <w:rFonts w:eastAsia="Arial"/>
          <w:szCs w:val="24"/>
        </w:rPr>
        <w:t xml:space="preserve"> </w:t>
      </w:r>
    </w:p>
    <w:p w14:paraId="66D0208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Hickey, K. T. et. al. (2018). Low Health Literacy. Nurse </w:t>
      </w:r>
      <w:proofErr w:type="spellStart"/>
      <w:r w:rsidRPr="001F291B">
        <w:rPr>
          <w:rFonts w:eastAsia="Arial"/>
          <w:szCs w:val="24"/>
        </w:rPr>
        <w:t>Pract</w:t>
      </w:r>
      <w:proofErr w:type="spellEnd"/>
      <w:r w:rsidRPr="001F291B">
        <w:rPr>
          <w:rFonts w:eastAsia="Arial"/>
          <w:szCs w:val="24"/>
        </w:rPr>
        <w:t>. 2018 Aug; 43(8):49-55. Accessed from:</w:t>
      </w:r>
      <w:hyperlink r:id="rId101">
        <w:r w:rsidRPr="001F291B">
          <w:rPr>
            <w:rFonts w:eastAsia="Arial"/>
            <w:szCs w:val="24"/>
          </w:rPr>
          <w:t xml:space="preserve"> https://www.ncbi.nlm.nih.gov/pmc/articles/PMC6391993/</w:t>
        </w:r>
      </w:hyperlink>
    </w:p>
    <w:p w14:paraId="597C17A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HLS-EU Consortium (2012): Comparative Report of Health Literacy in Eight EU Member States. The European Health Literacy Survey HLS-EU (SECOND REVISED AND EXTENDED VERSION, DATE JULY 22TH , 2014), ONLINE PUBLICATION: </w:t>
      </w:r>
      <w:hyperlink r:id="rId102">
        <w:r w:rsidRPr="001F291B">
          <w:rPr>
            <w:rFonts w:eastAsia="Arial"/>
            <w:szCs w:val="24"/>
          </w:rPr>
          <w:t>HTTP://WWW.HEALTH-LITERACY.EU</w:t>
        </w:r>
      </w:hyperlink>
      <w:r w:rsidRPr="001F291B">
        <w:rPr>
          <w:rFonts w:eastAsia="Arial"/>
          <w:szCs w:val="24"/>
        </w:rPr>
        <w:t xml:space="preserve">  Retrieved from: </w:t>
      </w:r>
      <w:hyperlink r:id="rId103">
        <w:r w:rsidRPr="001F291B">
          <w:rPr>
            <w:rFonts w:eastAsia="Arial"/>
            <w:szCs w:val="24"/>
          </w:rPr>
          <w:t>https://cdn1.sph.harvard.edu/wp-content/uploads/sites/135/2015/09/neu_rev_hls-eu_report_2015_05_13_lit.pdf</w:t>
        </w:r>
      </w:hyperlink>
      <w:r w:rsidRPr="001F291B">
        <w:rPr>
          <w:rFonts w:eastAsia="Arial"/>
          <w:szCs w:val="24"/>
        </w:rPr>
        <w:t xml:space="preserve"> </w:t>
      </w:r>
    </w:p>
    <w:p w14:paraId="08A5631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Hu D, Lou X, Meng N, Li Z, Teng Y, Zou Y, Wang F. Influence of age and gender on the epidemic of COVID-19: Evidence from 177 countries and territories-an exploratory, ecological study. Wien Klin </w:t>
      </w:r>
      <w:proofErr w:type="spellStart"/>
      <w:r w:rsidRPr="001F291B">
        <w:rPr>
          <w:rFonts w:eastAsia="Arial"/>
          <w:szCs w:val="24"/>
          <w:highlight w:val="white"/>
        </w:rPr>
        <w:t>Wochenschr</w:t>
      </w:r>
      <w:proofErr w:type="spellEnd"/>
      <w:r w:rsidRPr="001F291B">
        <w:rPr>
          <w:rFonts w:eastAsia="Arial"/>
          <w:szCs w:val="24"/>
          <w:highlight w:val="white"/>
        </w:rPr>
        <w:t xml:space="preserve">. 2021 Apr;133(7-8):321-330. </w:t>
      </w:r>
      <w:proofErr w:type="spellStart"/>
      <w:r w:rsidRPr="001F291B">
        <w:rPr>
          <w:rFonts w:eastAsia="Arial"/>
          <w:szCs w:val="24"/>
          <w:highlight w:val="white"/>
        </w:rPr>
        <w:t>doi</w:t>
      </w:r>
      <w:proofErr w:type="spellEnd"/>
      <w:r w:rsidRPr="001F291B">
        <w:rPr>
          <w:rFonts w:eastAsia="Arial"/>
          <w:szCs w:val="24"/>
          <w:highlight w:val="white"/>
        </w:rPr>
        <w:t xml:space="preserve">: 10.1007/s00508-021-01816-z. </w:t>
      </w:r>
      <w:proofErr w:type="spellStart"/>
      <w:r w:rsidRPr="001F291B">
        <w:rPr>
          <w:rFonts w:eastAsia="Arial"/>
          <w:szCs w:val="24"/>
          <w:highlight w:val="white"/>
        </w:rPr>
        <w:t>Epub</w:t>
      </w:r>
      <w:proofErr w:type="spellEnd"/>
      <w:r w:rsidRPr="001F291B">
        <w:rPr>
          <w:rFonts w:eastAsia="Arial"/>
          <w:szCs w:val="24"/>
          <w:highlight w:val="white"/>
        </w:rPr>
        <w:t xml:space="preserve"> 2021 Feb 5. PMID: 33547492; PMCID: PMC7864622. Accessed from: </w:t>
      </w:r>
      <w:hyperlink r:id="rId104">
        <w:r w:rsidRPr="001F291B">
          <w:rPr>
            <w:rFonts w:eastAsia="Arial"/>
            <w:szCs w:val="24"/>
            <w:highlight w:val="white"/>
          </w:rPr>
          <w:t>https://www.ncbi.nlm.nih.gov/pmc/articles/PMC7864622/</w:t>
        </w:r>
      </w:hyperlink>
      <w:r w:rsidRPr="001F291B">
        <w:rPr>
          <w:rFonts w:eastAsia="Arial"/>
          <w:szCs w:val="24"/>
          <w:highlight w:val="white"/>
        </w:rPr>
        <w:t xml:space="preserve"> </w:t>
      </w:r>
    </w:p>
    <w:p w14:paraId="4BD79DB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Inoue, M., Takahashi, M. &amp; Kai, Ichiro (2013). Impact of communicative and critical health literacy on understanding of diabetes care and self-efficacy in diabetes management: a cross-sectional study of primary care in Japan. BMC Family Practice. Accessed from:</w:t>
      </w:r>
      <w:hyperlink r:id="rId105">
        <w:r w:rsidRPr="001F291B">
          <w:rPr>
            <w:rFonts w:eastAsia="Arial"/>
            <w:szCs w:val="24"/>
          </w:rPr>
          <w:t xml:space="preserve"> https://bmcprimcare.biomedcentral.com/articles/10.1186/1471-2296-14-40</w:t>
        </w:r>
      </w:hyperlink>
    </w:p>
    <w:p w14:paraId="29CA0A9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highlight w:val="white"/>
        </w:rPr>
        <w:t>Jaykaran</w:t>
      </w:r>
      <w:proofErr w:type="spellEnd"/>
      <w:r w:rsidRPr="001F291B">
        <w:rPr>
          <w:rFonts w:eastAsia="Arial"/>
          <w:szCs w:val="24"/>
          <w:highlight w:val="white"/>
        </w:rPr>
        <w:t xml:space="preserve"> Charan and Tamoghna Biswas (2013). How to Calculate Sample Size for Different Study Designs in Medical Research? </w:t>
      </w:r>
      <w:hyperlink r:id="rId106">
        <w:r w:rsidRPr="001F291B">
          <w:rPr>
            <w:rFonts w:eastAsia="Arial"/>
            <w:szCs w:val="24"/>
          </w:rPr>
          <w:t>Indian J Psychol Med</w:t>
        </w:r>
      </w:hyperlink>
      <w:r w:rsidRPr="001F291B">
        <w:rPr>
          <w:rFonts w:eastAsia="Arial"/>
          <w:szCs w:val="24"/>
        </w:rPr>
        <w:t>. 2013 Apr-Jun; 35(2): 121–126.doi: </w:t>
      </w:r>
      <w:hyperlink r:id="rId107">
        <w:r w:rsidRPr="001F291B">
          <w:rPr>
            <w:rFonts w:eastAsia="Arial"/>
            <w:szCs w:val="24"/>
          </w:rPr>
          <w:t>10.4103/0253-7176.116232</w:t>
        </w:r>
      </w:hyperlink>
      <w:r w:rsidRPr="001F291B">
        <w:rPr>
          <w:rFonts w:eastAsia="Arial"/>
          <w:szCs w:val="24"/>
        </w:rPr>
        <w:t xml:space="preserve">. Accessed from: </w:t>
      </w:r>
      <w:hyperlink r:id="rId108">
        <w:r w:rsidRPr="001F291B">
          <w:rPr>
            <w:rFonts w:eastAsia="Arial"/>
            <w:szCs w:val="24"/>
          </w:rPr>
          <w:t>https://www.ncbi.nlm.nih.gov/pmc/articles/PMC3775042/</w:t>
        </w:r>
      </w:hyperlink>
    </w:p>
    <w:p w14:paraId="4705E50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 Jeong HJ, Lee WC. The level of collapse we are allowed: comparison of different response scales in safety attitudes questionnaire. </w:t>
      </w:r>
      <w:proofErr w:type="spellStart"/>
      <w:r w:rsidRPr="001F291B">
        <w:rPr>
          <w:rFonts w:eastAsia="Arial"/>
          <w:i/>
          <w:szCs w:val="24"/>
          <w:highlight w:val="white"/>
        </w:rPr>
        <w:t>Biom</w:t>
      </w:r>
      <w:proofErr w:type="spellEnd"/>
      <w:r w:rsidRPr="001F291B">
        <w:rPr>
          <w:rFonts w:eastAsia="Arial"/>
          <w:i/>
          <w:szCs w:val="24"/>
          <w:highlight w:val="white"/>
        </w:rPr>
        <w:t xml:space="preserve"> </w:t>
      </w:r>
      <w:proofErr w:type="spellStart"/>
      <w:r w:rsidRPr="001F291B">
        <w:rPr>
          <w:rFonts w:eastAsia="Arial"/>
          <w:i/>
          <w:szCs w:val="24"/>
          <w:highlight w:val="white"/>
        </w:rPr>
        <w:t>Biostat</w:t>
      </w:r>
      <w:proofErr w:type="spellEnd"/>
      <w:r w:rsidRPr="001F291B">
        <w:rPr>
          <w:rFonts w:eastAsia="Arial"/>
          <w:i/>
          <w:szCs w:val="24"/>
          <w:highlight w:val="white"/>
        </w:rPr>
        <w:t xml:space="preserve"> Int J</w:t>
      </w:r>
      <w:r w:rsidRPr="001F291B">
        <w:rPr>
          <w:rFonts w:eastAsia="Arial"/>
          <w:szCs w:val="24"/>
          <w:highlight w:val="white"/>
        </w:rPr>
        <w:t xml:space="preserve">. 2016;4(4):128-134. DOI: </w:t>
      </w:r>
      <w:hyperlink r:id="rId109">
        <w:r w:rsidRPr="001F291B">
          <w:rPr>
            <w:rFonts w:eastAsia="Arial"/>
            <w:szCs w:val="24"/>
            <w:highlight w:val="white"/>
          </w:rPr>
          <w:t>10.15406/bbij.2016.04.00100</w:t>
        </w:r>
      </w:hyperlink>
      <w:r w:rsidRPr="001F291B">
        <w:rPr>
          <w:rFonts w:eastAsia="Arial"/>
          <w:szCs w:val="24"/>
        </w:rPr>
        <w:t xml:space="preserve">. Accessed from: </w:t>
      </w:r>
      <w:hyperlink r:id="rId110">
        <w:r w:rsidRPr="001F291B">
          <w:rPr>
            <w:rFonts w:eastAsia="Arial"/>
            <w:szCs w:val="24"/>
          </w:rPr>
          <w:t>https://medcraveonline.com/BBIJ/the-level-of-collapse-we-are-allowed-comparison-of-different-response-scales-in-safety-attitudes-questionnaire.html</w:t>
        </w:r>
      </w:hyperlink>
      <w:r w:rsidRPr="001F291B">
        <w:rPr>
          <w:rFonts w:eastAsia="Arial"/>
          <w:szCs w:val="24"/>
        </w:rPr>
        <w:t xml:space="preserve"> </w:t>
      </w:r>
    </w:p>
    <w:p w14:paraId="4831108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John Dudovskiy. Purposive Sampling. Retrieved from: </w:t>
      </w:r>
      <w:hyperlink r:id="rId111" w:anchor=":~:text=Purposive%20sampling%20(also%20known%20as,to%20participate%20in%20the%20study">
        <w:r w:rsidRPr="001F291B">
          <w:rPr>
            <w:rFonts w:eastAsia="Arial"/>
            <w:szCs w:val="24"/>
          </w:rPr>
          <w:t>https://research-methodology.net/sampling-in-primary-data-collection/purposive-sampling/#:~:text=Purposive%20sampling%20(also%20known%20as,to%20participate%20in%20the%20study</w:t>
        </w:r>
      </w:hyperlink>
      <w:r w:rsidRPr="001F291B">
        <w:rPr>
          <w:rFonts w:eastAsia="Arial"/>
          <w:szCs w:val="24"/>
        </w:rPr>
        <w:t xml:space="preserve">. </w:t>
      </w:r>
    </w:p>
    <w:p w14:paraId="1D538E4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Johnston, R. et. al. (2018). Confounding and collinearity in regression analysis: a cautionary tale and an alternative procedure, illustrated by British voting </w:t>
      </w:r>
      <w:proofErr w:type="spellStart"/>
      <w:r w:rsidRPr="001F291B">
        <w:rPr>
          <w:rFonts w:eastAsia="Arial"/>
          <w:szCs w:val="24"/>
        </w:rPr>
        <w:t>behaviour</w:t>
      </w:r>
      <w:proofErr w:type="spellEnd"/>
      <w:r w:rsidRPr="001F291B">
        <w:rPr>
          <w:rFonts w:eastAsia="Arial"/>
          <w:szCs w:val="24"/>
        </w:rPr>
        <w:t xml:space="preserve">. Retrieved from: </w:t>
      </w:r>
      <w:hyperlink r:id="rId112">
        <w:r w:rsidRPr="001F291B">
          <w:rPr>
            <w:rFonts w:eastAsia="Arial"/>
            <w:szCs w:val="24"/>
          </w:rPr>
          <w:t>https://link.springer.com/article/10.1007/s11135-017-0584-6</w:t>
        </w:r>
      </w:hyperlink>
      <w:r w:rsidRPr="001F291B">
        <w:rPr>
          <w:rFonts w:eastAsia="Arial"/>
          <w:szCs w:val="24"/>
        </w:rPr>
        <w:t xml:space="preserve"> </w:t>
      </w:r>
    </w:p>
    <w:p w14:paraId="29859947"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Jones ESW, </w:t>
      </w:r>
      <w:proofErr w:type="spellStart"/>
      <w:r w:rsidRPr="001F291B">
        <w:rPr>
          <w:rFonts w:eastAsia="Arial"/>
          <w:szCs w:val="24"/>
          <w:highlight w:val="white"/>
        </w:rPr>
        <w:t>Esack</w:t>
      </w:r>
      <w:proofErr w:type="spellEnd"/>
      <w:r w:rsidRPr="001F291B">
        <w:rPr>
          <w:rFonts w:eastAsia="Arial"/>
          <w:szCs w:val="24"/>
          <w:highlight w:val="white"/>
        </w:rPr>
        <w:t xml:space="preserve"> I, Mangena P, Rayner BL. Hypertension in adolescents and young adults referred to a tertiary hypertension clinic in Cape Town, South Africa. Medicine (Baltimore). 2020 Nov 25;99(48</w:t>
      </w:r>
      <w:proofErr w:type="gramStart"/>
      <w:r w:rsidRPr="001F291B">
        <w:rPr>
          <w:rFonts w:eastAsia="Arial"/>
          <w:szCs w:val="24"/>
          <w:highlight w:val="white"/>
        </w:rPr>
        <w:t>):e</w:t>
      </w:r>
      <w:proofErr w:type="gramEnd"/>
      <w:r w:rsidRPr="001F291B">
        <w:rPr>
          <w:rFonts w:eastAsia="Arial"/>
          <w:szCs w:val="24"/>
          <w:highlight w:val="white"/>
        </w:rPr>
        <w:t xml:space="preserve">23137. </w:t>
      </w:r>
      <w:proofErr w:type="spellStart"/>
      <w:r w:rsidRPr="001F291B">
        <w:rPr>
          <w:rFonts w:eastAsia="Arial"/>
          <w:szCs w:val="24"/>
          <w:highlight w:val="white"/>
        </w:rPr>
        <w:t>doi</w:t>
      </w:r>
      <w:proofErr w:type="spellEnd"/>
      <w:r w:rsidRPr="001F291B">
        <w:rPr>
          <w:rFonts w:eastAsia="Arial"/>
          <w:szCs w:val="24"/>
          <w:highlight w:val="white"/>
        </w:rPr>
        <w:t xml:space="preserve">: 10.1097/MD.0000000000023137. PMID: 33235075; PMCID: PMC7710228. Accessed from: </w:t>
      </w:r>
      <w:hyperlink r:id="rId113" w:anchor=":~:text=In%20South%20Africa%20there%20has,hypertension%20%5B3%2C4%5D">
        <w:r w:rsidRPr="001F291B">
          <w:rPr>
            <w:rFonts w:eastAsia="Arial"/>
            <w:szCs w:val="24"/>
            <w:highlight w:val="white"/>
          </w:rPr>
          <w:t>https://www.ncbi.nlm.nih.gov/pmc/articles/PMC7710228/#:~:text=In%20South%20Africa%20there%20has,hypertension%20%5B3%2C4%5D</w:t>
        </w:r>
      </w:hyperlink>
      <w:r w:rsidRPr="001F291B">
        <w:rPr>
          <w:rFonts w:eastAsia="Arial"/>
          <w:szCs w:val="24"/>
          <w:highlight w:val="white"/>
        </w:rPr>
        <w:t xml:space="preserve">. </w:t>
      </w:r>
    </w:p>
    <w:p w14:paraId="0555F2B7"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Kandala NB, </w:t>
      </w:r>
      <w:proofErr w:type="spellStart"/>
      <w:r w:rsidRPr="001F291B">
        <w:rPr>
          <w:rFonts w:eastAsia="Arial"/>
          <w:szCs w:val="24"/>
          <w:highlight w:val="white"/>
        </w:rPr>
        <w:t>Nnanatu</w:t>
      </w:r>
      <w:proofErr w:type="spellEnd"/>
      <w:r w:rsidRPr="001F291B">
        <w:rPr>
          <w:rFonts w:eastAsia="Arial"/>
          <w:szCs w:val="24"/>
          <w:highlight w:val="white"/>
        </w:rPr>
        <w:t xml:space="preserve"> CC, </w:t>
      </w:r>
      <w:proofErr w:type="spellStart"/>
      <w:r w:rsidRPr="001F291B">
        <w:rPr>
          <w:rFonts w:eastAsia="Arial"/>
          <w:szCs w:val="24"/>
          <w:highlight w:val="white"/>
        </w:rPr>
        <w:t>Dukhi</w:t>
      </w:r>
      <w:proofErr w:type="spellEnd"/>
      <w:r w:rsidRPr="001F291B">
        <w:rPr>
          <w:rFonts w:eastAsia="Arial"/>
          <w:szCs w:val="24"/>
          <w:highlight w:val="white"/>
        </w:rPr>
        <w:t xml:space="preserve"> N, </w:t>
      </w:r>
      <w:proofErr w:type="spellStart"/>
      <w:r w:rsidRPr="001F291B">
        <w:rPr>
          <w:rFonts w:eastAsia="Arial"/>
          <w:szCs w:val="24"/>
          <w:highlight w:val="white"/>
        </w:rPr>
        <w:t>Sewpaul</w:t>
      </w:r>
      <w:proofErr w:type="spellEnd"/>
      <w:r w:rsidRPr="001F291B">
        <w:rPr>
          <w:rFonts w:eastAsia="Arial"/>
          <w:szCs w:val="24"/>
          <w:highlight w:val="white"/>
        </w:rPr>
        <w:t xml:space="preserve"> R, Davids A, Reddy SP. Mapping the Burden of Hypertension in South Africa: A Comparative Analysis of the National </w:t>
      </w:r>
      <w:r w:rsidRPr="001F291B">
        <w:rPr>
          <w:rFonts w:eastAsia="Arial"/>
          <w:szCs w:val="24"/>
          <w:highlight w:val="white"/>
        </w:rPr>
        <w:lastRenderedPageBreak/>
        <w:t xml:space="preserve">2012 SANHANES and the 2016 Demographic and Health Survey. Int J Environ Res Public Health. 2021 May 19;18(10):5445. </w:t>
      </w:r>
      <w:proofErr w:type="spellStart"/>
      <w:r w:rsidRPr="001F291B">
        <w:rPr>
          <w:rFonts w:eastAsia="Arial"/>
          <w:szCs w:val="24"/>
          <w:highlight w:val="white"/>
        </w:rPr>
        <w:t>doi</w:t>
      </w:r>
      <w:proofErr w:type="spellEnd"/>
      <w:r w:rsidRPr="001F291B">
        <w:rPr>
          <w:rFonts w:eastAsia="Arial"/>
          <w:szCs w:val="24"/>
          <w:highlight w:val="white"/>
        </w:rPr>
        <w:t xml:space="preserve">: 10.3390/ijerph18105445. PMID: 34069668; PMCID: PMC8160950. Accessed from: </w:t>
      </w:r>
      <w:hyperlink r:id="rId114">
        <w:r w:rsidRPr="001F291B">
          <w:rPr>
            <w:rFonts w:eastAsia="Arial"/>
            <w:szCs w:val="24"/>
            <w:highlight w:val="white"/>
          </w:rPr>
          <w:t>https://www.ncbi.nlm.nih.gov/pmc/articles/PMC8160950/</w:t>
        </w:r>
      </w:hyperlink>
      <w:r w:rsidRPr="001F291B">
        <w:rPr>
          <w:rFonts w:eastAsia="Arial"/>
          <w:szCs w:val="24"/>
          <w:highlight w:val="white"/>
        </w:rPr>
        <w:t xml:space="preserve"> </w:t>
      </w:r>
    </w:p>
    <w:p w14:paraId="4D4D199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Khajedaluee</w:t>
      </w:r>
      <w:proofErr w:type="spellEnd"/>
      <w:r w:rsidRPr="001F291B">
        <w:rPr>
          <w:rFonts w:eastAsia="Arial"/>
          <w:szCs w:val="24"/>
        </w:rPr>
        <w:t xml:space="preserve">, M. et al. (2016). The prevalence of hypertension and its relationship with demographic factors, biomedical, and anthropometric indicators: A population-based study. Retrieved from: </w:t>
      </w:r>
      <w:hyperlink r:id="rId115">
        <w:r w:rsidRPr="001F291B">
          <w:rPr>
            <w:rFonts w:eastAsia="Arial"/>
            <w:szCs w:val="24"/>
          </w:rPr>
          <w:t>https://www.ncbi.nlm.nih.gov/pmc/articles/PMC5455324/</w:t>
        </w:r>
      </w:hyperlink>
      <w:r w:rsidRPr="001F291B">
        <w:rPr>
          <w:rFonts w:eastAsia="Arial"/>
          <w:szCs w:val="24"/>
        </w:rPr>
        <w:t xml:space="preserve"> </w:t>
      </w:r>
    </w:p>
    <w:p w14:paraId="21DC92A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Knell G, Robertson MC, Dooley EE, Burford K, Mendez KS. Health Behavior Changes During COVID-19 Pandemic and Subsequent "Stay-at-Home" Orders. Int J Environ Res Public Health. 2020 Aug 28;17(17):6268. </w:t>
      </w:r>
      <w:proofErr w:type="spellStart"/>
      <w:r w:rsidRPr="001F291B">
        <w:rPr>
          <w:rFonts w:eastAsia="Arial"/>
          <w:szCs w:val="24"/>
          <w:highlight w:val="white"/>
        </w:rPr>
        <w:t>doi</w:t>
      </w:r>
      <w:proofErr w:type="spellEnd"/>
      <w:r w:rsidRPr="001F291B">
        <w:rPr>
          <w:rFonts w:eastAsia="Arial"/>
          <w:szCs w:val="24"/>
          <w:highlight w:val="white"/>
        </w:rPr>
        <w:t xml:space="preserve">: 10.3390/ijerph17176268. PMID: 32872179; PMCID: PMC7504386. Accessed from: </w:t>
      </w:r>
      <w:hyperlink r:id="rId116">
        <w:r w:rsidRPr="001F291B">
          <w:rPr>
            <w:rFonts w:eastAsia="Arial"/>
            <w:szCs w:val="24"/>
            <w:highlight w:val="white"/>
          </w:rPr>
          <w:t>https://www.ncbi.nlm.nih.gov/pmc/articles/PMC7504386/</w:t>
        </w:r>
      </w:hyperlink>
      <w:r w:rsidRPr="001F291B">
        <w:rPr>
          <w:rFonts w:eastAsia="Arial"/>
          <w:szCs w:val="24"/>
          <w:highlight w:val="white"/>
        </w:rPr>
        <w:t xml:space="preserve"> </w:t>
      </w:r>
    </w:p>
    <w:p w14:paraId="25F2B26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Laar, A.K., et. al. (2019). Health system challenges to hypertension and related non-communicable diseases prevention and treatment: perspectives from Ghanaian stakeholders. BMC Health Services Research. Accessed from: </w:t>
      </w:r>
      <w:hyperlink r:id="rId117">
        <w:r w:rsidRPr="001F291B">
          <w:rPr>
            <w:rFonts w:eastAsia="Arial"/>
            <w:szCs w:val="24"/>
          </w:rPr>
          <w:t>https://bmchealthservres.biomedcentral.com/articles/10.1186/s12913-019-4571-6</w:t>
        </w:r>
      </w:hyperlink>
      <w:r w:rsidRPr="001F291B">
        <w:rPr>
          <w:rFonts w:eastAsia="Arial"/>
          <w:szCs w:val="24"/>
        </w:rPr>
        <w:t xml:space="preserve"> </w:t>
      </w:r>
    </w:p>
    <w:p w14:paraId="6AB24FC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Levinthal, B.R., </w:t>
      </w:r>
      <w:r w:rsidRPr="001F291B">
        <w:rPr>
          <w:rFonts w:eastAsia="Arial"/>
          <w:i/>
          <w:szCs w:val="24"/>
        </w:rPr>
        <w:t xml:space="preserve">et. al. </w:t>
      </w:r>
      <w:r w:rsidRPr="001F291B">
        <w:rPr>
          <w:rFonts w:eastAsia="Arial"/>
          <w:szCs w:val="24"/>
        </w:rPr>
        <w:t xml:space="preserve">(2008). Cognition and Health Literacy in Patients with Hypertensions. J Gen Intern Med. 2008 Aug; 23(8): 1172-1176. Published online 2008 May 6. Accessed from: </w:t>
      </w:r>
      <w:hyperlink r:id="rId118">
        <w:r w:rsidRPr="001F291B">
          <w:rPr>
            <w:rFonts w:eastAsia="Arial"/>
            <w:szCs w:val="24"/>
          </w:rPr>
          <w:t>https://www.ncbi.nlm.nih.gov/pmc/articles/PMC2517973/</w:t>
        </w:r>
      </w:hyperlink>
      <w:r w:rsidRPr="001F291B">
        <w:rPr>
          <w:rFonts w:eastAsia="Arial"/>
          <w:szCs w:val="24"/>
        </w:rPr>
        <w:t xml:space="preserve"> </w:t>
      </w:r>
    </w:p>
    <w:p w14:paraId="55AAD6D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Lionakis</w:t>
      </w:r>
      <w:proofErr w:type="spellEnd"/>
      <w:r w:rsidRPr="001F291B">
        <w:rPr>
          <w:rFonts w:eastAsia="Arial"/>
          <w:szCs w:val="24"/>
        </w:rPr>
        <w:t xml:space="preserve"> N., et al. (2012). Hypertension in the elderly. Accessed from: </w:t>
      </w:r>
      <w:hyperlink r:id="rId119">
        <w:r w:rsidRPr="001F291B">
          <w:rPr>
            <w:rFonts w:eastAsia="Arial"/>
            <w:szCs w:val="24"/>
          </w:rPr>
          <w:t>https://www.ncbi.nlm.nih.gov/pmc/articles/PMC3364500/</w:t>
        </w:r>
      </w:hyperlink>
      <w:r w:rsidRPr="001F291B">
        <w:rPr>
          <w:rFonts w:eastAsia="Arial"/>
          <w:szCs w:val="24"/>
        </w:rPr>
        <w:t xml:space="preserve"> </w:t>
      </w:r>
    </w:p>
    <w:p w14:paraId="79AA36E0" w14:textId="3C9D684D" w:rsidR="005C6D2F"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Liu, J., Yin, H., Zheng, T. </w:t>
      </w:r>
      <w:r w:rsidRPr="001F291B">
        <w:rPr>
          <w:rFonts w:eastAsia="Arial"/>
          <w:i/>
          <w:szCs w:val="24"/>
          <w:highlight w:val="white"/>
        </w:rPr>
        <w:t>et al.</w:t>
      </w:r>
      <w:r w:rsidRPr="001F291B">
        <w:rPr>
          <w:rFonts w:eastAsia="Arial"/>
          <w:szCs w:val="24"/>
          <w:highlight w:val="white"/>
        </w:rPr>
        <w:t xml:space="preserve"> Primary health institutions preference by hypertensive patients: effect of distance, </w:t>
      </w:r>
      <w:proofErr w:type="gramStart"/>
      <w:r w:rsidRPr="001F291B">
        <w:rPr>
          <w:rFonts w:eastAsia="Arial"/>
          <w:szCs w:val="24"/>
          <w:highlight w:val="white"/>
        </w:rPr>
        <w:t>trust</w:t>
      </w:r>
      <w:proofErr w:type="gramEnd"/>
      <w:r w:rsidRPr="001F291B">
        <w:rPr>
          <w:rFonts w:eastAsia="Arial"/>
          <w:szCs w:val="24"/>
          <w:highlight w:val="white"/>
        </w:rPr>
        <w:t xml:space="preserve"> and quality of management in the rural Heilongjiang province of China. </w:t>
      </w:r>
      <w:r w:rsidRPr="001F291B">
        <w:rPr>
          <w:rFonts w:eastAsia="Arial"/>
          <w:i/>
          <w:szCs w:val="24"/>
          <w:highlight w:val="white"/>
        </w:rPr>
        <w:t>BMC Health Serv Res</w:t>
      </w:r>
      <w:r w:rsidRPr="001F291B">
        <w:rPr>
          <w:rFonts w:eastAsia="Arial"/>
          <w:szCs w:val="24"/>
          <w:highlight w:val="white"/>
        </w:rPr>
        <w:t xml:space="preserve"> 19, 852 (2019). </w:t>
      </w:r>
      <w:hyperlink r:id="rId120">
        <w:r w:rsidRPr="001F291B">
          <w:rPr>
            <w:rFonts w:eastAsia="Arial"/>
            <w:szCs w:val="24"/>
            <w:highlight w:val="white"/>
          </w:rPr>
          <w:t>https://doi.org/10.1186/s12913-019-4465-7</w:t>
        </w:r>
      </w:hyperlink>
      <w:r w:rsidRPr="001F291B">
        <w:rPr>
          <w:rFonts w:eastAsia="Arial"/>
          <w:szCs w:val="24"/>
          <w:highlight w:val="white"/>
        </w:rPr>
        <w:t xml:space="preserve"> </w:t>
      </w:r>
    </w:p>
    <w:p w14:paraId="34A9F174" w14:textId="1F3970D4"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Lor, M., </w:t>
      </w:r>
      <w:proofErr w:type="spellStart"/>
      <w:r w:rsidRPr="001F291B">
        <w:rPr>
          <w:rFonts w:eastAsia="Arial"/>
          <w:szCs w:val="24"/>
        </w:rPr>
        <w:t>Koleck</w:t>
      </w:r>
      <w:proofErr w:type="spellEnd"/>
      <w:r w:rsidRPr="001F291B">
        <w:rPr>
          <w:rFonts w:eastAsia="Arial"/>
          <w:szCs w:val="24"/>
        </w:rPr>
        <w:t xml:space="preserve">, T.A., Bakken, S. </w:t>
      </w:r>
      <w:r w:rsidRPr="001F291B">
        <w:rPr>
          <w:rFonts w:eastAsia="Arial"/>
          <w:i/>
          <w:szCs w:val="24"/>
        </w:rPr>
        <w:t>et al.</w:t>
      </w:r>
      <w:r w:rsidRPr="001F291B">
        <w:rPr>
          <w:rFonts w:eastAsia="Arial"/>
          <w:i/>
          <w:szCs w:val="24"/>
          <w:highlight w:val="white"/>
        </w:rPr>
        <w:t xml:space="preserve"> (2019)</w:t>
      </w:r>
      <w:r w:rsidRPr="001F291B">
        <w:rPr>
          <w:rFonts w:eastAsia="Arial"/>
          <w:szCs w:val="24"/>
          <w:highlight w:val="white"/>
        </w:rPr>
        <w:t xml:space="preserve">. Association between health literacy and medication adherence among Hispanics with hypertension. </w:t>
      </w:r>
      <w:r w:rsidRPr="001F291B">
        <w:rPr>
          <w:rFonts w:eastAsia="Arial"/>
          <w:szCs w:val="24"/>
        </w:rPr>
        <w:t xml:space="preserve">J. Racial and Ethnic Health Disparities (2019) 6: 517. Accessed from: </w:t>
      </w:r>
      <w:hyperlink r:id="rId121">
        <w:r w:rsidRPr="001F291B">
          <w:rPr>
            <w:rFonts w:eastAsia="Arial"/>
            <w:szCs w:val="24"/>
          </w:rPr>
          <w:t>https://link.springer.com/article/10.1007/s40615-018-00550-z</w:t>
        </w:r>
      </w:hyperlink>
      <w:r w:rsidRPr="001F291B">
        <w:rPr>
          <w:rFonts w:eastAsia="Arial"/>
          <w:szCs w:val="24"/>
        </w:rPr>
        <w:t xml:space="preserve"> </w:t>
      </w:r>
    </w:p>
    <w:p w14:paraId="76A0C66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Low, W.Y., </w:t>
      </w:r>
      <w:r w:rsidRPr="001F291B">
        <w:rPr>
          <w:rFonts w:eastAsia="Arial"/>
          <w:i/>
          <w:szCs w:val="24"/>
          <w:highlight w:val="white"/>
        </w:rPr>
        <w:t>et al</w:t>
      </w:r>
      <w:r w:rsidRPr="001F291B">
        <w:rPr>
          <w:rFonts w:eastAsia="Arial"/>
          <w:szCs w:val="24"/>
          <w:highlight w:val="white"/>
        </w:rPr>
        <w:t xml:space="preserve"> (2015). Non-communicable diseases in the Asia-Pacific Region: Prevalence, risk factors and community-based prevention. Int J </w:t>
      </w:r>
      <w:proofErr w:type="spellStart"/>
      <w:r w:rsidRPr="001F291B">
        <w:rPr>
          <w:rFonts w:eastAsia="Arial"/>
          <w:szCs w:val="24"/>
          <w:highlight w:val="white"/>
        </w:rPr>
        <w:t>Occup</w:t>
      </w:r>
      <w:proofErr w:type="spellEnd"/>
      <w:r w:rsidRPr="001F291B">
        <w:rPr>
          <w:rFonts w:eastAsia="Arial"/>
          <w:szCs w:val="24"/>
          <w:highlight w:val="white"/>
        </w:rPr>
        <w:t xml:space="preserve"> Med Environ Health. 2015;28(1):20-6. </w:t>
      </w:r>
      <w:proofErr w:type="spellStart"/>
      <w:r w:rsidRPr="001F291B">
        <w:rPr>
          <w:rFonts w:eastAsia="Arial"/>
          <w:szCs w:val="24"/>
          <w:highlight w:val="white"/>
        </w:rPr>
        <w:t>doi</w:t>
      </w:r>
      <w:proofErr w:type="spellEnd"/>
      <w:r w:rsidRPr="001F291B">
        <w:rPr>
          <w:rFonts w:eastAsia="Arial"/>
          <w:szCs w:val="24"/>
          <w:highlight w:val="white"/>
        </w:rPr>
        <w:t xml:space="preserve">: 10.2478/s13382-014-0326-0. Retrieved from: </w:t>
      </w:r>
      <w:hyperlink r:id="rId122">
        <w:r w:rsidRPr="001F291B">
          <w:rPr>
            <w:rFonts w:eastAsia="Arial"/>
            <w:szCs w:val="24"/>
            <w:highlight w:val="white"/>
          </w:rPr>
          <w:t>http://ijomeh.eu/Non-communicable-diseases-in-the-asia-pacific-region-prevalence-risk-factors-and-community-based-prevention,1929,0,2.html</w:t>
        </w:r>
      </w:hyperlink>
    </w:p>
    <w:p w14:paraId="10E95B4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Matsuzaki, M., Sherr, K., Augusto, O. </w:t>
      </w:r>
      <w:r w:rsidRPr="001F291B">
        <w:rPr>
          <w:rFonts w:eastAsia="Arial"/>
          <w:i/>
          <w:szCs w:val="24"/>
          <w:highlight w:val="white"/>
        </w:rPr>
        <w:t>et al.</w:t>
      </w:r>
      <w:r w:rsidRPr="001F291B">
        <w:rPr>
          <w:rFonts w:eastAsia="Arial"/>
          <w:szCs w:val="24"/>
          <w:highlight w:val="white"/>
        </w:rPr>
        <w:t> The prevalence of hypertension and its distribution by sociodemographic factors in Central Mozambique: a cross sectional study. </w:t>
      </w:r>
      <w:r w:rsidRPr="001F291B">
        <w:rPr>
          <w:rFonts w:eastAsia="Arial"/>
          <w:i/>
          <w:szCs w:val="24"/>
          <w:highlight w:val="white"/>
        </w:rPr>
        <w:t>BMC Public Health</w:t>
      </w:r>
      <w:r w:rsidRPr="001F291B">
        <w:rPr>
          <w:rFonts w:eastAsia="Arial"/>
          <w:szCs w:val="24"/>
          <w:highlight w:val="white"/>
        </w:rPr>
        <w:t> </w:t>
      </w:r>
      <w:r w:rsidRPr="001F291B">
        <w:rPr>
          <w:rFonts w:eastAsia="Arial"/>
          <w:b/>
          <w:szCs w:val="24"/>
          <w:highlight w:val="white"/>
        </w:rPr>
        <w:t>20, </w:t>
      </w:r>
      <w:r w:rsidRPr="001F291B">
        <w:rPr>
          <w:rFonts w:eastAsia="Arial"/>
          <w:szCs w:val="24"/>
          <w:highlight w:val="white"/>
        </w:rPr>
        <w:t>1843 (2020). https://doi.org/10.1186/s12889-020-09947-0</w:t>
      </w:r>
      <w:r w:rsidRPr="001F291B">
        <w:rPr>
          <w:rFonts w:eastAsia="Arial"/>
          <w:szCs w:val="24"/>
        </w:rPr>
        <w:t xml:space="preserve">. Retrieved from: </w:t>
      </w:r>
      <w:hyperlink r:id="rId123" w:anchor="citeas">
        <w:r w:rsidRPr="001F291B">
          <w:rPr>
            <w:rFonts w:eastAsia="Arial"/>
            <w:szCs w:val="24"/>
          </w:rPr>
          <w:t>https://bmcpublichealth.biomedcentral.com/articles/10.1186/s12889-020-09947-0#citeas</w:t>
        </w:r>
      </w:hyperlink>
      <w:r w:rsidRPr="001F291B">
        <w:rPr>
          <w:rFonts w:eastAsia="Arial"/>
          <w:szCs w:val="24"/>
        </w:rPr>
        <w:t xml:space="preserve"> </w:t>
      </w:r>
    </w:p>
    <w:p w14:paraId="635E98A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McNaughton C.D., Jacobson, T.A., &amp; Kripalani, S. (McNaughton, Jacobson &amp; Kripalani, 2014). Low Literacy is associated with Uncontrolled blood </w:t>
      </w:r>
      <w:proofErr w:type="gramStart"/>
      <w:r w:rsidRPr="001F291B">
        <w:rPr>
          <w:rFonts w:eastAsia="Arial"/>
          <w:szCs w:val="24"/>
        </w:rPr>
        <w:t>pressure</w:t>
      </w:r>
      <w:proofErr w:type="gramEnd"/>
      <w:r w:rsidRPr="001F291B">
        <w:rPr>
          <w:rFonts w:eastAsia="Arial"/>
          <w:szCs w:val="24"/>
        </w:rPr>
        <w:t xml:space="preserve"> Primary Care Patients with Hypertension and Heart Disease. </w:t>
      </w:r>
      <w:r w:rsidRPr="001F291B">
        <w:rPr>
          <w:rFonts w:eastAsia="Arial"/>
          <w:szCs w:val="24"/>
          <w:highlight w:val="white"/>
        </w:rPr>
        <w:t xml:space="preserve">Patient Educ Couns. 2014 Aug; 96(2): 165–170. Accessed from: </w:t>
      </w:r>
      <w:hyperlink r:id="rId124">
        <w:r w:rsidRPr="001F291B">
          <w:rPr>
            <w:rFonts w:eastAsia="Arial"/>
            <w:szCs w:val="24"/>
            <w:highlight w:val="white"/>
          </w:rPr>
          <w:t>https://www.ncbi.nlm.nih.gov/pmc/articles/PMC4102336/</w:t>
        </w:r>
      </w:hyperlink>
      <w:r w:rsidRPr="001F291B">
        <w:rPr>
          <w:rFonts w:eastAsia="Arial"/>
          <w:szCs w:val="24"/>
          <w:highlight w:val="white"/>
        </w:rPr>
        <w:t xml:space="preserve"> </w:t>
      </w:r>
    </w:p>
    <w:p w14:paraId="3F13999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Mills, K.T., </w:t>
      </w:r>
      <w:r w:rsidRPr="001F291B">
        <w:rPr>
          <w:rFonts w:eastAsia="Arial"/>
          <w:i/>
          <w:szCs w:val="24"/>
        </w:rPr>
        <w:t>et al</w:t>
      </w:r>
      <w:r w:rsidRPr="001F291B">
        <w:rPr>
          <w:rFonts w:eastAsia="Arial"/>
          <w:szCs w:val="24"/>
        </w:rPr>
        <w:t xml:space="preserve"> (2016). Global Disparities of Hypertension Prevalence and Control: A Systematic Analysis of Population-based Studies from 90 Countries. Circulation. 2016 Aug 9: 134(6): 441-450. </w:t>
      </w:r>
      <w:proofErr w:type="spellStart"/>
      <w:r w:rsidRPr="001F291B">
        <w:rPr>
          <w:rFonts w:eastAsia="Arial"/>
          <w:szCs w:val="24"/>
          <w:highlight w:val="white"/>
        </w:rPr>
        <w:t>doi</w:t>
      </w:r>
      <w:proofErr w:type="spellEnd"/>
      <w:r w:rsidRPr="001F291B">
        <w:rPr>
          <w:rFonts w:eastAsia="Arial"/>
          <w:szCs w:val="24"/>
          <w:highlight w:val="white"/>
        </w:rPr>
        <w:t>: </w:t>
      </w:r>
      <w:hyperlink r:id="rId125">
        <w:r w:rsidRPr="001F291B">
          <w:rPr>
            <w:rFonts w:eastAsia="Arial"/>
            <w:szCs w:val="24"/>
            <w:highlight w:val="white"/>
          </w:rPr>
          <w:t>10.1161/CIRCULATIONAHA.115.018912</w:t>
        </w:r>
      </w:hyperlink>
      <w:r w:rsidRPr="001F291B">
        <w:rPr>
          <w:rFonts w:eastAsia="Arial"/>
          <w:szCs w:val="24"/>
        </w:rPr>
        <w:t xml:space="preserve">. Retrieved from: </w:t>
      </w:r>
      <w:hyperlink r:id="rId126">
        <w:r w:rsidRPr="001F291B">
          <w:rPr>
            <w:rFonts w:eastAsia="Arial"/>
            <w:szCs w:val="24"/>
          </w:rPr>
          <w:t>https://www.ncbi.nlm.nih.gov/pmc/articles/PMC4979614/</w:t>
        </w:r>
      </w:hyperlink>
      <w:r w:rsidRPr="001F291B">
        <w:rPr>
          <w:rFonts w:eastAsia="Arial"/>
          <w:szCs w:val="24"/>
        </w:rPr>
        <w:t xml:space="preserve"> </w:t>
      </w:r>
    </w:p>
    <w:p w14:paraId="6DF8C61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Min, H., </w:t>
      </w:r>
      <w:r w:rsidRPr="001F291B">
        <w:rPr>
          <w:rFonts w:eastAsia="Arial"/>
          <w:i/>
          <w:szCs w:val="24"/>
        </w:rPr>
        <w:t>et al</w:t>
      </w:r>
      <w:r w:rsidRPr="001F291B">
        <w:rPr>
          <w:rFonts w:eastAsia="Arial"/>
          <w:szCs w:val="24"/>
        </w:rPr>
        <w:t xml:space="preserve"> (2010). Sociodemographic Risk Factors of Diabetes and Hypertension Prevalence in Republic of Korea. SAGE-</w:t>
      </w:r>
      <w:proofErr w:type="spellStart"/>
      <w:r w:rsidRPr="001F291B">
        <w:rPr>
          <w:rFonts w:eastAsia="Arial"/>
          <w:szCs w:val="24"/>
        </w:rPr>
        <w:t>Hindawi</w:t>
      </w:r>
      <w:proofErr w:type="spellEnd"/>
      <w:r w:rsidRPr="001F291B">
        <w:rPr>
          <w:rFonts w:eastAsia="Arial"/>
          <w:szCs w:val="24"/>
        </w:rPr>
        <w:t xml:space="preserve"> Access to Research International Journal of Hypertension Volume 2010, Article ID 410794, 6 pages doi:10.4061/2010/410794. Retrieved from: </w:t>
      </w:r>
      <w:hyperlink r:id="rId127">
        <w:r w:rsidRPr="001F291B">
          <w:rPr>
            <w:rFonts w:eastAsia="Arial"/>
            <w:szCs w:val="24"/>
          </w:rPr>
          <w:t>https://www.hindawi.com/journals/ijhy/2010/410794/</w:t>
        </w:r>
      </w:hyperlink>
      <w:r w:rsidRPr="001F291B">
        <w:rPr>
          <w:rFonts w:eastAsia="Arial"/>
          <w:szCs w:val="24"/>
        </w:rPr>
        <w:t xml:space="preserve"> </w:t>
      </w:r>
    </w:p>
    <w:p w14:paraId="7BD3768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Mohd Isa, D., et al., (2021). Association of Health Literacy with Blood Pressure and Dietary Salt Intake among Adults: A Systematic Review. Nutrients. 2021 Dec; 13(12):4534. Published online 2021 Dec 17. Accessed from: </w:t>
      </w:r>
      <w:hyperlink r:id="rId128" w:anchor=":~:text=Blood%20pressure%3A%20Low%20health%20literacy,in%20the%20low%20literacy%20group">
        <w:r w:rsidRPr="001F291B">
          <w:rPr>
            <w:rFonts w:eastAsia="Arial"/>
            <w:szCs w:val="24"/>
          </w:rPr>
          <w:t>https://www.ncbi.nlm.nih.gov/pmc/articles/PMC8707038/#:~:text=Blood%20pressure%3A%20Low%20health%20literacy,in%20the%20low%20literacy%20group</w:t>
        </w:r>
      </w:hyperlink>
      <w:r w:rsidRPr="001F291B">
        <w:rPr>
          <w:rFonts w:eastAsia="Arial"/>
          <w:szCs w:val="24"/>
        </w:rPr>
        <w:t xml:space="preserve">. </w:t>
      </w:r>
    </w:p>
    <w:p w14:paraId="7A78138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Muli, S. et. al. (2020). Prevalence, Awareness, treatment, and control of hypertension in older people: results from the population-based KORA-age 1 study. BMC Public Health. Accessed from:</w:t>
      </w:r>
      <w:hyperlink r:id="rId129">
        <w:r w:rsidRPr="001F291B">
          <w:rPr>
            <w:rFonts w:eastAsia="Arial"/>
            <w:szCs w:val="24"/>
          </w:rPr>
          <w:t xml:space="preserve"> https://bmcpublichealth.biomedcentral.com/articles/10.1186/s12889-020-09165-8</w:t>
        </w:r>
      </w:hyperlink>
    </w:p>
    <w:p w14:paraId="6B9127A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Nadar SK, </w:t>
      </w:r>
      <w:proofErr w:type="spellStart"/>
      <w:r w:rsidRPr="001F291B">
        <w:rPr>
          <w:rFonts w:eastAsia="Arial"/>
          <w:szCs w:val="24"/>
          <w:highlight w:val="white"/>
        </w:rPr>
        <w:t>Tayebjee</w:t>
      </w:r>
      <w:proofErr w:type="spellEnd"/>
      <w:r w:rsidRPr="001F291B">
        <w:rPr>
          <w:rFonts w:eastAsia="Arial"/>
          <w:szCs w:val="24"/>
          <w:highlight w:val="white"/>
        </w:rPr>
        <w:t xml:space="preserve"> MH, Stowasser M, Byrd JB (Nadar et al). Managing hypertension during the COVID-19 pandemic. J Hum </w:t>
      </w:r>
      <w:proofErr w:type="spellStart"/>
      <w:r w:rsidRPr="001F291B">
        <w:rPr>
          <w:rFonts w:eastAsia="Arial"/>
          <w:szCs w:val="24"/>
          <w:highlight w:val="white"/>
        </w:rPr>
        <w:t>Hypertens</w:t>
      </w:r>
      <w:proofErr w:type="spellEnd"/>
      <w:r w:rsidRPr="001F291B">
        <w:rPr>
          <w:rFonts w:eastAsia="Arial"/>
          <w:szCs w:val="24"/>
          <w:highlight w:val="white"/>
        </w:rPr>
        <w:t xml:space="preserve">. 2020 Jun;34(6):415-417. </w:t>
      </w:r>
      <w:proofErr w:type="spellStart"/>
      <w:r w:rsidRPr="001F291B">
        <w:rPr>
          <w:rFonts w:eastAsia="Arial"/>
          <w:szCs w:val="24"/>
          <w:highlight w:val="white"/>
        </w:rPr>
        <w:t>doi</w:t>
      </w:r>
      <w:proofErr w:type="spellEnd"/>
      <w:r w:rsidRPr="001F291B">
        <w:rPr>
          <w:rFonts w:eastAsia="Arial"/>
          <w:szCs w:val="24"/>
          <w:highlight w:val="white"/>
        </w:rPr>
        <w:t xml:space="preserve">: 10.1038/s41371-020-0356-y. </w:t>
      </w:r>
      <w:proofErr w:type="spellStart"/>
      <w:r w:rsidRPr="001F291B">
        <w:rPr>
          <w:rFonts w:eastAsia="Arial"/>
          <w:szCs w:val="24"/>
          <w:highlight w:val="white"/>
        </w:rPr>
        <w:t>Epub</w:t>
      </w:r>
      <w:proofErr w:type="spellEnd"/>
      <w:r w:rsidRPr="001F291B">
        <w:rPr>
          <w:rFonts w:eastAsia="Arial"/>
          <w:szCs w:val="24"/>
          <w:highlight w:val="white"/>
        </w:rPr>
        <w:t xml:space="preserve"> 2020 May 14. PMID: 32409727; PMCID: PMC7224587. Accessed from: </w:t>
      </w:r>
      <w:hyperlink r:id="rId130">
        <w:r w:rsidRPr="001F291B">
          <w:rPr>
            <w:rFonts w:eastAsia="Arial"/>
            <w:szCs w:val="24"/>
            <w:highlight w:val="white"/>
          </w:rPr>
          <w:t>https://www.ncbi.nlm.nih.gov/pmc/articles/PMC7224587/</w:t>
        </w:r>
      </w:hyperlink>
      <w:r w:rsidRPr="001F291B">
        <w:rPr>
          <w:rFonts w:eastAsia="Arial"/>
          <w:szCs w:val="24"/>
          <w:highlight w:val="white"/>
        </w:rPr>
        <w:t xml:space="preserve">  </w:t>
      </w:r>
    </w:p>
    <w:p w14:paraId="3AAC4D1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Nakayama, K., Osaka, W., </w:t>
      </w:r>
      <w:proofErr w:type="spellStart"/>
      <w:r w:rsidRPr="001F291B">
        <w:rPr>
          <w:rFonts w:eastAsia="Arial"/>
          <w:szCs w:val="24"/>
          <w:highlight w:val="white"/>
        </w:rPr>
        <w:t>Togari</w:t>
      </w:r>
      <w:proofErr w:type="spellEnd"/>
      <w:r w:rsidRPr="001F291B">
        <w:rPr>
          <w:rFonts w:eastAsia="Arial"/>
          <w:szCs w:val="24"/>
          <w:highlight w:val="white"/>
        </w:rPr>
        <w:t xml:space="preserve">, T. </w:t>
      </w:r>
      <w:r w:rsidRPr="001F291B">
        <w:rPr>
          <w:rFonts w:eastAsia="Arial"/>
          <w:i/>
          <w:szCs w:val="24"/>
          <w:highlight w:val="white"/>
        </w:rPr>
        <w:t>et al.</w:t>
      </w:r>
      <w:r w:rsidRPr="001F291B">
        <w:rPr>
          <w:rFonts w:eastAsia="Arial"/>
          <w:szCs w:val="24"/>
          <w:highlight w:val="white"/>
        </w:rPr>
        <w:t xml:space="preserve"> Comprehensive health literacy in Japan is lower than in Europe: a validated Japanese-language assessment of health literacy. </w:t>
      </w:r>
      <w:r w:rsidRPr="001F291B">
        <w:rPr>
          <w:rFonts w:eastAsia="Arial"/>
          <w:i/>
          <w:szCs w:val="24"/>
          <w:highlight w:val="white"/>
        </w:rPr>
        <w:t>BMC Public Health</w:t>
      </w:r>
      <w:r w:rsidRPr="001F291B">
        <w:rPr>
          <w:rFonts w:eastAsia="Arial"/>
          <w:szCs w:val="24"/>
          <w:highlight w:val="white"/>
        </w:rPr>
        <w:t xml:space="preserve"> 15, 505 (2015). </w:t>
      </w:r>
      <w:hyperlink r:id="rId131">
        <w:r w:rsidRPr="001F291B">
          <w:rPr>
            <w:rFonts w:eastAsia="Arial"/>
            <w:szCs w:val="24"/>
            <w:highlight w:val="white"/>
          </w:rPr>
          <w:t>https://doi.org/10.1186/s12889-015-1835-x</w:t>
        </w:r>
      </w:hyperlink>
      <w:r w:rsidRPr="001F291B">
        <w:rPr>
          <w:rFonts w:eastAsia="Arial"/>
          <w:szCs w:val="24"/>
          <w:highlight w:val="white"/>
        </w:rPr>
        <w:t xml:space="preserve"> Accessed from: </w:t>
      </w:r>
      <w:hyperlink r:id="rId132" w:anchor="citeas">
        <w:r w:rsidRPr="001F291B">
          <w:rPr>
            <w:rFonts w:eastAsia="Arial"/>
            <w:szCs w:val="24"/>
            <w:highlight w:val="white"/>
          </w:rPr>
          <w:t>https://bmcpublichealth.biomedcentral.com/articles/10.1186/s12889-015-1835-x#citeas</w:t>
        </w:r>
      </w:hyperlink>
      <w:r w:rsidRPr="001F291B">
        <w:rPr>
          <w:rFonts w:eastAsia="Arial"/>
          <w:szCs w:val="24"/>
          <w:highlight w:val="white"/>
        </w:rPr>
        <w:t xml:space="preserve"> </w:t>
      </w:r>
    </w:p>
    <w:p w14:paraId="7F16A0E7"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National Nutrition Council (NNC, 2018). Managing Hypertension. Published: 22 May 2018. Accessed from: </w:t>
      </w:r>
      <w:hyperlink r:id="rId133">
        <w:r w:rsidRPr="001F291B">
          <w:rPr>
            <w:rFonts w:eastAsia="Arial"/>
            <w:szCs w:val="24"/>
          </w:rPr>
          <w:t>https://www.nnc.gov.ph/40-10-kumainments/2510-managing-hypertension</w:t>
        </w:r>
      </w:hyperlink>
      <w:r w:rsidRPr="001F291B">
        <w:rPr>
          <w:rFonts w:eastAsia="Arial"/>
          <w:szCs w:val="24"/>
        </w:rPr>
        <w:t xml:space="preserve">  </w:t>
      </w:r>
    </w:p>
    <w:p w14:paraId="2227C28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lastRenderedPageBreak/>
        <w:t>Nutbeam</w:t>
      </w:r>
      <w:proofErr w:type="spellEnd"/>
      <w:r w:rsidRPr="001F291B">
        <w:rPr>
          <w:rFonts w:eastAsia="Arial"/>
          <w:szCs w:val="24"/>
        </w:rPr>
        <w:t>, D. (2008). The evolving concept of health literacy. Soc Sci. Med 2008 Dec. 67 (12) 2072-</w:t>
      </w:r>
      <w:proofErr w:type="gramStart"/>
      <w:r w:rsidRPr="001F291B">
        <w:rPr>
          <w:rFonts w:eastAsia="Arial"/>
          <w:szCs w:val="24"/>
        </w:rPr>
        <w:t xml:space="preserve">8 </w:t>
      </w:r>
      <w:r w:rsidRPr="001F291B">
        <w:rPr>
          <w:rFonts w:eastAsia="Arial"/>
          <w:szCs w:val="24"/>
          <w:highlight w:val="white"/>
        </w:rPr>
        <w:t> </w:t>
      </w:r>
      <w:proofErr w:type="spellStart"/>
      <w:r w:rsidRPr="001F291B">
        <w:rPr>
          <w:rFonts w:eastAsia="Arial"/>
          <w:szCs w:val="24"/>
          <w:highlight w:val="white"/>
        </w:rPr>
        <w:t>doi</w:t>
      </w:r>
      <w:proofErr w:type="spellEnd"/>
      <w:proofErr w:type="gramEnd"/>
      <w:r w:rsidRPr="001F291B">
        <w:rPr>
          <w:rFonts w:eastAsia="Arial"/>
          <w:szCs w:val="24"/>
          <w:highlight w:val="white"/>
        </w:rPr>
        <w:t xml:space="preserve">: 10.1016/j.socscimed.2008.09.050. </w:t>
      </w:r>
      <w:proofErr w:type="spellStart"/>
      <w:r w:rsidRPr="001F291B">
        <w:rPr>
          <w:rFonts w:eastAsia="Arial"/>
          <w:szCs w:val="24"/>
          <w:highlight w:val="white"/>
        </w:rPr>
        <w:t>Epub</w:t>
      </w:r>
      <w:proofErr w:type="spellEnd"/>
      <w:r w:rsidRPr="001F291B">
        <w:rPr>
          <w:rFonts w:eastAsia="Arial"/>
          <w:szCs w:val="24"/>
          <w:highlight w:val="white"/>
        </w:rPr>
        <w:t xml:space="preserve"> 2008 Oct 25. Retrieved from: </w:t>
      </w:r>
      <w:hyperlink r:id="rId134">
        <w:r w:rsidRPr="001F291B">
          <w:rPr>
            <w:rFonts w:eastAsia="Arial"/>
            <w:szCs w:val="24"/>
          </w:rPr>
          <w:t>https://www.ncbi.nlm.nih.gov/pubmed/18952344</w:t>
        </w:r>
      </w:hyperlink>
    </w:p>
    <w:p w14:paraId="6A5F157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highlight w:val="white"/>
        </w:rPr>
        <w:t>Nutbeam</w:t>
      </w:r>
      <w:proofErr w:type="spellEnd"/>
      <w:r w:rsidRPr="001F291B">
        <w:rPr>
          <w:rFonts w:eastAsia="Arial"/>
          <w:szCs w:val="24"/>
          <w:highlight w:val="white"/>
        </w:rPr>
        <w:t xml:space="preserve"> D (2000). Health literacy as a public health goal: a challenge for contemporary health education and communication strategies </w:t>
      </w:r>
      <w:proofErr w:type="gramStart"/>
      <w:r w:rsidRPr="001F291B">
        <w:rPr>
          <w:rFonts w:eastAsia="Arial"/>
          <w:szCs w:val="24"/>
          <w:highlight w:val="white"/>
        </w:rPr>
        <w:t>into</w:t>
      </w:r>
      <w:proofErr w:type="gramEnd"/>
      <w:r w:rsidRPr="001F291B">
        <w:rPr>
          <w:rFonts w:eastAsia="Arial"/>
          <w:szCs w:val="24"/>
          <w:highlight w:val="white"/>
        </w:rPr>
        <w:t xml:space="preserve"> the 21st century. Health </w:t>
      </w:r>
      <w:proofErr w:type="spellStart"/>
      <w:r w:rsidRPr="001F291B">
        <w:rPr>
          <w:rFonts w:eastAsia="Arial"/>
          <w:szCs w:val="24"/>
          <w:highlight w:val="white"/>
        </w:rPr>
        <w:t>Promot</w:t>
      </w:r>
      <w:proofErr w:type="spellEnd"/>
      <w:r w:rsidRPr="001F291B">
        <w:rPr>
          <w:rFonts w:eastAsia="Arial"/>
          <w:szCs w:val="24"/>
          <w:highlight w:val="white"/>
        </w:rPr>
        <w:t xml:space="preserve"> Int. 2001, 15 (3): 259-267. Accessed from: </w:t>
      </w:r>
      <w:hyperlink r:id="rId135">
        <w:r w:rsidRPr="001F291B">
          <w:rPr>
            <w:rFonts w:eastAsia="Arial"/>
            <w:szCs w:val="24"/>
          </w:rPr>
          <w:t>https://academic.oup.com/heapro/article/15/3/259/551108</w:t>
        </w:r>
      </w:hyperlink>
    </w:p>
    <w:p w14:paraId="5CC6DD8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Office of Disease Prevention and Health Promotion (ODPHP, n.d.). Social Determinants of Health. Retrieved from: </w:t>
      </w:r>
      <w:hyperlink r:id="rId136">
        <w:r w:rsidRPr="001F291B">
          <w:rPr>
            <w:rFonts w:eastAsia="Arial"/>
            <w:szCs w:val="24"/>
          </w:rPr>
          <w:t>https://www.healthypeople.gov/2020/topics-objectives/topic/social-determinants-of-health</w:t>
        </w:r>
      </w:hyperlink>
    </w:p>
    <w:p w14:paraId="542C79F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Osborne, R.H., </w:t>
      </w:r>
      <w:proofErr w:type="spellStart"/>
      <w:r w:rsidRPr="001F291B">
        <w:rPr>
          <w:rFonts w:eastAsia="Arial"/>
          <w:szCs w:val="24"/>
          <w:highlight w:val="white"/>
        </w:rPr>
        <w:t>Batterham</w:t>
      </w:r>
      <w:proofErr w:type="spellEnd"/>
      <w:r w:rsidRPr="001F291B">
        <w:rPr>
          <w:rFonts w:eastAsia="Arial"/>
          <w:szCs w:val="24"/>
          <w:highlight w:val="white"/>
        </w:rPr>
        <w:t>, R.W., Elsworth, G.R. </w:t>
      </w:r>
      <w:r w:rsidRPr="001F291B">
        <w:rPr>
          <w:rFonts w:eastAsia="Arial"/>
          <w:i/>
          <w:szCs w:val="24"/>
          <w:highlight w:val="white"/>
        </w:rPr>
        <w:t>et al.</w:t>
      </w:r>
      <w:r w:rsidRPr="001F291B">
        <w:rPr>
          <w:rFonts w:eastAsia="Arial"/>
          <w:szCs w:val="24"/>
          <w:highlight w:val="white"/>
        </w:rPr>
        <w:t> The grounded psychometric development and initial validation of the Health Literacy Questionnaire (HLQ). </w:t>
      </w:r>
      <w:r w:rsidRPr="001F291B">
        <w:rPr>
          <w:rFonts w:eastAsia="Arial"/>
          <w:i/>
          <w:szCs w:val="24"/>
          <w:highlight w:val="white"/>
        </w:rPr>
        <w:t>BMC Public Health</w:t>
      </w:r>
      <w:r w:rsidRPr="001F291B">
        <w:rPr>
          <w:rFonts w:eastAsia="Arial"/>
          <w:szCs w:val="24"/>
          <w:highlight w:val="white"/>
        </w:rPr>
        <w:t> </w:t>
      </w:r>
      <w:r w:rsidRPr="001F291B">
        <w:rPr>
          <w:rFonts w:eastAsia="Arial"/>
          <w:b/>
          <w:szCs w:val="24"/>
          <w:highlight w:val="white"/>
        </w:rPr>
        <w:t>13, </w:t>
      </w:r>
      <w:r w:rsidRPr="001F291B">
        <w:rPr>
          <w:rFonts w:eastAsia="Arial"/>
          <w:szCs w:val="24"/>
          <w:highlight w:val="white"/>
        </w:rPr>
        <w:t xml:space="preserve">658 (2013) doi:10.1186/1471-2458-13-658. Retrieved from: </w:t>
      </w:r>
      <w:hyperlink r:id="rId137" w:anchor="citeas">
        <w:r w:rsidRPr="001F291B">
          <w:rPr>
            <w:rFonts w:eastAsia="Arial"/>
            <w:szCs w:val="24"/>
          </w:rPr>
          <w:t>https://bmcpublichealth.biomedcentral.com/articles/10.1186/1471-2458-13-658#citeas</w:t>
        </w:r>
      </w:hyperlink>
      <w:r w:rsidRPr="001F291B">
        <w:rPr>
          <w:rFonts w:eastAsia="Arial"/>
          <w:szCs w:val="24"/>
        </w:rPr>
        <w:t xml:space="preserve"> </w:t>
      </w:r>
    </w:p>
    <w:p w14:paraId="494F422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Oso AA, </w:t>
      </w:r>
      <w:proofErr w:type="spellStart"/>
      <w:r w:rsidRPr="001F291B">
        <w:rPr>
          <w:rFonts w:eastAsia="Arial"/>
          <w:szCs w:val="24"/>
          <w:highlight w:val="white"/>
        </w:rPr>
        <w:t>Adefurin</w:t>
      </w:r>
      <w:proofErr w:type="spellEnd"/>
      <w:r w:rsidRPr="001F291B">
        <w:rPr>
          <w:rFonts w:eastAsia="Arial"/>
          <w:szCs w:val="24"/>
          <w:highlight w:val="white"/>
        </w:rPr>
        <w:t xml:space="preserve"> A, </w:t>
      </w:r>
      <w:proofErr w:type="spellStart"/>
      <w:r w:rsidRPr="001F291B">
        <w:rPr>
          <w:rFonts w:eastAsia="Arial"/>
          <w:szCs w:val="24"/>
          <w:highlight w:val="white"/>
        </w:rPr>
        <w:t>Benneman</w:t>
      </w:r>
      <w:proofErr w:type="spellEnd"/>
      <w:r w:rsidRPr="001F291B">
        <w:rPr>
          <w:rFonts w:eastAsia="Arial"/>
          <w:szCs w:val="24"/>
          <w:highlight w:val="white"/>
        </w:rPr>
        <w:t xml:space="preserve"> MM, Oso OO, Taiwo MA, Adebiyi OO, Oluwole O. Health insurance status affects hypertension control in a hospital based internal medicine clinic. Int J </w:t>
      </w:r>
      <w:proofErr w:type="spellStart"/>
      <w:r w:rsidRPr="001F291B">
        <w:rPr>
          <w:rFonts w:eastAsia="Arial"/>
          <w:szCs w:val="24"/>
          <w:highlight w:val="white"/>
        </w:rPr>
        <w:t>Cardiol</w:t>
      </w:r>
      <w:proofErr w:type="spellEnd"/>
      <w:r w:rsidRPr="001F291B">
        <w:rPr>
          <w:rFonts w:eastAsia="Arial"/>
          <w:szCs w:val="24"/>
          <w:highlight w:val="white"/>
        </w:rPr>
        <w:t xml:space="preserve"> </w:t>
      </w:r>
      <w:proofErr w:type="spellStart"/>
      <w:r w:rsidRPr="001F291B">
        <w:rPr>
          <w:rFonts w:eastAsia="Arial"/>
          <w:szCs w:val="24"/>
          <w:highlight w:val="white"/>
        </w:rPr>
        <w:t>Hypertens</w:t>
      </w:r>
      <w:proofErr w:type="spellEnd"/>
      <w:r w:rsidRPr="001F291B">
        <w:rPr>
          <w:rFonts w:eastAsia="Arial"/>
          <w:szCs w:val="24"/>
          <w:highlight w:val="white"/>
        </w:rPr>
        <w:t xml:space="preserve">. 2019 Apr 11; 1:100003. </w:t>
      </w:r>
      <w:proofErr w:type="spellStart"/>
      <w:r w:rsidRPr="001F291B">
        <w:rPr>
          <w:rFonts w:eastAsia="Arial"/>
          <w:szCs w:val="24"/>
          <w:highlight w:val="white"/>
        </w:rPr>
        <w:t>doi</w:t>
      </w:r>
      <w:proofErr w:type="spellEnd"/>
      <w:r w:rsidRPr="001F291B">
        <w:rPr>
          <w:rFonts w:eastAsia="Arial"/>
          <w:szCs w:val="24"/>
          <w:highlight w:val="white"/>
        </w:rPr>
        <w:t xml:space="preserve">: 10.1016/j.ijchy.2019.100003. PMID: 33447737; PMCID: PMC7803069. Accessed from: </w:t>
      </w:r>
      <w:hyperlink r:id="rId138">
        <w:r w:rsidRPr="001F291B">
          <w:rPr>
            <w:rFonts w:eastAsia="Arial"/>
            <w:szCs w:val="24"/>
            <w:highlight w:val="white"/>
          </w:rPr>
          <w:t>https://www.ncbi.nlm.nih.gov/pmc/articles/PMC7803069/</w:t>
        </w:r>
      </w:hyperlink>
      <w:r w:rsidRPr="001F291B">
        <w:rPr>
          <w:rFonts w:eastAsia="Arial"/>
          <w:szCs w:val="24"/>
          <w:highlight w:val="white"/>
        </w:rPr>
        <w:t xml:space="preserve"> </w:t>
      </w:r>
    </w:p>
    <w:p w14:paraId="00AAD5E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Paasche-Orlow, M.K., Baur, C, Cabral, H, 2017. Welcome to the Journal HLRP: Health Literacy Research and Practice. Health Lit Res </w:t>
      </w:r>
      <w:proofErr w:type="spellStart"/>
      <w:r w:rsidRPr="001F291B">
        <w:rPr>
          <w:rFonts w:eastAsia="Arial"/>
          <w:szCs w:val="24"/>
        </w:rPr>
        <w:t>Pract</w:t>
      </w:r>
      <w:proofErr w:type="spellEnd"/>
      <w:r w:rsidRPr="001F291B">
        <w:rPr>
          <w:rFonts w:eastAsia="Arial"/>
          <w:szCs w:val="24"/>
        </w:rPr>
        <w:t xml:space="preserve">. 2017 Jan; 1(1): e14-e15. Published online 2017 Mar 23. </w:t>
      </w:r>
      <w:proofErr w:type="spellStart"/>
      <w:r w:rsidRPr="001F291B">
        <w:rPr>
          <w:rFonts w:eastAsia="Arial"/>
          <w:szCs w:val="24"/>
          <w:highlight w:val="white"/>
        </w:rPr>
        <w:t>doi</w:t>
      </w:r>
      <w:proofErr w:type="spellEnd"/>
      <w:r w:rsidRPr="001F291B">
        <w:rPr>
          <w:rFonts w:eastAsia="Arial"/>
          <w:szCs w:val="24"/>
          <w:highlight w:val="white"/>
        </w:rPr>
        <w:t xml:space="preserve">: </w:t>
      </w:r>
      <w:hyperlink r:id="rId139">
        <w:r w:rsidRPr="001F291B">
          <w:rPr>
            <w:rFonts w:eastAsia="Arial"/>
            <w:szCs w:val="24"/>
            <w:highlight w:val="white"/>
          </w:rPr>
          <w:t>10.3928/24748307-20170307-02</w:t>
        </w:r>
      </w:hyperlink>
    </w:p>
    <w:p w14:paraId="34DD983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Parker, K., et. al. (2018). Demographic and economic trends in urban, suburban, and rural communities. Accessed from: </w:t>
      </w:r>
      <w:hyperlink r:id="rId140">
        <w:r w:rsidRPr="001F291B">
          <w:rPr>
            <w:rFonts w:eastAsia="Arial"/>
            <w:szCs w:val="24"/>
          </w:rPr>
          <w:t>https://www.pewresearch.org/social-trends/2018/05/22/demographic-and-economic-trends-in-urban-suburban-and-rural-communities/</w:t>
        </w:r>
      </w:hyperlink>
      <w:r w:rsidRPr="001F291B">
        <w:rPr>
          <w:rFonts w:eastAsia="Arial"/>
          <w:szCs w:val="24"/>
        </w:rPr>
        <w:t xml:space="preserve"> </w:t>
      </w:r>
    </w:p>
    <w:p w14:paraId="3424B1B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Pateros Health Department (PHD, 2018). Annual Health Report C.Y. 2018 (Unpublished).</w:t>
      </w:r>
    </w:p>
    <w:p w14:paraId="7EC2D95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Paulsen, J. &amp; </w:t>
      </w:r>
      <w:proofErr w:type="spellStart"/>
      <w:r w:rsidRPr="001F291B">
        <w:rPr>
          <w:rFonts w:eastAsia="Arial"/>
          <w:szCs w:val="24"/>
        </w:rPr>
        <w:t>BrckaLorenz</w:t>
      </w:r>
      <w:proofErr w:type="spellEnd"/>
      <w:r w:rsidRPr="001F291B">
        <w:rPr>
          <w:rFonts w:eastAsia="Arial"/>
          <w:szCs w:val="24"/>
        </w:rPr>
        <w:t xml:space="preserve">, A. (2017). Internal consistency. FSSE Psychometric Portfolio. Retrieved from fsse.indiana.edu. Accessed from: </w:t>
      </w:r>
      <w:hyperlink r:id="rId141">
        <w:r w:rsidRPr="001F291B">
          <w:rPr>
            <w:rFonts w:eastAsia="Arial"/>
            <w:szCs w:val="24"/>
          </w:rPr>
          <w:t>https://scholarworks.iu.edu/dspace/bitstream/handle/2022/24498/FSSE17_Internal_Consistency_Reliability.pdf?sequence=1&amp;isAllowed=y</w:t>
        </w:r>
      </w:hyperlink>
      <w:r w:rsidRPr="001F291B">
        <w:rPr>
          <w:rFonts w:eastAsia="Arial"/>
          <w:szCs w:val="24"/>
        </w:rPr>
        <w:t xml:space="preserve"> </w:t>
      </w:r>
    </w:p>
    <w:p w14:paraId="1418B99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Philippine Council for Health Research and Development (PCHRD, 2018, p. 19). 17</w:t>
      </w:r>
      <w:r w:rsidRPr="001F291B">
        <w:rPr>
          <w:rFonts w:eastAsia="Arial"/>
          <w:szCs w:val="24"/>
          <w:vertAlign w:val="superscript"/>
        </w:rPr>
        <w:t>th</w:t>
      </w:r>
      <w:r w:rsidRPr="001F291B">
        <w:rPr>
          <w:rFonts w:eastAsia="Arial"/>
          <w:szCs w:val="24"/>
        </w:rPr>
        <w:t xml:space="preserve"> National Health Research Forum for Action. Full Speed AHEAD: Accelerating Universal Health Care through Health Policy and Systems Research. September 19-20, 2018. Accessed from: </w:t>
      </w:r>
      <w:hyperlink r:id="rId142">
        <w:r w:rsidRPr="001F291B">
          <w:rPr>
            <w:rFonts w:eastAsia="Arial"/>
            <w:szCs w:val="24"/>
          </w:rPr>
          <w:t>https://www.doh.gov.ph/sites/default/files/publications/17th-National-Health-Research-Forum-for-Action.pdf</w:t>
        </w:r>
      </w:hyperlink>
      <w:r w:rsidRPr="001F291B">
        <w:rPr>
          <w:rFonts w:eastAsia="Arial"/>
          <w:szCs w:val="24"/>
        </w:rPr>
        <w:t xml:space="preserve"> </w:t>
      </w:r>
    </w:p>
    <w:p w14:paraId="13954D3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Philippine Health Statistics (2016). The 2016 Philippine Health Statistics, pp. 105, 161-166. Epidemiology Bureau. Department of Health. Manila. Accessed from: </w:t>
      </w:r>
      <w:hyperlink r:id="rId143">
        <w:r w:rsidRPr="001F291B">
          <w:rPr>
            <w:rFonts w:eastAsia="Arial"/>
            <w:szCs w:val="24"/>
          </w:rPr>
          <w:t>https://www.doh.gov.ph/sites/default/files/publications/2016_PHILIPPINE-HEALTH-STATISTICS.pdf</w:t>
        </w:r>
      </w:hyperlink>
      <w:r w:rsidRPr="001F291B">
        <w:rPr>
          <w:rFonts w:eastAsia="Arial"/>
          <w:szCs w:val="24"/>
        </w:rPr>
        <w:t xml:space="preserve"> </w:t>
      </w:r>
    </w:p>
    <w:p w14:paraId="61BF417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Institute for Development Studies (PIDS), 2018. Defining and Profiling the Middle Class. Access from: </w:t>
      </w:r>
      <w:hyperlink r:id="rId144">
        <w:r w:rsidRPr="001F291B">
          <w:rPr>
            <w:rFonts w:eastAsia="Arial"/>
            <w:szCs w:val="24"/>
          </w:rPr>
          <w:t>https://pidswebs.pids.gov.ph/CDN/PUBLICATIONS/pidspn1818.pdf</w:t>
        </w:r>
      </w:hyperlink>
      <w:r w:rsidRPr="001F291B">
        <w:rPr>
          <w:rFonts w:eastAsia="Arial"/>
          <w:szCs w:val="24"/>
        </w:rPr>
        <w:t xml:space="preserve">  </w:t>
      </w:r>
    </w:p>
    <w:p w14:paraId="01405FCF" w14:textId="77777777" w:rsidR="007C6854" w:rsidRPr="001F291B" w:rsidRDefault="00E0219E" w:rsidP="00FD5DC4">
      <w:pPr>
        <w:spacing w:after="240" w:line="240" w:lineRule="auto"/>
        <w:ind w:left="480" w:hanging="720"/>
        <w:jc w:val="both"/>
        <w:rPr>
          <w:rFonts w:eastAsia="Arial"/>
          <w:szCs w:val="24"/>
        </w:rPr>
      </w:pPr>
      <w:r w:rsidRPr="001F291B">
        <w:rPr>
          <w:rFonts w:eastAsia="Arial"/>
          <w:szCs w:val="24"/>
        </w:rPr>
        <w:t xml:space="preserve">Philippine Statistics Authority (PSA) and ICF, 2018. Philippines National Demographic and Health Survey 2017: Key Indicators. Quezon City, Philippines, and Rockville, Maryland, USA: PSA and ICF. Accessed from: </w:t>
      </w:r>
      <w:hyperlink r:id="rId145">
        <w:r w:rsidRPr="001F291B">
          <w:rPr>
            <w:rFonts w:eastAsia="Arial"/>
            <w:szCs w:val="24"/>
          </w:rPr>
          <w:t>https://psa.gov.ph/sites/default/files/Philippines%20NDHS%20KIR.pdf</w:t>
        </w:r>
      </w:hyperlink>
      <w:r w:rsidRPr="001F291B">
        <w:rPr>
          <w:rFonts w:eastAsia="Arial"/>
          <w:szCs w:val="24"/>
        </w:rPr>
        <w:t xml:space="preserve"> </w:t>
      </w:r>
    </w:p>
    <w:p w14:paraId="1DA8444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(PSA, 2010). 2010 Census-based Population Projections in collaboration with the Inter-Agency Working Group on Population Projections - Table 4. Projected Population, by Age Group, Sex, and by Single-Calendar Year Interval, Philippines: 2010 - 2020 (Medium Assumption). Accessed from: </w:t>
      </w:r>
      <w:hyperlink r:id="rId146">
        <w:r w:rsidRPr="001F291B">
          <w:rPr>
            <w:rFonts w:eastAsia="Arial"/>
            <w:szCs w:val="24"/>
          </w:rPr>
          <w:t>https://psa.gov.ph/sites/default/files/attachments/hsd/pressrelease/Table4_9.pdf</w:t>
        </w:r>
      </w:hyperlink>
    </w:p>
    <w:p w14:paraId="5B50BEA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(PSA, 2011). Literacy of Men and Women in the Philippines (Results from 2008 Functional Literacy, Education and Mass Media Survey). Accessed from: </w:t>
      </w:r>
      <w:hyperlink r:id="rId147">
        <w:r w:rsidRPr="001F291B">
          <w:rPr>
            <w:rFonts w:eastAsia="Arial"/>
            <w:szCs w:val="24"/>
          </w:rPr>
          <w:t>https://psa.gov.ph/content/literacy-men-and-women-philippines-results-2008-functional-literacy-education-and-mass-media</w:t>
        </w:r>
      </w:hyperlink>
      <w:r w:rsidRPr="001F291B">
        <w:rPr>
          <w:rFonts w:eastAsia="Arial"/>
          <w:szCs w:val="24"/>
        </w:rPr>
        <w:t xml:space="preserve"> </w:t>
      </w:r>
    </w:p>
    <w:p w14:paraId="43AEBDA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(PSA, 2016). Highlights on Household Population, Number of Households, and Average Household Size of the Philippines (2015 Census of Population). Retrieved from: </w:t>
      </w:r>
      <w:hyperlink r:id="rId148">
        <w:r w:rsidRPr="001F291B">
          <w:rPr>
            <w:rFonts w:eastAsia="Arial"/>
            <w:szCs w:val="24"/>
          </w:rPr>
          <w:t>https://psa.gov.ph/content/highlights-household-population-number-households-and-average-household-size-philippines</w:t>
        </w:r>
      </w:hyperlink>
    </w:p>
    <w:p w14:paraId="21ADD16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(PSA, 2017). 2015 Census of Population – Final Results Pateros. Accessed from: </w:t>
      </w:r>
      <w:hyperlink r:id="rId149">
        <w:r w:rsidRPr="001F291B">
          <w:rPr>
            <w:rFonts w:eastAsia="Arial"/>
            <w:szCs w:val="24"/>
          </w:rPr>
          <w:t>http://rssoncr.psa.gov.ph/article/2015-census-population-final-results-pateros</w:t>
        </w:r>
      </w:hyperlink>
      <w:r w:rsidRPr="001F291B">
        <w:rPr>
          <w:rFonts w:eastAsia="Arial"/>
          <w:szCs w:val="24"/>
        </w:rPr>
        <w:t xml:space="preserve"> </w:t>
      </w:r>
    </w:p>
    <w:p w14:paraId="24476FA7" w14:textId="77777777" w:rsidR="007C6854" w:rsidRPr="001F291B" w:rsidRDefault="00E0219E" w:rsidP="00FD5DC4">
      <w:pPr>
        <w:spacing w:after="240" w:line="240" w:lineRule="auto"/>
        <w:ind w:left="480" w:hanging="720"/>
        <w:jc w:val="both"/>
        <w:rPr>
          <w:rFonts w:eastAsia="Arial"/>
          <w:szCs w:val="24"/>
        </w:rPr>
      </w:pPr>
      <w:r w:rsidRPr="001F291B">
        <w:rPr>
          <w:rFonts w:eastAsia="Arial"/>
          <w:szCs w:val="24"/>
        </w:rPr>
        <w:t xml:space="preserve">Philippine Statistics Authority (2018). Philippine National Demographic and Health Survey 2017. Accessed form: </w:t>
      </w:r>
      <w:hyperlink r:id="rId150">
        <w:r w:rsidRPr="001F291B">
          <w:rPr>
            <w:rFonts w:eastAsia="Arial"/>
            <w:szCs w:val="24"/>
          </w:rPr>
          <w:t>https://dhsprogram.com/pubs/pdf/FR347/FR347.pdf</w:t>
        </w:r>
      </w:hyperlink>
      <w:r w:rsidRPr="001F291B">
        <w:rPr>
          <w:rFonts w:eastAsia="Arial"/>
          <w:szCs w:val="24"/>
        </w:rPr>
        <w:t xml:space="preserve"> </w:t>
      </w:r>
    </w:p>
    <w:p w14:paraId="6393309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(2019). </w:t>
      </w:r>
      <w:r w:rsidRPr="001F291B">
        <w:rPr>
          <w:rFonts w:eastAsia="Arial"/>
          <w:i/>
          <w:szCs w:val="24"/>
        </w:rPr>
        <w:t xml:space="preserve">2019 FLEMMS: functional literacy, </w:t>
      </w:r>
      <w:proofErr w:type="gramStart"/>
      <w:r w:rsidRPr="001F291B">
        <w:rPr>
          <w:rFonts w:eastAsia="Arial"/>
          <w:i/>
          <w:szCs w:val="24"/>
        </w:rPr>
        <w:t>education</w:t>
      </w:r>
      <w:proofErr w:type="gramEnd"/>
      <w:r w:rsidRPr="001F291B">
        <w:rPr>
          <w:rFonts w:eastAsia="Arial"/>
          <w:i/>
          <w:szCs w:val="24"/>
        </w:rPr>
        <w:t xml:space="preserve"> and mass media survey.</w:t>
      </w:r>
      <w:r w:rsidRPr="001F291B">
        <w:rPr>
          <w:rFonts w:eastAsia="Arial"/>
          <w:szCs w:val="24"/>
        </w:rPr>
        <w:t xml:space="preserve"> </w:t>
      </w:r>
      <w:hyperlink r:id="rId151">
        <w:r w:rsidRPr="001F291B">
          <w:rPr>
            <w:rFonts w:eastAsia="Arial"/>
            <w:szCs w:val="24"/>
          </w:rPr>
          <w:t>https://psa.gov.ph/sites/default/files/2019-FLEMMS-Final-Report_Signed_FULL%20VERSION_15%20January%202021rev.pdf</w:t>
        </w:r>
      </w:hyperlink>
      <w:r w:rsidRPr="001F291B">
        <w:rPr>
          <w:rFonts w:eastAsia="Arial"/>
          <w:szCs w:val="24"/>
        </w:rPr>
        <w:t xml:space="preserve"> [</w:t>
      </w:r>
      <w:hyperlink r:id="rId152">
        <w:r w:rsidRPr="001F291B">
          <w:rPr>
            <w:rFonts w:eastAsia="Arial"/>
            <w:szCs w:val="24"/>
          </w:rPr>
          <w:t>Google Scholar</w:t>
        </w:r>
      </w:hyperlink>
      <w:r w:rsidRPr="001F291B">
        <w:rPr>
          <w:rFonts w:eastAsia="Arial"/>
          <w:szCs w:val="24"/>
        </w:rPr>
        <w:t>]</w:t>
      </w:r>
      <w:r w:rsidRPr="001F291B">
        <w:rPr>
          <w:rFonts w:eastAsia="Arial"/>
          <w:szCs w:val="24"/>
          <w:highlight w:val="white"/>
        </w:rPr>
        <w:t xml:space="preserve"> [</w:t>
      </w:r>
      <w:hyperlink r:id="rId153" w:anchor="x24748307-20220419-01-bibr31">
        <w:r w:rsidRPr="001F291B">
          <w:rPr>
            <w:rFonts w:eastAsia="Arial"/>
            <w:szCs w:val="24"/>
          </w:rPr>
          <w:t>Ref list</w:t>
        </w:r>
      </w:hyperlink>
      <w:r w:rsidRPr="001F291B">
        <w:rPr>
          <w:rFonts w:eastAsia="Arial"/>
          <w:szCs w:val="24"/>
          <w:highlight w:val="white"/>
        </w:rPr>
        <w:t>]</w:t>
      </w:r>
    </w:p>
    <w:p w14:paraId="20BBB8F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 Statistics Authority (PSA, 2019). Proportion of Poor Filipinos registered at 21.0 percent in the First Semester of 2018. Accessed from: </w:t>
      </w:r>
      <w:hyperlink r:id="rId154">
        <w:r w:rsidRPr="001F291B">
          <w:rPr>
            <w:rFonts w:eastAsia="Arial"/>
            <w:szCs w:val="24"/>
          </w:rPr>
          <w:t>http://www.psa.gov.ph/poverty-press-releases/nid/138411</w:t>
        </w:r>
      </w:hyperlink>
      <w:r w:rsidRPr="001F291B">
        <w:rPr>
          <w:rFonts w:eastAsia="Arial"/>
          <w:szCs w:val="24"/>
        </w:rPr>
        <w:t xml:space="preserve"> </w:t>
      </w:r>
    </w:p>
    <w:p w14:paraId="5CB2D63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Philippines Statistics Authority (PSA) and University of the Philippines Population Institute (UPPI) </w:t>
      </w:r>
      <w:r w:rsidRPr="001F291B">
        <w:rPr>
          <w:rFonts w:eastAsia="Arial"/>
          <w:i/>
          <w:szCs w:val="24"/>
        </w:rPr>
        <w:t>[(PSA &amp; UPPI, 2019)]</w:t>
      </w:r>
      <w:r w:rsidRPr="001F291B">
        <w:rPr>
          <w:rFonts w:eastAsia="Arial"/>
          <w:szCs w:val="24"/>
        </w:rPr>
        <w:t xml:space="preserve">. 2018 National Migration Survey. Quezon City, Philippines: PSA and UPPI. Retrieved from: </w:t>
      </w:r>
      <w:hyperlink r:id="rId155">
        <w:r w:rsidRPr="001F291B">
          <w:rPr>
            <w:rFonts w:eastAsia="Arial"/>
            <w:szCs w:val="24"/>
          </w:rPr>
          <w:t>https://psa.gov.ph/sites/default/files/2018%20NMS%20Final%20Report.pdf</w:t>
        </w:r>
      </w:hyperlink>
      <w:r w:rsidRPr="001F291B">
        <w:rPr>
          <w:rFonts w:eastAsia="Arial"/>
          <w:szCs w:val="24"/>
        </w:rPr>
        <w:t xml:space="preserve"> </w:t>
      </w:r>
    </w:p>
    <w:p w14:paraId="53D0953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Philippine Statistics Authority (PSA), 2020. Population Statistics. 2018 National Migration Survey: Migration Experiences of Filipinos. Accessed from: </w:t>
      </w:r>
      <w:hyperlink r:id="rId156">
        <w:r w:rsidRPr="001F291B">
          <w:rPr>
            <w:rFonts w:eastAsia="Arial"/>
            <w:szCs w:val="24"/>
          </w:rPr>
          <w:t>http://rssocar.psa.gov.ph/population/2018%20National%20Migration%20Survey%3A%20Migration%20Experiences%20of%20Filipinos</w:t>
        </w:r>
      </w:hyperlink>
      <w:r w:rsidRPr="001F291B">
        <w:rPr>
          <w:rFonts w:eastAsia="Arial"/>
          <w:szCs w:val="24"/>
        </w:rPr>
        <w:t xml:space="preserve"> </w:t>
      </w:r>
    </w:p>
    <w:p w14:paraId="03F9DA7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Giada </w:t>
      </w:r>
      <w:proofErr w:type="spellStart"/>
      <w:r w:rsidRPr="001F291B">
        <w:rPr>
          <w:rFonts w:eastAsia="Arial"/>
          <w:szCs w:val="24"/>
        </w:rPr>
        <w:t>Pietrabissa</w:t>
      </w:r>
      <w:proofErr w:type="spellEnd"/>
      <w:r w:rsidRPr="001F291B">
        <w:rPr>
          <w:rFonts w:eastAsia="Arial"/>
          <w:szCs w:val="24"/>
        </w:rPr>
        <w:t xml:space="preserve"> and Susan Simpson (</w:t>
      </w:r>
      <w:proofErr w:type="spellStart"/>
      <w:r w:rsidRPr="001F291B">
        <w:rPr>
          <w:rFonts w:eastAsia="Arial"/>
          <w:szCs w:val="24"/>
        </w:rPr>
        <w:t>Pietrabissa</w:t>
      </w:r>
      <w:proofErr w:type="spellEnd"/>
      <w:r w:rsidRPr="001F291B">
        <w:rPr>
          <w:rFonts w:eastAsia="Arial"/>
          <w:szCs w:val="24"/>
        </w:rPr>
        <w:t xml:space="preserve"> &amp; Simpson, 2020). Psychological consequences of social isolation during COVID-19 outbreak. Front. Psychol., 09 September 2020 Sec. Health Psychology Vol 11-2020 </w:t>
      </w:r>
      <w:hyperlink r:id="rId157">
        <w:r w:rsidRPr="001F291B">
          <w:rPr>
            <w:rFonts w:eastAsia="Arial"/>
            <w:szCs w:val="24"/>
          </w:rPr>
          <w:t>https://doi.org/10.3389/fpsyg.2020.02201</w:t>
        </w:r>
      </w:hyperlink>
      <w:r w:rsidRPr="001F291B">
        <w:rPr>
          <w:rFonts w:eastAsia="Arial"/>
          <w:szCs w:val="24"/>
        </w:rPr>
        <w:t xml:space="preserve"> . Accessed from: </w:t>
      </w:r>
      <w:hyperlink r:id="rId158">
        <w:r w:rsidRPr="001F291B">
          <w:rPr>
            <w:rFonts w:eastAsia="Arial"/>
            <w:szCs w:val="24"/>
          </w:rPr>
          <w:t>https://www.frontiersin.org/articles/10.3389/fpsyg.2020.02201/full</w:t>
        </w:r>
      </w:hyperlink>
      <w:r w:rsidRPr="001F291B">
        <w:rPr>
          <w:rFonts w:eastAsia="Arial"/>
          <w:szCs w:val="24"/>
        </w:rPr>
        <w:t xml:space="preserve"> </w:t>
      </w:r>
    </w:p>
    <w:p w14:paraId="233DEB0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PSA (2020). Goal 4. Ensure Inclusive and Quality Education for All and Promote Lifelong Learning. Accessed from:</w:t>
      </w:r>
      <w:hyperlink r:id="rId159">
        <w:r w:rsidRPr="001F291B">
          <w:rPr>
            <w:rFonts w:eastAsia="Arial"/>
            <w:szCs w:val="24"/>
          </w:rPr>
          <w:t xml:space="preserve"> https://psa.gov.ph/sites/default/files/phdsd/PH_SDGWatch_Goal04.pdf</w:t>
        </w:r>
      </w:hyperlink>
    </w:p>
    <w:p w14:paraId="196D69E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PSA (2021). Table 1. </w:t>
      </w:r>
      <w:r w:rsidRPr="001F291B">
        <w:rPr>
          <w:rFonts w:eastAsia="Arial"/>
          <w:szCs w:val="24"/>
          <w:highlight w:val="white"/>
        </w:rPr>
        <w:t>Annual Per Capita Poverty Threshold and Poverty Incidence Among Families with Measures of Precision, by Region and Province: 2015, 2018, and 2021p. Accessed from:</w:t>
      </w:r>
      <w:hyperlink r:id="rId160">
        <w:r w:rsidRPr="001F291B">
          <w:rPr>
            <w:rFonts w:eastAsia="Arial"/>
            <w:szCs w:val="24"/>
            <w:highlight w:val="white"/>
          </w:rPr>
          <w:t xml:space="preserve"> </w:t>
        </w:r>
      </w:hyperlink>
      <w:hyperlink r:id="rId161">
        <w:r w:rsidRPr="001F291B">
          <w:rPr>
            <w:rFonts w:eastAsia="Arial"/>
            <w:szCs w:val="24"/>
          </w:rPr>
          <w:t>https://psa.gov.ph/sites/default/files/2021%20Full%20Year%20Official%20Poverty%20Statistics%20Tables_f.xlsx</w:t>
        </w:r>
      </w:hyperlink>
    </w:p>
    <w:p w14:paraId="15852D1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PSA (2022). Urban Population of the Philippines (2020 Census of Population and Housing). Reference Number: 2022-271. Released Date: 5 July 2022. Accessed from: </w:t>
      </w:r>
      <w:hyperlink r:id="rId162">
        <w:r w:rsidRPr="001F291B">
          <w:rPr>
            <w:rFonts w:eastAsia="Arial"/>
            <w:szCs w:val="24"/>
          </w:rPr>
          <w:t>https://psa.gov.ph/population-and-housing/node/167692</w:t>
        </w:r>
      </w:hyperlink>
      <w:r w:rsidRPr="001F291B">
        <w:rPr>
          <w:rFonts w:eastAsia="Arial"/>
          <w:szCs w:val="24"/>
        </w:rPr>
        <w:t xml:space="preserve"> </w:t>
      </w:r>
    </w:p>
    <w:p w14:paraId="311ED71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Presidential Commission of the Urban Poor (PCUP, n.d.). The Urban Poor. Accessed from: </w:t>
      </w:r>
      <w:hyperlink r:id="rId163">
        <w:r w:rsidRPr="001F291B">
          <w:rPr>
            <w:rFonts w:eastAsia="Arial"/>
            <w:szCs w:val="24"/>
          </w:rPr>
          <w:t>http://pcup.gov.ph/index.php/facts-and-figures/the-pcup-client-the-urban-poor</w:t>
        </w:r>
      </w:hyperlink>
      <w:r w:rsidRPr="001F291B">
        <w:rPr>
          <w:rFonts w:eastAsia="Arial"/>
          <w:szCs w:val="24"/>
        </w:rPr>
        <w:t xml:space="preserve"> </w:t>
      </w:r>
    </w:p>
    <w:p w14:paraId="072D849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Qi, S., et.al. (2021). Trends of global health literacy research (1995–2020): Analysis of mapping knowledge domains based on citation data mining. Published: August 9, 2021. Accessed from: </w:t>
      </w:r>
      <w:hyperlink r:id="rId164">
        <w:r w:rsidRPr="001F291B">
          <w:rPr>
            <w:rFonts w:eastAsia="Arial"/>
            <w:szCs w:val="24"/>
          </w:rPr>
          <w:t>https://journals.plos.org/plosone/article?id=10.1371/journal.pone.0254988</w:t>
        </w:r>
      </w:hyperlink>
      <w:r w:rsidRPr="001F291B">
        <w:rPr>
          <w:rFonts w:eastAsia="Arial"/>
          <w:szCs w:val="24"/>
        </w:rPr>
        <w:t xml:space="preserve"> </w:t>
      </w:r>
    </w:p>
    <w:p w14:paraId="784541E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R Core Team (2023). R: A Language and Environment for Statistical Computing. R Foundation for Statistical Computing, Vienna, Austria. Accessed from: </w:t>
      </w:r>
      <w:hyperlink r:id="rId165">
        <w:r w:rsidRPr="001F291B">
          <w:rPr>
            <w:rFonts w:eastAsia="Arial"/>
            <w:szCs w:val="24"/>
          </w:rPr>
          <w:t>https://www.R-project.org/</w:t>
        </w:r>
      </w:hyperlink>
      <w:r w:rsidRPr="001F291B">
        <w:rPr>
          <w:rFonts w:eastAsia="Arial"/>
          <w:szCs w:val="24"/>
        </w:rPr>
        <w:t xml:space="preserve"> </w:t>
      </w:r>
    </w:p>
    <w:p w14:paraId="13FEA7C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Reyes-Gibby, C.C. &amp; Aday, L.A. (2000). Prevalence of and risk factors for hypertension in a rural area of the Philippines. J Community Health. 2000 Oct; 25(5):389-99. Accessed from: </w:t>
      </w:r>
      <w:hyperlink r:id="rId166">
        <w:r w:rsidRPr="001F291B">
          <w:rPr>
            <w:rFonts w:eastAsia="Arial"/>
            <w:szCs w:val="24"/>
          </w:rPr>
          <w:t>https://www.ncbi.nlm.nih.gov/pubmed/10982012</w:t>
        </w:r>
      </w:hyperlink>
      <w:r w:rsidRPr="001F291B">
        <w:rPr>
          <w:rFonts w:eastAsia="Arial"/>
          <w:szCs w:val="24"/>
        </w:rPr>
        <w:t xml:space="preserve"> </w:t>
      </w:r>
    </w:p>
    <w:p w14:paraId="2B76EA7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Hannah Ritchie and Max Roser (2018). Urbanization. </w:t>
      </w:r>
      <w:r w:rsidRPr="001F291B">
        <w:rPr>
          <w:rFonts w:eastAsia="Arial"/>
          <w:szCs w:val="24"/>
        </w:rPr>
        <w:t>Published online at OurWorldInData.org. Retrieved from: 'https://ourworldindata.org/urbanization</w:t>
      </w:r>
      <w:proofErr w:type="gramStart"/>
      <w:r w:rsidRPr="001F291B">
        <w:rPr>
          <w:rFonts w:eastAsia="Arial"/>
          <w:szCs w:val="24"/>
        </w:rPr>
        <w:t>'  [</w:t>
      </w:r>
      <w:proofErr w:type="gramEnd"/>
      <w:r w:rsidRPr="001F291B">
        <w:rPr>
          <w:rFonts w:eastAsia="Arial"/>
          <w:szCs w:val="24"/>
        </w:rPr>
        <w:t>Online Resource]</w:t>
      </w:r>
    </w:p>
    <w:p w14:paraId="0C0E808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Rowlands, G. P., et. al. (2013). Characteristics of people with low health literacy on coronary heart disease GP registers in South London: a cross-sectional study. BMJ Open. Accessed from:</w:t>
      </w:r>
      <w:hyperlink r:id="rId167">
        <w:r w:rsidRPr="001F291B">
          <w:rPr>
            <w:rFonts w:eastAsia="Arial"/>
            <w:szCs w:val="24"/>
            <w:highlight w:val="white"/>
          </w:rPr>
          <w:t xml:space="preserve"> https://www.ncbi.nlm.nih.gov/pmc/articles/PMC3549254/</w:t>
        </w:r>
      </w:hyperlink>
    </w:p>
    <w:p w14:paraId="23664B1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Rush, K. L., et. al. (2018). Hypertension prevalence and risk factors in rural and urban Zambian adults in western province: a cross-sectional study. Pan </w:t>
      </w:r>
      <w:proofErr w:type="spellStart"/>
      <w:r w:rsidRPr="001F291B">
        <w:rPr>
          <w:rFonts w:eastAsia="Arial"/>
          <w:szCs w:val="24"/>
        </w:rPr>
        <w:t>Afr</w:t>
      </w:r>
      <w:proofErr w:type="spellEnd"/>
      <w:r w:rsidRPr="001F291B">
        <w:rPr>
          <w:rFonts w:eastAsia="Arial"/>
          <w:szCs w:val="24"/>
        </w:rPr>
        <w:t xml:space="preserve"> Med J. 2018; 30: 97. Accessed from: </w:t>
      </w:r>
      <w:hyperlink r:id="rId168">
        <w:r w:rsidRPr="001F291B">
          <w:rPr>
            <w:rFonts w:eastAsia="Arial"/>
            <w:szCs w:val="24"/>
          </w:rPr>
          <w:t>https://www.ncbi.nlm.nih.gov/pmc/articles/PMC6191248/</w:t>
        </w:r>
      </w:hyperlink>
      <w:r w:rsidRPr="001F291B">
        <w:rPr>
          <w:rFonts w:eastAsia="Arial"/>
          <w:szCs w:val="24"/>
        </w:rPr>
        <w:t xml:space="preserve"> </w:t>
      </w:r>
    </w:p>
    <w:p w14:paraId="265C394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highlight w:val="white"/>
        </w:rPr>
        <w:t>Samkange</w:t>
      </w:r>
      <w:proofErr w:type="spellEnd"/>
      <w:r w:rsidRPr="001F291B">
        <w:rPr>
          <w:rFonts w:eastAsia="Arial"/>
          <w:szCs w:val="24"/>
          <w:highlight w:val="white"/>
        </w:rPr>
        <w:t>-Zeeb, F. et. al. (2022). Health Literacy needs among unemployed persons: Collating evidence through triangulation of interview and scoping review data. Accessed from:</w:t>
      </w:r>
      <w:hyperlink r:id="rId169">
        <w:r w:rsidRPr="001F291B">
          <w:rPr>
            <w:rFonts w:eastAsia="Arial"/>
            <w:szCs w:val="24"/>
            <w:highlight w:val="white"/>
          </w:rPr>
          <w:t xml:space="preserve"> https://www.frontiersin.org/articles/10.3389/fpubh.2022.798797/full</w:t>
        </w:r>
      </w:hyperlink>
    </w:p>
    <w:p w14:paraId="3B0D426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Sarki, A.M. </w:t>
      </w:r>
      <w:r w:rsidRPr="001F291B">
        <w:rPr>
          <w:rFonts w:eastAsia="Arial"/>
          <w:i/>
          <w:szCs w:val="24"/>
        </w:rPr>
        <w:t>et. al.</w:t>
      </w:r>
      <w:r w:rsidRPr="001F291B">
        <w:rPr>
          <w:rFonts w:eastAsia="Arial"/>
          <w:szCs w:val="24"/>
        </w:rPr>
        <w:t xml:space="preserve"> (2015). Prevalence of hypertension in low- and middle-income countries: A systematic review and meta-analysis. Medicine (Baltimore). 2015 Dec; 94(50): e1959 Published online 2015 Dec 18. Accessed from: </w:t>
      </w:r>
      <w:hyperlink r:id="rId170">
        <w:r w:rsidRPr="001F291B">
          <w:rPr>
            <w:rFonts w:eastAsia="Arial"/>
            <w:szCs w:val="24"/>
          </w:rPr>
          <w:t>https://www.ncbi.nlm.nih.gov/pmc/articles/PMC5058882/</w:t>
        </w:r>
      </w:hyperlink>
      <w:r w:rsidRPr="001F291B">
        <w:rPr>
          <w:rFonts w:eastAsia="Arial"/>
          <w:szCs w:val="24"/>
        </w:rPr>
        <w:t xml:space="preserve"> </w:t>
      </w:r>
    </w:p>
    <w:p w14:paraId="06B9A12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highlight w:val="white"/>
        </w:rPr>
        <w:t xml:space="preserve">Scott C. Ratzan, Health literacy: communication for the public good, </w:t>
      </w:r>
      <w:r w:rsidRPr="001F291B">
        <w:rPr>
          <w:rFonts w:eastAsia="Arial"/>
          <w:i/>
          <w:szCs w:val="24"/>
          <w:highlight w:val="white"/>
        </w:rPr>
        <w:t>Health Promotion International</w:t>
      </w:r>
      <w:r w:rsidRPr="001F291B">
        <w:rPr>
          <w:rFonts w:eastAsia="Arial"/>
          <w:szCs w:val="24"/>
          <w:highlight w:val="white"/>
        </w:rPr>
        <w:t xml:space="preserve">, Volume 16, Issue 2, June 2001, Pages 207–214, </w:t>
      </w:r>
      <w:hyperlink r:id="rId171">
        <w:r w:rsidRPr="001F291B">
          <w:rPr>
            <w:rFonts w:eastAsia="Arial"/>
            <w:szCs w:val="24"/>
            <w:highlight w:val="white"/>
          </w:rPr>
          <w:t>https://doi.org/10.1093/heapro/16.2.207</w:t>
        </w:r>
      </w:hyperlink>
    </w:p>
    <w:p w14:paraId="1A67CA9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Shan Y, Ji M, Dong Z, Xing Z, Xu X (2023). Assessing Patients’ Critical Health Literacy and Identifying Associated Factors: Cross-sectional Study. J Med Internet Res 2023;</w:t>
      </w:r>
      <w:proofErr w:type="gramStart"/>
      <w:r w:rsidRPr="001F291B">
        <w:rPr>
          <w:rFonts w:eastAsia="Arial"/>
          <w:szCs w:val="24"/>
          <w:highlight w:val="white"/>
        </w:rPr>
        <w:t>25:e</w:t>
      </w:r>
      <w:proofErr w:type="gramEnd"/>
      <w:r w:rsidRPr="001F291B">
        <w:rPr>
          <w:rFonts w:eastAsia="Arial"/>
          <w:szCs w:val="24"/>
          <w:highlight w:val="white"/>
        </w:rPr>
        <w:t xml:space="preserve">43342. </w:t>
      </w:r>
      <w:proofErr w:type="spellStart"/>
      <w:r w:rsidRPr="001F291B">
        <w:rPr>
          <w:rFonts w:eastAsia="Arial"/>
          <w:szCs w:val="24"/>
          <w:highlight w:val="white"/>
        </w:rPr>
        <w:t>doi</w:t>
      </w:r>
      <w:proofErr w:type="spellEnd"/>
      <w:r w:rsidRPr="001F291B">
        <w:rPr>
          <w:rFonts w:eastAsia="Arial"/>
          <w:szCs w:val="24"/>
          <w:highlight w:val="white"/>
        </w:rPr>
        <w:t xml:space="preserve">: </w:t>
      </w:r>
      <w:hyperlink r:id="rId172">
        <w:r w:rsidRPr="001F291B">
          <w:rPr>
            <w:rFonts w:eastAsia="Arial"/>
            <w:szCs w:val="24"/>
            <w:highlight w:val="white"/>
          </w:rPr>
          <w:t>10.2196/43342</w:t>
        </w:r>
      </w:hyperlink>
      <w:r w:rsidRPr="001F291B">
        <w:rPr>
          <w:rFonts w:eastAsia="Arial"/>
          <w:szCs w:val="24"/>
          <w:highlight w:val="white"/>
        </w:rPr>
        <w:t xml:space="preserve"> PMID: </w:t>
      </w:r>
      <w:hyperlink r:id="rId173">
        <w:r w:rsidRPr="001F291B">
          <w:rPr>
            <w:rFonts w:eastAsia="Arial"/>
            <w:szCs w:val="24"/>
            <w:highlight w:val="white"/>
          </w:rPr>
          <w:t>37018027</w:t>
        </w:r>
      </w:hyperlink>
      <w:r w:rsidRPr="001F291B">
        <w:rPr>
          <w:rFonts w:eastAsia="Arial"/>
          <w:szCs w:val="24"/>
        </w:rPr>
        <w:t xml:space="preserve"> Accessed from: </w:t>
      </w:r>
      <w:hyperlink r:id="rId174">
        <w:r w:rsidRPr="001F291B">
          <w:rPr>
            <w:rFonts w:eastAsia="Arial"/>
            <w:szCs w:val="24"/>
          </w:rPr>
          <w:t>https://www.jmir.org/2023/1/e43342</w:t>
        </w:r>
      </w:hyperlink>
      <w:r w:rsidRPr="001F291B">
        <w:rPr>
          <w:rFonts w:eastAsia="Arial"/>
          <w:szCs w:val="24"/>
        </w:rPr>
        <w:t xml:space="preserve"> </w:t>
      </w:r>
    </w:p>
    <w:p w14:paraId="1AD45EB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Shi, D., </w:t>
      </w:r>
      <w:r w:rsidRPr="001F291B">
        <w:rPr>
          <w:rFonts w:eastAsia="Arial"/>
          <w:i/>
          <w:szCs w:val="24"/>
        </w:rPr>
        <w:t xml:space="preserve">et. al. </w:t>
      </w:r>
      <w:r w:rsidRPr="001F291B">
        <w:rPr>
          <w:rFonts w:eastAsia="Arial"/>
          <w:szCs w:val="24"/>
        </w:rPr>
        <w:t xml:space="preserve">(2017). Association between health literacy and hypertension management in a Chinese community: a </w:t>
      </w:r>
      <w:proofErr w:type="spellStart"/>
      <w:r w:rsidRPr="001F291B">
        <w:rPr>
          <w:rFonts w:eastAsia="Arial"/>
          <w:szCs w:val="24"/>
        </w:rPr>
        <w:t>restrospective</w:t>
      </w:r>
      <w:proofErr w:type="spellEnd"/>
      <w:r w:rsidRPr="001F291B">
        <w:rPr>
          <w:rFonts w:eastAsia="Arial"/>
          <w:szCs w:val="24"/>
        </w:rPr>
        <w:t xml:space="preserve"> cohort study (Abstract). Intern Emerg Med. 2017 Sept; 12(6):765-776. Accessed from: </w:t>
      </w:r>
      <w:hyperlink r:id="rId175">
        <w:r w:rsidRPr="001F291B">
          <w:rPr>
            <w:rFonts w:eastAsia="Arial"/>
            <w:szCs w:val="24"/>
          </w:rPr>
          <w:t>https://www.ncbi.nlm.nih.gov/pubmed/28303441</w:t>
        </w:r>
      </w:hyperlink>
      <w:r w:rsidRPr="001F291B">
        <w:rPr>
          <w:rFonts w:eastAsia="Arial"/>
          <w:szCs w:val="24"/>
        </w:rPr>
        <w:t xml:space="preserve"> </w:t>
      </w:r>
    </w:p>
    <w:p w14:paraId="6041A9F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Shibata, S., Kobayashi, K., Tanaka, M. </w:t>
      </w:r>
      <w:r w:rsidRPr="001F291B">
        <w:rPr>
          <w:rFonts w:eastAsia="Arial"/>
          <w:i/>
          <w:szCs w:val="24"/>
          <w:highlight w:val="white"/>
        </w:rPr>
        <w:t>et al.</w:t>
      </w:r>
      <w:r w:rsidRPr="001F291B">
        <w:rPr>
          <w:rFonts w:eastAsia="Arial"/>
          <w:szCs w:val="24"/>
          <w:highlight w:val="white"/>
        </w:rPr>
        <w:t xml:space="preserve"> COVID-19 pandemic and hypertension: an updated report from the Japanese Society of Hypertension project team on COVID-19. </w:t>
      </w:r>
      <w:proofErr w:type="spellStart"/>
      <w:r w:rsidRPr="001F291B">
        <w:rPr>
          <w:rFonts w:eastAsia="Arial"/>
          <w:i/>
          <w:szCs w:val="24"/>
          <w:highlight w:val="white"/>
        </w:rPr>
        <w:t>Hypertens</w:t>
      </w:r>
      <w:proofErr w:type="spellEnd"/>
      <w:r w:rsidRPr="001F291B">
        <w:rPr>
          <w:rFonts w:eastAsia="Arial"/>
          <w:i/>
          <w:szCs w:val="24"/>
          <w:highlight w:val="white"/>
        </w:rPr>
        <w:t xml:space="preserve"> Res</w:t>
      </w:r>
      <w:r w:rsidRPr="001F291B">
        <w:rPr>
          <w:rFonts w:eastAsia="Arial"/>
          <w:szCs w:val="24"/>
          <w:highlight w:val="white"/>
        </w:rPr>
        <w:t xml:space="preserve"> 46, 589–600 (2023). </w:t>
      </w:r>
      <w:hyperlink r:id="rId176">
        <w:r w:rsidRPr="001F291B">
          <w:rPr>
            <w:rFonts w:eastAsia="Arial"/>
            <w:szCs w:val="24"/>
            <w:highlight w:val="white"/>
          </w:rPr>
          <w:t>https://doi.org/10.1038/s41440-022-01134-5</w:t>
        </w:r>
      </w:hyperlink>
      <w:r w:rsidRPr="001F291B">
        <w:rPr>
          <w:rFonts w:eastAsia="Arial"/>
          <w:szCs w:val="24"/>
          <w:highlight w:val="white"/>
        </w:rPr>
        <w:t xml:space="preserve"> . Accessed from: </w:t>
      </w:r>
      <w:hyperlink r:id="rId177" w:anchor="citeas">
        <w:r w:rsidRPr="001F291B">
          <w:rPr>
            <w:rFonts w:eastAsia="Arial"/>
            <w:szCs w:val="24"/>
            <w:highlight w:val="white"/>
          </w:rPr>
          <w:t>https://www.nature.com/articles/s41440-022-01134-5#citeas</w:t>
        </w:r>
      </w:hyperlink>
      <w:r w:rsidRPr="001F291B">
        <w:rPr>
          <w:rFonts w:eastAsia="Arial"/>
          <w:szCs w:val="24"/>
          <w:highlight w:val="white"/>
        </w:rPr>
        <w:t xml:space="preserve"> </w:t>
      </w:r>
    </w:p>
    <w:p w14:paraId="5221E6E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Sison, O., et. al. (2019). Prevalence of Metabolic Syndrome and Cardiovascular Risk Factors among Community Health Workers in Selected Villages in the Philippines. Accessed from: </w:t>
      </w:r>
      <w:hyperlink r:id="rId178">
        <w:r w:rsidRPr="001F291B">
          <w:rPr>
            <w:rFonts w:eastAsia="Arial"/>
            <w:szCs w:val="24"/>
          </w:rPr>
          <w:t>https://asean-endocrinejournal.org/index.php/JAFES/article/view/595/html</w:t>
        </w:r>
      </w:hyperlink>
    </w:p>
    <w:p w14:paraId="79A52AE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highlight w:val="white"/>
        </w:rPr>
        <w:t>Skirbekk</w:t>
      </w:r>
      <w:proofErr w:type="spellEnd"/>
      <w:r w:rsidRPr="001F291B">
        <w:rPr>
          <w:rFonts w:eastAsia="Arial"/>
          <w:szCs w:val="24"/>
          <w:highlight w:val="white"/>
        </w:rPr>
        <w:t xml:space="preserve">, H., Magelssen, M. &amp; Conradsen, S. Trust in healthcare before and during the COVID-19 pandemic. </w:t>
      </w:r>
      <w:r w:rsidRPr="001F291B">
        <w:rPr>
          <w:rFonts w:eastAsia="Arial"/>
          <w:i/>
          <w:szCs w:val="24"/>
          <w:highlight w:val="white"/>
        </w:rPr>
        <w:t>BMC Public Health</w:t>
      </w:r>
      <w:r w:rsidRPr="001F291B">
        <w:rPr>
          <w:rFonts w:eastAsia="Arial"/>
          <w:szCs w:val="24"/>
          <w:highlight w:val="white"/>
        </w:rPr>
        <w:t xml:space="preserve"> 23, 863 (2023). </w:t>
      </w:r>
      <w:hyperlink r:id="rId179">
        <w:r w:rsidRPr="001F291B">
          <w:rPr>
            <w:rFonts w:eastAsia="Arial"/>
            <w:szCs w:val="24"/>
            <w:highlight w:val="white"/>
          </w:rPr>
          <w:t>https://doi.org/10.1186/s12889-023-15716-6</w:t>
        </w:r>
      </w:hyperlink>
      <w:r w:rsidRPr="001F291B">
        <w:rPr>
          <w:rFonts w:eastAsia="Arial"/>
          <w:szCs w:val="24"/>
          <w:highlight w:val="white"/>
        </w:rPr>
        <w:t xml:space="preserve"> . Accessed from: </w:t>
      </w:r>
      <w:hyperlink r:id="rId180" w:anchor="citeas">
        <w:r w:rsidRPr="001F291B">
          <w:rPr>
            <w:rFonts w:eastAsia="Arial"/>
            <w:szCs w:val="24"/>
            <w:highlight w:val="white"/>
          </w:rPr>
          <w:t>https://bmcpublichealth.biomedcentral.com/articles/10.1186/s12889-023-15716-6#citeas</w:t>
        </w:r>
      </w:hyperlink>
      <w:r w:rsidRPr="001F291B">
        <w:rPr>
          <w:rFonts w:eastAsia="Arial"/>
          <w:szCs w:val="24"/>
          <w:highlight w:val="white"/>
        </w:rPr>
        <w:t xml:space="preserve"> </w:t>
      </w:r>
    </w:p>
    <w:p w14:paraId="506ABB3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Sørensen, K., et. al. (2015). Health Literacy in Europe: comparative results of European health literacy survey (HLS-EU). </w:t>
      </w:r>
      <w:proofErr w:type="spellStart"/>
      <w:r w:rsidRPr="001F291B">
        <w:rPr>
          <w:rFonts w:eastAsia="Arial"/>
          <w:szCs w:val="24"/>
        </w:rPr>
        <w:t>Eur</w:t>
      </w:r>
      <w:proofErr w:type="spellEnd"/>
      <w:r w:rsidRPr="001F291B">
        <w:rPr>
          <w:rFonts w:eastAsia="Arial"/>
          <w:szCs w:val="24"/>
        </w:rPr>
        <w:t xml:space="preserve"> J Public Health. 2015 Dec;25(6):1053-8. Accessed from: </w:t>
      </w:r>
      <w:hyperlink r:id="rId181">
        <w:r w:rsidRPr="001F291B">
          <w:rPr>
            <w:rFonts w:eastAsia="Arial"/>
            <w:szCs w:val="24"/>
          </w:rPr>
          <w:t>https://pubmed.ncbi.nlm.nih.gov/25843827/</w:t>
        </w:r>
      </w:hyperlink>
      <w:r w:rsidRPr="001F291B">
        <w:rPr>
          <w:rFonts w:eastAsia="Arial"/>
          <w:szCs w:val="24"/>
        </w:rPr>
        <w:t xml:space="preserve"> </w:t>
      </w:r>
    </w:p>
    <w:p w14:paraId="299D709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Sousa, V.D., et. al. (2007). An overview of research designs relevant to nursing: Part 1: quantitative research designs. Rev. Latino-Am. Enfermagem 15 (3). June 2007. Accessed from: </w:t>
      </w:r>
      <w:hyperlink r:id="rId182">
        <w:r w:rsidRPr="001F291B">
          <w:rPr>
            <w:rFonts w:eastAsia="Arial"/>
            <w:szCs w:val="24"/>
          </w:rPr>
          <w:t>https://doi.org/10.1590/S0104-11692007000300022</w:t>
        </w:r>
      </w:hyperlink>
      <w:r w:rsidRPr="001F291B">
        <w:rPr>
          <w:rFonts w:eastAsia="Arial"/>
          <w:szCs w:val="24"/>
        </w:rPr>
        <w:t xml:space="preserve"> </w:t>
      </w:r>
    </w:p>
    <w:p w14:paraId="17F6415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Stephanie Watson (2022). Coronavirus and High Blood Pressure: What’s the link. December 27, 2022. Accessed from: </w:t>
      </w:r>
      <w:hyperlink r:id="rId183" w:anchor=":~:text=Coronavirus%20can%20also%20damage%20the,for%20the%20heart%20to%20pump">
        <w:r w:rsidRPr="001F291B">
          <w:rPr>
            <w:rFonts w:eastAsia="Arial"/>
            <w:szCs w:val="24"/>
          </w:rPr>
          <w:t>https://www.webmd.com/covid/coronavirus-high-blood-pressure#:~:text=Coronavirus%20can%20also%20damage%20the,for%20the%20heart%20to%20pump</w:t>
        </w:r>
      </w:hyperlink>
      <w:r w:rsidRPr="001F291B">
        <w:rPr>
          <w:rFonts w:eastAsia="Arial"/>
          <w:szCs w:val="24"/>
        </w:rPr>
        <w:t xml:space="preserve">. </w:t>
      </w:r>
    </w:p>
    <w:p w14:paraId="5D35FF5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SPSS Tutorials, 2022. SPSS Shapiro-Wilk Test – Quick Tutorial with Example. Accessed from: </w:t>
      </w:r>
      <w:hyperlink r:id="rId184">
        <w:r w:rsidRPr="001F291B">
          <w:rPr>
            <w:rFonts w:eastAsia="Arial"/>
            <w:szCs w:val="24"/>
          </w:rPr>
          <w:t>SPSS Shapiro-Wilk Test - Quick Tutorial with Example (spss-tutorials.com)</w:t>
        </w:r>
      </w:hyperlink>
      <w:r w:rsidRPr="001F291B">
        <w:rPr>
          <w:rFonts w:eastAsia="Arial"/>
          <w:szCs w:val="24"/>
        </w:rPr>
        <w:t xml:space="preserve"> </w:t>
      </w:r>
    </w:p>
    <w:p w14:paraId="7B92CC01"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Statista (2023). Philippines: Age structure from 2011 to 2021. Accessed from: </w:t>
      </w:r>
      <w:hyperlink r:id="rId185">
        <w:r w:rsidRPr="001F291B">
          <w:rPr>
            <w:rFonts w:eastAsia="Arial"/>
            <w:szCs w:val="24"/>
          </w:rPr>
          <w:t>https://www.statista.com/statistics/578779/age-structure-in-philippines/</w:t>
        </w:r>
      </w:hyperlink>
      <w:r w:rsidRPr="001F291B">
        <w:rPr>
          <w:rFonts w:eastAsia="Arial"/>
          <w:szCs w:val="24"/>
        </w:rPr>
        <w:t xml:space="preserve"> </w:t>
      </w:r>
    </w:p>
    <w:p w14:paraId="49A9432A"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Sun K, et.al., 2021. Association of educational levels with the risk of hypertension and hypertension control: a nationwide cohort study in Chinese adults. Accessed from: </w:t>
      </w:r>
      <w:hyperlink r:id="rId186">
        <w:r w:rsidRPr="001F291B">
          <w:rPr>
            <w:rFonts w:eastAsia="Arial"/>
            <w:szCs w:val="24"/>
          </w:rPr>
          <w:t>https://jech.bmj.com/content/jech/76/5/451.full.pdf</w:t>
        </w:r>
      </w:hyperlink>
      <w:r w:rsidRPr="001F291B">
        <w:rPr>
          <w:rFonts w:eastAsia="Arial"/>
          <w:szCs w:val="24"/>
        </w:rPr>
        <w:t xml:space="preserve"> </w:t>
      </w:r>
    </w:p>
    <w:p w14:paraId="7D82856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The Economist Intelligence Unit Limited 2021 (The Economist, 2021). Health Literacy around the world: policy approaches to wellbeing through knowledge and empowerment. Accessed from: </w:t>
      </w:r>
      <w:hyperlink r:id="rId187">
        <w:r w:rsidRPr="001F291B">
          <w:rPr>
            <w:rFonts w:eastAsia="Arial"/>
            <w:szCs w:val="24"/>
          </w:rPr>
          <w:t>https://impact.economist.com/perspectives/sites/default/files/lon_-_es_-_health_literacy_paper_v8_0.pdf</w:t>
        </w:r>
      </w:hyperlink>
      <w:r w:rsidRPr="001F291B">
        <w:rPr>
          <w:rFonts w:eastAsia="Arial"/>
          <w:szCs w:val="24"/>
        </w:rPr>
        <w:t xml:space="preserve"> </w:t>
      </w:r>
    </w:p>
    <w:p w14:paraId="13440CB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Tilahun D, Gezahegn A, </w:t>
      </w:r>
      <w:proofErr w:type="spellStart"/>
      <w:r w:rsidRPr="001F291B">
        <w:rPr>
          <w:rFonts w:eastAsia="Arial"/>
          <w:szCs w:val="24"/>
          <w:highlight w:val="white"/>
        </w:rPr>
        <w:t>Tegenu</w:t>
      </w:r>
      <w:proofErr w:type="spellEnd"/>
      <w:r w:rsidRPr="001F291B">
        <w:rPr>
          <w:rFonts w:eastAsia="Arial"/>
          <w:szCs w:val="24"/>
          <w:highlight w:val="white"/>
        </w:rPr>
        <w:t xml:space="preserve"> K, Fenta B. Functional Health Literacy in Patients with Cardiovascular Diseases: Cross-Sectional Study in Ethiopia. Int J Gen Med. 2021 May 19; 14:1967-1974. </w:t>
      </w:r>
      <w:proofErr w:type="spellStart"/>
      <w:r w:rsidRPr="001F291B">
        <w:rPr>
          <w:rFonts w:eastAsia="Arial"/>
          <w:szCs w:val="24"/>
          <w:highlight w:val="white"/>
        </w:rPr>
        <w:t>doi</w:t>
      </w:r>
      <w:proofErr w:type="spellEnd"/>
      <w:r w:rsidRPr="001F291B">
        <w:rPr>
          <w:rFonts w:eastAsia="Arial"/>
          <w:szCs w:val="24"/>
          <w:highlight w:val="white"/>
        </w:rPr>
        <w:t xml:space="preserve">: 10.2147/IJGM.S304007. PMID: 34040428; PMCID: PMC8141385. Accessed from: </w:t>
      </w:r>
      <w:hyperlink r:id="rId188">
        <w:r w:rsidRPr="001F291B">
          <w:rPr>
            <w:rFonts w:eastAsia="Arial"/>
            <w:szCs w:val="24"/>
            <w:highlight w:val="white"/>
          </w:rPr>
          <w:t>https://www.ncbi.nlm.nih.gov/pmc/articles/PMC8141385/</w:t>
        </w:r>
      </w:hyperlink>
      <w:r w:rsidRPr="001F291B">
        <w:rPr>
          <w:rFonts w:eastAsia="Arial"/>
          <w:szCs w:val="24"/>
          <w:highlight w:val="white"/>
        </w:rPr>
        <w:t xml:space="preserve"> </w:t>
      </w:r>
    </w:p>
    <w:p w14:paraId="34A8BC1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Tilahun, D., Abera, A. &amp; </w:t>
      </w:r>
      <w:proofErr w:type="spellStart"/>
      <w:r w:rsidRPr="001F291B">
        <w:rPr>
          <w:rFonts w:eastAsia="Arial"/>
          <w:szCs w:val="24"/>
          <w:highlight w:val="white"/>
        </w:rPr>
        <w:t>Nemera</w:t>
      </w:r>
      <w:proofErr w:type="spellEnd"/>
      <w:r w:rsidRPr="001F291B">
        <w:rPr>
          <w:rFonts w:eastAsia="Arial"/>
          <w:szCs w:val="24"/>
          <w:highlight w:val="white"/>
        </w:rPr>
        <w:t xml:space="preserve">, G. Communicative health literacy in patients with non-communicable diseases in Ethiopia: a cross-sectional study. </w:t>
      </w:r>
      <w:r w:rsidRPr="001F291B">
        <w:rPr>
          <w:rFonts w:eastAsia="Arial"/>
          <w:i/>
          <w:szCs w:val="24"/>
          <w:highlight w:val="white"/>
        </w:rPr>
        <w:t>Trop Med Health</w:t>
      </w:r>
      <w:r w:rsidRPr="001F291B">
        <w:rPr>
          <w:rFonts w:eastAsia="Arial"/>
          <w:szCs w:val="24"/>
          <w:highlight w:val="white"/>
        </w:rPr>
        <w:t xml:space="preserve"> 49, 57 (2021). https://doi.org/10.1186/s41182-021-00345-9</w:t>
      </w:r>
    </w:p>
    <w:p w14:paraId="4844C8F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r w:rsidRPr="001F291B">
        <w:rPr>
          <w:rFonts w:eastAsia="Arial"/>
          <w:szCs w:val="24"/>
        </w:rPr>
        <w:t xml:space="preserve">Tiller, D., Herzog, B., </w:t>
      </w:r>
      <w:proofErr w:type="spellStart"/>
      <w:r w:rsidRPr="001F291B">
        <w:rPr>
          <w:rFonts w:eastAsia="Arial"/>
          <w:szCs w:val="24"/>
        </w:rPr>
        <w:t>Kluttig</w:t>
      </w:r>
      <w:proofErr w:type="spellEnd"/>
      <w:r w:rsidRPr="001F291B">
        <w:rPr>
          <w:rFonts w:eastAsia="Arial"/>
          <w:szCs w:val="24"/>
        </w:rPr>
        <w:t xml:space="preserve">, A. </w:t>
      </w:r>
      <w:r w:rsidRPr="001F291B">
        <w:rPr>
          <w:rFonts w:eastAsia="Arial"/>
          <w:i/>
          <w:szCs w:val="24"/>
        </w:rPr>
        <w:t xml:space="preserve">et al., </w:t>
      </w:r>
      <w:r w:rsidRPr="001F291B">
        <w:rPr>
          <w:rFonts w:eastAsia="Arial"/>
          <w:szCs w:val="24"/>
        </w:rPr>
        <w:t xml:space="preserve">2015. Health literacy in an urban elderly East-German population – results from the population-based CARLA study. </w:t>
      </w:r>
      <w:r w:rsidRPr="001F291B">
        <w:rPr>
          <w:rFonts w:eastAsia="Arial"/>
          <w:i/>
          <w:szCs w:val="24"/>
        </w:rPr>
        <w:t>BMC Public Health</w:t>
      </w:r>
      <w:r w:rsidRPr="001F291B">
        <w:rPr>
          <w:rFonts w:eastAsia="Arial"/>
          <w:szCs w:val="24"/>
        </w:rPr>
        <w:t xml:space="preserve"> </w:t>
      </w:r>
      <w:r w:rsidRPr="001F291B">
        <w:rPr>
          <w:rFonts w:eastAsia="Arial"/>
          <w:b/>
          <w:szCs w:val="24"/>
        </w:rPr>
        <w:t xml:space="preserve">15, </w:t>
      </w:r>
      <w:r w:rsidRPr="001F291B">
        <w:rPr>
          <w:rFonts w:eastAsia="Arial"/>
          <w:szCs w:val="24"/>
        </w:rPr>
        <w:t xml:space="preserve">883 (2015) doi:10.1186/s12889-015-2210-7. Accessed from: </w:t>
      </w:r>
      <w:hyperlink r:id="rId189">
        <w:r w:rsidRPr="001F291B">
          <w:rPr>
            <w:rFonts w:eastAsia="Arial"/>
            <w:szCs w:val="24"/>
          </w:rPr>
          <w:t>https://bmcpublichealth.biomedcentral.com/articles/10.1186/s12889-015-2210-7</w:t>
        </w:r>
      </w:hyperlink>
      <w:r w:rsidRPr="001F291B">
        <w:rPr>
          <w:rFonts w:eastAsia="Arial"/>
          <w:szCs w:val="24"/>
        </w:rPr>
        <w:t xml:space="preserve"> </w:t>
      </w:r>
    </w:p>
    <w:p w14:paraId="11DED3A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highlight w:val="white"/>
        </w:rPr>
      </w:pPr>
      <w:proofErr w:type="spellStart"/>
      <w:r w:rsidRPr="001F291B">
        <w:rPr>
          <w:rFonts w:eastAsia="Arial"/>
          <w:szCs w:val="24"/>
          <w:highlight w:val="white"/>
        </w:rPr>
        <w:t>Tolabing</w:t>
      </w:r>
      <w:proofErr w:type="spellEnd"/>
      <w:r w:rsidRPr="001F291B">
        <w:rPr>
          <w:rFonts w:eastAsia="Arial"/>
          <w:szCs w:val="24"/>
          <w:highlight w:val="white"/>
        </w:rPr>
        <w:t xml:space="preserve">, M.C.C., et.al. (2022). Prevalence of Limited Health Literacy in the Philippines: First National Survey. Health Lit Res </w:t>
      </w:r>
      <w:proofErr w:type="spellStart"/>
      <w:r w:rsidRPr="001F291B">
        <w:rPr>
          <w:rFonts w:eastAsia="Arial"/>
          <w:szCs w:val="24"/>
          <w:highlight w:val="white"/>
        </w:rPr>
        <w:t>Pract</w:t>
      </w:r>
      <w:proofErr w:type="spellEnd"/>
      <w:r w:rsidRPr="001F291B">
        <w:rPr>
          <w:rFonts w:eastAsia="Arial"/>
          <w:szCs w:val="24"/>
          <w:highlight w:val="white"/>
        </w:rPr>
        <w:t xml:space="preserve">. 2022 Apr; 6(2): e104-e112. Published online 2022 May 6. </w:t>
      </w:r>
      <w:proofErr w:type="spellStart"/>
      <w:r w:rsidRPr="001F291B">
        <w:rPr>
          <w:rFonts w:eastAsia="Arial"/>
          <w:szCs w:val="24"/>
          <w:highlight w:val="white"/>
        </w:rPr>
        <w:t>doi</w:t>
      </w:r>
      <w:proofErr w:type="spellEnd"/>
      <w:r w:rsidRPr="001F291B">
        <w:rPr>
          <w:rFonts w:eastAsia="Arial"/>
          <w:szCs w:val="24"/>
          <w:highlight w:val="white"/>
        </w:rPr>
        <w:t xml:space="preserve">: </w:t>
      </w:r>
      <w:hyperlink r:id="rId190">
        <w:r w:rsidRPr="001F291B">
          <w:rPr>
            <w:rFonts w:eastAsia="Arial"/>
            <w:szCs w:val="24"/>
            <w:highlight w:val="white"/>
          </w:rPr>
          <w:t>10.3928/24748307-20220419-01</w:t>
        </w:r>
      </w:hyperlink>
      <w:r w:rsidRPr="001F291B">
        <w:rPr>
          <w:rFonts w:eastAsia="Arial"/>
          <w:szCs w:val="24"/>
          <w:highlight w:val="white"/>
        </w:rPr>
        <w:t xml:space="preserve"> Accessed from: </w:t>
      </w:r>
      <w:hyperlink r:id="rId191">
        <w:r w:rsidRPr="001F291B">
          <w:rPr>
            <w:rFonts w:eastAsia="Arial"/>
            <w:szCs w:val="24"/>
            <w:highlight w:val="white"/>
          </w:rPr>
          <w:t>https://www.ncbi.nlm.nih.gov/pmc/articles/PMC9126056/</w:t>
        </w:r>
      </w:hyperlink>
      <w:r w:rsidRPr="001F291B">
        <w:rPr>
          <w:rFonts w:eastAsia="Arial"/>
          <w:szCs w:val="24"/>
          <w:highlight w:val="white"/>
        </w:rPr>
        <w:t xml:space="preserve"> </w:t>
      </w:r>
    </w:p>
    <w:p w14:paraId="2C6A3CF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Tortosa, X.B. (2021). Why does a confidence interval including 0 mean the difference is not significant?, URL (version: 2021-05-04): </w:t>
      </w:r>
      <w:hyperlink r:id="rId192">
        <w:r w:rsidRPr="001F291B">
          <w:rPr>
            <w:rFonts w:eastAsia="Arial"/>
            <w:szCs w:val="24"/>
            <w:highlight w:val="white"/>
          </w:rPr>
          <w:t>https://stats.stackexchange.com/q/410154</w:t>
        </w:r>
      </w:hyperlink>
      <w:r w:rsidRPr="001F291B">
        <w:rPr>
          <w:rFonts w:eastAsia="Arial"/>
          <w:szCs w:val="24"/>
          <w:highlight w:val="white"/>
        </w:rPr>
        <w:t xml:space="preserve"> ; </w:t>
      </w:r>
      <w:hyperlink r:id="rId193">
        <w:r w:rsidRPr="001F291B">
          <w:rPr>
            <w:rFonts w:eastAsia="Arial"/>
            <w:szCs w:val="24"/>
            <w:highlight w:val="white"/>
          </w:rPr>
          <w:t>https://stats.stackexchange.com/users/249106/xisco-bernal-tortosa</w:t>
        </w:r>
      </w:hyperlink>
      <w:r w:rsidRPr="001F291B">
        <w:rPr>
          <w:rFonts w:eastAsia="Arial"/>
          <w:szCs w:val="24"/>
          <w:highlight w:val="white"/>
        </w:rPr>
        <w:t xml:space="preserve"> </w:t>
      </w:r>
    </w:p>
    <w:p w14:paraId="02B1389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Tully, M.A., et al. (2021). The effect of different COVID-19 public health restrictions on mobility: A systematic review. PLOS ONE. Published: December 8, 2021. </w:t>
      </w:r>
      <w:hyperlink r:id="rId194">
        <w:r w:rsidRPr="001F291B">
          <w:rPr>
            <w:rFonts w:eastAsia="Arial"/>
            <w:szCs w:val="24"/>
          </w:rPr>
          <w:t>https://doi.org/10.1371/journal.pone.0260919</w:t>
        </w:r>
      </w:hyperlink>
      <w:r w:rsidRPr="001F291B">
        <w:rPr>
          <w:rFonts w:eastAsia="Arial"/>
          <w:szCs w:val="24"/>
        </w:rPr>
        <w:t xml:space="preserve"> </w:t>
      </w:r>
    </w:p>
    <w:p w14:paraId="63D45AB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Unger, T., et. al. (2020). 2020 International Society of Hypertension Global Hypertension Practice Guidelines. Accessed from: </w:t>
      </w:r>
      <w:hyperlink r:id="rId195" w:anchor="d1e2437">
        <w:r w:rsidRPr="001F291B">
          <w:rPr>
            <w:rFonts w:eastAsia="Arial"/>
            <w:szCs w:val="24"/>
          </w:rPr>
          <w:t>https://www.ahajournals.org/doi/10.1161/HYPERTENSIONAHA.120.15026#d1e2437</w:t>
        </w:r>
      </w:hyperlink>
      <w:r w:rsidRPr="001F291B">
        <w:rPr>
          <w:rFonts w:eastAsia="Arial"/>
          <w:szCs w:val="24"/>
        </w:rPr>
        <w:t xml:space="preserve"> </w:t>
      </w:r>
    </w:p>
    <w:p w14:paraId="64A9B763"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UnitedHealth Group (2020). Improving health literacy could prevent nearly 1 million hospital visits and save over $25 billion a year. Health Literacy Brief. Accessed from:</w:t>
      </w:r>
      <w:hyperlink r:id="rId196">
        <w:r w:rsidRPr="001F291B">
          <w:rPr>
            <w:rFonts w:eastAsia="Arial"/>
            <w:szCs w:val="24"/>
            <w:highlight w:val="white"/>
          </w:rPr>
          <w:t xml:space="preserve"> https://www.unitedhealthgroup.com/content/dam/UHG/PDF/About/Health-Literacy-Brief.pdf</w:t>
        </w:r>
      </w:hyperlink>
    </w:p>
    <w:p w14:paraId="5DED40A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United Nations (UN), 2015. The Millennium Development Goals Report 2015. Accessed from: </w:t>
      </w:r>
      <w:hyperlink r:id="rId197">
        <w:r w:rsidRPr="001F291B">
          <w:rPr>
            <w:rFonts w:eastAsia="Arial"/>
            <w:szCs w:val="24"/>
          </w:rPr>
          <w:t>https://www.un.org/millenniumgoals/2015_MDG_Report/pdf/MDG%202015%20rev%20(July%201).pdf</w:t>
        </w:r>
      </w:hyperlink>
      <w:r w:rsidRPr="001F291B">
        <w:rPr>
          <w:rFonts w:eastAsia="Arial"/>
          <w:szCs w:val="24"/>
        </w:rPr>
        <w:t xml:space="preserve"> </w:t>
      </w:r>
    </w:p>
    <w:p w14:paraId="71D74CBE"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United Nations (UN, n.d.). World Urbanization Prospects 2018: Data Query. Annual Urban Population at Mid-Year (thousands). Accessed from: </w:t>
      </w:r>
      <w:hyperlink r:id="rId198">
        <w:r w:rsidRPr="001F291B">
          <w:rPr>
            <w:rFonts w:eastAsia="Arial"/>
            <w:szCs w:val="24"/>
          </w:rPr>
          <w:t>https://population.un.org/wup/DataQuery/</w:t>
        </w:r>
      </w:hyperlink>
      <w:r w:rsidRPr="001F291B">
        <w:rPr>
          <w:rFonts w:eastAsia="Arial"/>
          <w:szCs w:val="24"/>
        </w:rPr>
        <w:t xml:space="preserve"> </w:t>
      </w:r>
      <w:r w:rsidRPr="001F291B">
        <w:rPr>
          <w:rFonts w:eastAsia="Arial"/>
          <w:szCs w:val="24"/>
        </w:rPr>
        <w:tab/>
      </w:r>
    </w:p>
    <w:p w14:paraId="6BA806B0"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United Nations Human Settlements </w:t>
      </w:r>
      <w:proofErr w:type="spellStart"/>
      <w:r w:rsidRPr="001F291B">
        <w:rPr>
          <w:rFonts w:eastAsia="Arial"/>
          <w:szCs w:val="24"/>
        </w:rPr>
        <w:t>Programme</w:t>
      </w:r>
      <w:proofErr w:type="spellEnd"/>
      <w:r w:rsidRPr="001F291B">
        <w:rPr>
          <w:rFonts w:eastAsia="Arial"/>
          <w:szCs w:val="24"/>
        </w:rPr>
        <w:t xml:space="preserve"> (UN-HABITAT). Philippines. Accessed from </w:t>
      </w:r>
      <w:hyperlink r:id="rId199" w:anchor=":~:text=Urban%20numbers&amp;text=Level%20of%20urbanization%20grew%20from,informal%20settler%20families%20(ISFs)">
        <w:r w:rsidRPr="001F291B">
          <w:rPr>
            <w:rFonts w:eastAsia="Arial"/>
            <w:szCs w:val="24"/>
          </w:rPr>
          <w:t>https://unhabitat.org/philippines#:~:text=Urban%20numbers&amp;text=Level%20of%20urbanization%20grew%20from,informal%20settler%20families%20(ISFs)</w:t>
        </w:r>
      </w:hyperlink>
      <w:r w:rsidRPr="001F291B">
        <w:rPr>
          <w:rFonts w:eastAsia="Arial"/>
          <w:szCs w:val="24"/>
        </w:rPr>
        <w:t xml:space="preserve">. </w:t>
      </w:r>
    </w:p>
    <w:p w14:paraId="28157CE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United Nations Development Program (UNDP, 2018). Goal 11: Sustainable cities and communities. Retrieved from: </w:t>
      </w:r>
      <w:hyperlink r:id="rId200">
        <w:r w:rsidRPr="001F291B">
          <w:rPr>
            <w:rFonts w:eastAsia="Arial"/>
            <w:szCs w:val="24"/>
          </w:rPr>
          <w:t>http://www.undp.org/content/undp/en/home/sustainable-development-goals/goal-11-sustainable-cities-and-communities.html</w:t>
        </w:r>
      </w:hyperlink>
    </w:p>
    <w:p w14:paraId="5B65AA92"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highlight w:val="white"/>
        </w:rPr>
        <w:t xml:space="preserve">Nandi Joubert, Cheryl Walter, Rosa du Randt, Ann Aerts, Larissa Adams, Jan Degen, Stefanie Gall, Ivan Müller, Madeleine Nienaber, Siphesihle </w:t>
      </w:r>
      <w:proofErr w:type="spellStart"/>
      <w:r w:rsidRPr="001F291B">
        <w:rPr>
          <w:rFonts w:eastAsia="Arial"/>
          <w:szCs w:val="24"/>
          <w:highlight w:val="white"/>
        </w:rPr>
        <w:t>Nqweniso</w:t>
      </w:r>
      <w:proofErr w:type="spellEnd"/>
      <w:r w:rsidRPr="001F291B">
        <w:rPr>
          <w:rFonts w:eastAsia="Arial"/>
          <w:szCs w:val="24"/>
          <w:highlight w:val="white"/>
        </w:rPr>
        <w:t xml:space="preserve">, Sarah des </w:t>
      </w:r>
      <w:proofErr w:type="spellStart"/>
      <w:r w:rsidRPr="001F291B">
        <w:rPr>
          <w:rFonts w:eastAsia="Arial"/>
          <w:szCs w:val="24"/>
          <w:highlight w:val="white"/>
        </w:rPr>
        <w:t>Rosiers</w:t>
      </w:r>
      <w:proofErr w:type="spellEnd"/>
      <w:r w:rsidRPr="001F291B">
        <w:rPr>
          <w:rFonts w:eastAsia="Arial"/>
          <w:szCs w:val="24"/>
          <w:highlight w:val="white"/>
        </w:rPr>
        <w:t xml:space="preserve">, Harald Seelig, Danielle Smith, Peter Steinmann, Nicole Probst-Hensch, Jürg Utzinger, Uwe </w:t>
      </w:r>
      <w:proofErr w:type="spellStart"/>
      <w:r w:rsidRPr="001F291B">
        <w:rPr>
          <w:rFonts w:eastAsia="Arial"/>
          <w:szCs w:val="24"/>
          <w:highlight w:val="white"/>
        </w:rPr>
        <w:t>Pühse</w:t>
      </w:r>
      <w:proofErr w:type="spellEnd"/>
      <w:r w:rsidRPr="001F291B">
        <w:rPr>
          <w:rFonts w:eastAsia="Arial"/>
          <w:szCs w:val="24"/>
          <w:highlight w:val="white"/>
        </w:rPr>
        <w:t xml:space="preserve"> &amp; Markus Gerber (2021) Hypertension among South African children in disadvantaged areas and associations with physical activity, fitness, and cardiovascular risk markers: A cross-sectional study, Journal of Sports Sciences, 39:21, 2454-2467, DOI: </w:t>
      </w:r>
      <w:hyperlink r:id="rId201">
        <w:r w:rsidRPr="001F291B">
          <w:rPr>
            <w:rFonts w:eastAsia="Arial"/>
            <w:szCs w:val="24"/>
            <w:highlight w:val="white"/>
          </w:rPr>
          <w:t>10.1080/02640414.2021.1939964</w:t>
        </w:r>
      </w:hyperlink>
    </w:p>
    <w:p w14:paraId="664D782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Wang, G., et al., 2017. Conducting Research on the Economics of Hypertension to Improve Cardiovascular Health. Am J Prev Med. 2017 Dec; 53(6 Suppl 2): S115-S117. Accessed from: </w:t>
      </w:r>
      <w:hyperlink r:id="rId202">
        <w:r w:rsidRPr="001F291B">
          <w:rPr>
            <w:rFonts w:eastAsia="Arial"/>
            <w:szCs w:val="24"/>
          </w:rPr>
          <w:t>https://www.ncbi.nlm.nih.gov/pmc/articles/PMC5808538/</w:t>
        </w:r>
      </w:hyperlink>
    </w:p>
    <w:p w14:paraId="45077D8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 Wang J, Sun W, Wells GA, Li Z, Li T, Wu J, et al. (2018) Differences in prevalence of hypertension and associated risk factors in urban and rural residents of the northeastern region of the People’s Republic of China: A cross-sectional study. </w:t>
      </w:r>
      <w:proofErr w:type="spellStart"/>
      <w:r w:rsidRPr="001F291B">
        <w:rPr>
          <w:rFonts w:eastAsia="Arial"/>
          <w:szCs w:val="24"/>
        </w:rPr>
        <w:t>PLoS</w:t>
      </w:r>
      <w:proofErr w:type="spellEnd"/>
      <w:r w:rsidRPr="001F291B">
        <w:rPr>
          <w:rFonts w:eastAsia="Arial"/>
          <w:szCs w:val="24"/>
        </w:rPr>
        <w:t xml:space="preserve"> ONE 13(4): e0195340. </w:t>
      </w:r>
      <w:hyperlink r:id="rId203">
        <w:r w:rsidRPr="001F291B">
          <w:rPr>
            <w:rFonts w:eastAsia="Arial"/>
            <w:szCs w:val="24"/>
          </w:rPr>
          <w:t>https://doi.org/10.1371/journal.pone.0195340</w:t>
        </w:r>
      </w:hyperlink>
      <w:r w:rsidRPr="001F291B">
        <w:rPr>
          <w:rFonts w:eastAsia="Arial"/>
          <w:szCs w:val="24"/>
        </w:rPr>
        <w:t xml:space="preserve"> . Accessed from: </w:t>
      </w:r>
      <w:hyperlink r:id="rId204">
        <w:r w:rsidRPr="001F291B">
          <w:rPr>
            <w:rFonts w:eastAsia="Arial"/>
            <w:szCs w:val="24"/>
          </w:rPr>
          <w:t>https://journals.plos.org/plosone/article?id=10.1371/journal.pone.0195340</w:t>
        </w:r>
      </w:hyperlink>
      <w:r w:rsidRPr="001F291B">
        <w:rPr>
          <w:rFonts w:eastAsia="Arial"/>
          <w:szCs w:val="24"/>
        </w:rPr>
        <w:t xml:space="preserve"> </w:t>
      </w:r>
    </w:p>
    <w:p w14:paraId="4B68A76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lastRenderedPageBreak/>
        <w:t xml:space="preserve">William, M.V., </w:t>
      </w:r>
      <w:r w:rsidRPr="001F291B">
        <w:rPr>
          <w:rFonts w:eastAsia="Arial"/>
          <w:i/>
          <w:szCs w:val="24"/>
        </w:rPr>
        <w:t>et. al.</w:t>
      </w:r>
      <w:r w:rsidRPr="001F291B">
        <w:rPr>
          <w:rFonts w:eastAsia="Arial"/>
          <w:szCs w:val="24"/>
        </w:rPr>
        <w:t xml:space="preserve"> (1998). Relationship of Functional Health Literacy to Patient’s Knowledge of their Chronic Disease: A study of patients with hypertension and diabetes. Arch Intern Med. 1998;158(2):166-172. Accessed from: </w:t>
      </w:r>
      <w:hyperlink r:id="rId205">
        <w:r w:rsidRPr="001F291B">
          <w:rPr>
            <w:rFonts w:eastAsia="Arial"/>
            <w:szCs w:val="24"/>
          </w:rPr>
          <w:t>https://jamanetwork.com/journals/jamainternalmedicine/fullarticle/191123</w:t>
        </w:r>
      </w:hyperlink>
      <w:r w:rsidRPr="001F291B">
        <w:rPr>
          <w:rFonts w:eastAsia="Arial"/>
          <w:szCs w:val="24"/>
        </w:rPr>
        <w:t xml:space="preserve"> </w:t>
      </w:r>
    </w:p>
    <w:p w14:paraId="08EBB73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n.d.). Noncommunicable diseases global monitoring framework: Indicators Definitions and Specification (p. 2). Retrieved from: </w:t>
      </w:r>
      <w:hyperlink r:id="rId206">
        <w:r w:rsidRPr="001F291B">
          <w:rPr>
            <w:rFonts w:eastAsia="Arial"/>
            <w:szCs w:val="24"/>
          </w:rPr>
          <w:t>https://www.who.int/nmh/ncd-tools/indicators/GMF_Indicator_Definitions_Version_NOV2014.pdf</w:t>
        </w:r>
      </w:hyperlink>
    </w:p>
    <w:p w14:paraId="55E0C92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n.d.). Health topics: Hypertension. Accessed from: </w:t>
      </w:r>
      <w:hyperlink r:id="rId207">
        <w:r w:rsidRPr="001F291B">
          <w:rPr>
            <w:rFonts w:eastAsia="Arial"/>
            <w:szCs w:val="24"/>
          </w:rPr>
          <w:t>https://www.who.int/health-topics/hypertension/</w:t>
        </w:r>
      </w:hyperlink>
      <w:r w:rsidRPr="001F291B">
        <w:rPr>
          <w:rFonts w:eastAsia="Arial"/>
          <w:szCs w:val="24"/>
        </w:rPr>
        <w:t xml:space="preserve"> </w:t>
      </w:r>
    </w:p>
    <w:p w14:paraId="2B915634"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1998). Health Promotion Glossary, p.10. Retrieved from: </w:t>
      </w:r>
      <w:hyperlink r:id="rId208">
        <w:r w:rsidRPr="001F291B">
          <w:rPr>
            <w:rFonts w:eastAsia="Arial"/>
            <w:szCs w:val="24"/>
          </w:rPr>
          <w:t>https://www.who.int/healthpromotion/about/HPR%20Glossary%201998.pdf?ua=1</w:t>
        </w:r>
      </w:hyperlink>
    </w:p>
    <w:p w14:paraId="01A4C07E" w14:textId="7BADF719"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and Department of Health (WHO and DOH, 2009). A Training Manual for Health Workers on Healthy Lifestyle: An approach for the Prevention and Control of Noncommunicable Diseases. Accessed from: </w:t>
      </w:r>
      <w:hyperlink r:id="rId209">
        <w:r w:rsidRPr="001F291B">
          <w:rPr>
            <w:rFonts w:eastAsia="Arial"/>
            <w:szCs w:val="24"/>
          </w:rPr>
          <w:t>https://healthworkerpreparedness.files.wordpress.com/2015/05/trainersguide.pdf</w:t>
        </w:r>
      </w:hyperlink>
    </w:p>
    <w:p w14:paraId="5D24C8F6" w14:textId="11F83FA2" w:rsidR="005C6D2F"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2009). Global health risks: mortality and burden of disease attributable to selected major risks. Retrieved from: </w:t>
      </w:r>
      <w:hyperlink r:id="rId210">
        <w:r w:rsidRPr="001F291B">
          <w:rPr>
            <w:rFonts w:eastAsia="Arial"/>
            <w:szCs w:val="24"/>
          </w:rPr>
          <w:t>https://www.who.int/healthinfo/global_burden_disease/GlobalHealthRisks_report_full.pdf?ua=1&amp;ua=1</w:t>
        </w:r>
      </w:hyperlink>
      <w:r w:rsidRPr="001F291B">
        <w:rPr>
          <w:rFonts w:eastAsia="Arial"/>
          <w:szCs w:val="24"/>
        </w:rPr>
        <w:t xml:space="preserve"> </w:t>
      </w:r>
    </w:p>
    <w:p w14:paraId="508098AA" w14:textId="1208229E"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2010). Urban HEART: Urban Health Equity Assessment and Response Toolkit User Manual. Accessed from: </w:t>
      </w:r>
      <w:hyperlink r:id="rId211">
        <w:r w:rsidRPr="001F291B">
          <w:rPr>
            <w:rFonts w:eastAsia="Arial"/>
            <w:szCs w:val="24"/>
          </w:rPr>
          <w:t>https://apps.who.int/iris/bitstream/handle/10665/79061/9789241500784_eng.pdf?sequence=1&amp;isAllowed=y</w:t>
        </w:r>
      </w:hyperlink>
    </w:p>
    <w:p w14:paraId="706DA016"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(2011). Manual on the PEN Protocol on the Integrated Management of Hypertension and Diabetes. Municipality of Pateros. Accessed from: </w:t>
      </w:r>
      <w:hyperlink r:id="rId212">
        <w:r w:rsidRPr="001F291B">
          <w:rPr>
            <w:rFonts w:eastAsia="Arial"/>
            <w:szCs w:val="24"/>
          </w:rPr>
          <w:t>https://www.who.int/ncds/management/Manual_of_Procedures_on_WHO_PEN_PHL.pdf</w:t>
        </w:r>
      </w:hyperlink>
      <w:r w:rsidRPr="001F291B">
        <w:rPr>
          <w:rFonts w:eastAsia="Arial"/>
          <w:szCs w:val="24"/>
        </w:rPr>
        <w:t xml:space="preserve"> </w:t>
      </w:r>
    </w:p>
    <w:p w14:paraId="38A36AEC"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(2011). Philippine Health System Review, p.3. Health Systems in Transition Vol. 1 No. 2 2011. Retrieved from: </w:t>
      </w:r>
      <w:hyperlink r:id="rId213">
        <w:r w:rsidRPr="001F291B">
          <w:rPr>
            <w:rFonts w:eastAsia="Arial"/>
            <w:szCs w:val="24"/>
          </w:rPr>
          <w:t>http://www.wpro.who.int/philippines/areas/health_systems/financing/philippines_health_system_review.pdf</w:t>
        </w:r>
      </w:hyperlink>
    </w:p>
    <w:p w14:paraId="7049AE2F"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2014). Noncommunicable Diseases Country Profile 2014. Retrieved from: </w:t>
      </w:r>
      <w:hyperlink r:id="rId214">
        <w:r w:rsidRPr="001F291B">
          <w:rPr>
            <w:rFonts w:eastAsia="Arial"/>
            <w:szCs w:val="24"/>
          </w:rPr>
          <w:t>https://apps.who.int/iris/bitstream/handle/10665/128038/9789241507509_eng.pdf?sequence=1</w:t>
        </w:r>
      </w:hyperlink>
    </w:p>
    <w:p w14:paraId="5E786A31" w14:textId="136F7789" w:rsidR="005C6D2F"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2005). WHO STEPS Surveillance Manual: WHO </w:t>
      </w:r>
      <w:proofErr w:type="spellStart"/>
      <w:r w:rsidRPr="001F291B">
        <w:rPr>
          <w:rFonts w:eastAsia="Arial"/>
          <w:szCs w:val="24"/>
        </w:rPr>
        <w:t>STEPwise</w:t>
      </w:r>
      <w:proofErr w:type="spellEnd"/>
      <w:r w:rsidRPr="001F291B">
        <w:rPr>
          <w:rFonts w:eastAsia="Arial"/>
          <w:szCs w:val="24"/>
        </w:rPr>
        <w:t xml:space="preserve"> approach to noncommunicable disease risk factor surveillance. </w:t>
      </w:r>
      <w:r w:rsidRPr="001F291B">
        <w:rPr>
          <w:rFonts w:eastAsia="Arial"/>
          <w:szCs w:val="24"/>
        </w:rPr>
        <w:lastRenderedPageBreak/>
        <w:t xml:space="preserve">Accessed from: </w:t>
      </w:r>
      <w:hyperlink r:id="rId215">
        <w:r w:rsidRPr="001F291B">
          <w:rPr>
            <w:rFonts w:eastAsia="Arial"/>
            <w:szCs w:val="24"/>
          </w:rPr>
          <w:t>https://apps.who.int/iris/bitstream/handle/10665/43376/9241593830_eng.pdf?sequence=1%26isAllowed=y</w:t>
        </w:r>
      </w:hyperlink>
      <w:r w:rsidRPr="001F291B">
        <w:rPr>
          <w:rFonts w:eastAsia="Arial"/>
          <w:szCs w:val="24"/>
        </w:rPr>
        <w:t xml:space="preserve"> </w:t>
      </w:r>
    </w:p>
    <w:p w14:paraId="4796E910" w14:textId="673E5CBB"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STEPS Instrument Question-by-Question Guide (Core and Expanded). Accessed from: </w:t>
      </w:r>
      <w:hyperlink r:id="rId216">
        <w:r w:rsidRPr="001F291B">
          <w:rPr>
            <w:rFonts w:eastAsia="Arial"/>
            <w:szCs w:val="24"/>
          </w:rPr>
          <w:t>https://score.tools.who.int/fileadmin/uploads/score/Documents/Survey_populations_and_health_risks/STEPs/STEPS%20Question%20by%20Question%20Guide.pdf</w:t>
        </w:r>
      </w:hyperlink>
      <w:r w:rsidRPr="001F291B">
        <w:rPr>
          <w:rFonts w:eastAsia="Arial"/>
          <w:szCs w:val="24"/>
        </w:rPr>
        <w:t xml:space="preserve"> </w:t>
      </w:r>
    </w:p>
    <w:p w14:paraId="0377D465"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2021). Noncommunicable Diseases. Retrieved from: </w:t>
      </w:r>
      <w:hyperlink r:id="rId217">
        <w:r w:rsidRPr="001F291B">
          <w:rPr>
            <w:rFonts w:eastAsia="Arial"/>
            <w:szCs w:val="24"/>
          </w:rPr>
          <w:t>https://www.who.int/news-room/fact-sheets/detail/noncommunicable-diseases</w:t>
        </w:r>
      </w:hyperlink>
      <w:r w:rsidRPr="001F291B">
        <w:rPr>
          <w:rFonts w:eastAsia="Arial"/>
          <w:szCs w:val="24"/>
        </w:rPr>
        <w:t xml:space="preserve"> </w:t>
      </w:r>
    </w:p>
    <w:p w14:paraId="271BE86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2021). Hypertension. 25 </w:t>
      </w:r>
      <w:proofErr w:type="gramStart"/>
      <w:r w:rsidRPr="001F291B">
        <w:rPr>
          <w:rFonts w:eastAsia="Arial"/>
          <w:szCs w:val="24"/>
        </w:rPr>
        <w:t>August,</w:t>
      </w:r>
      <w:proofErr w:type="gramEnd"/>
      <w:r w:rsidRPr="001F291B">
        <w:rPr>
          <w:rFonts w:eastAsia="Arial"/>
          <w:szCs w:val="24"/>
        </w:rPr>
        <w:t xml:space="preserve"> 2021. Accessed from: </w:t>
      </w:r>
      <w:hyperlink r:id="rId218">
        <w:r w:rsidRPr="001F291B">
          <w:rPr>
            <w:rFonts w:eastAsia="Arial"/>
            <w:szCs w:val="24"/>
          </w:rPr>
          <w:t>https://www.who.int/news-room/fact-sheets/detail/hypertension</w:t>
        </w:r>
      </w:hyperlink>
      <w:r w:rsidRPr="001F291B">
        <w:rPr>
          <w:rFonts w:eastAsia="Arial"/>
          <w:szCs w:val="24"/>
        </w:rPr>
        <w:t xml:space="preserve"> </w:t>
      </w:r>
    </w:p>
    <w:p w14:paraId="74AF9CB8"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2023). Hypertension. 16 </w:t>
      </w:r>
      <w:proofErr w:type="gramStart"/>
      <w:r w:rsidRPr="001F291B">
        <w:rPr>
          <w:rFonts w:eastAsia="Arial"/>
          <w:szCs w:val="24"/>
        </w:rPr>
        <w:t>March,</w:t>
      </w:r>
      <w:proofErr w:type="gramEnd"/>
      <w:r w:rsidRPr="001F291B">
        <w:rPr>
          <w:rFonts w:eastAsia="Arial"/>
          <w:szCs w:val="24"/>
        </w:rPr>
        <w:t xml:space="preserve"> 2023. Accessed from: </w:t>
      </w:r>
      <w:hyperlink r:id="rId219">
        <w:r w:rsidRPr="001F291B">
          <w:rPr>
            <w:rFonts w:eastAsia="Arial"/>
            <w:szCs w:val="24"/>
          </w:rPr>
          <w:t>https://www.who.int/news-room/fact-sheets/detail/hypertension</w:t>
        </w:r>
      </w:hyperlink>
      <w:r w:rsidRPr="001F291B">
        <w:rPr>
          <w:rFonts w:eastAsia="Arial"/>
          <w:szCs w:val="24"/>
        </w:rPr>
        <w:t xml:space="preserve"> </w:t>
      </w:r>
    </w:p>
    <w:p w14:paraId="101C2ED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2020). WHO </w:t>
      </w:r>
      <w:proofErr w:type="gramStart"/>
      <w:r w:rsidRPr="001F291B">
        <w:rPr>
          <w:rFonts w:eastAsia="Arial"/>
          <w:szCs w:val="24"/>
        </w:rPr>
        <w:t>package</w:t>
      </w:r>
      <w:proofErr w:type="gramEnd"/>
      <w:r w:rsidRPr="001F291B">
        <w:rPr>
          <w:rFonts w:eastAsia="Arial"/>
          <w:szCs w:val="24"/>
        </w:rPr>
        <w:t xml:space="preserve"> of essential noncommunicable (PEN) disease interventions for primary health care </w:t>
      </w:r>
      <w:r w:rsidRPr="001F291B">
        <w:rPr>
          <w:rFonts w:eastAsia="Arial"/>
          <w:i/>
          <w:szCs w:val="24"/>
        </w:rPr>
        <w:t>(download material)</w:t>
      </w:r>
      <w:r w:rsidRPr="001F291B">
        <w:rPr>
          <w:rFonts w:eastAsia="Arial"/>
          <w:szCs w:val="24"/>
        </w:rPr>
        <w:t xml:space="preserve">. Retrieved from: </w:t>
      </w:r>
      <w:hyperlink r:id="rId220">
        <w:r w:rsidRPr="001F291B">
          <w:rPr>
            <w:rFonts w:eastAsia="Arial"/>
            <w:szCs w:val="24"/>
          </w:rPr>
          <w:t>https://www.who.int/publications/i/item/9789240009226</w:t>
        </w:r>
      </w:hyperlink>
      <w:r w:rsidRPr="001F291B">
        <w:rPr>
          <w:rFonts w:eastAsia="Arial"/>
          <w:szCs w:val="24"/>
        </w:rPr>
        <w:t xml:space="preserve"> </w:t>
      </w:r>
    </w:p>
    <w:p w14:paraId="243E9D0B"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World Health Organization (WHO, 2023). Ninth Global Conference on Health Promotion, Shanghai 2016. Accessed: May 2, 2023. Accessed from:  </w:t>
      </w:r>
      <w:proofErr w:type="gramStart"/>
      <w:r w:rsidRPr="001F291B">
        <w:rPr>
          <w:rFonts w:eastAsia="Arial"/>
          <w:szCs w:val="24"/>
        </w:rPr>
        <w:t>https://www.who.int/teams/health-promotion/enhanced-well-being/ninth-global-conference/health-literacy</w:t>
      </w:r>
      <w:proofErr w:type="gramEnd"/>
      <w:r w:rsidRPr="001F291B">
        <w:rPr>
          <w:rFonts w:eastAsia="Arial"/>
          <w:szCs w:val="24"/>
        </w:rPr>
        <w:t xml:space="preserve"> </w:t>
      </w:r>
    </w:p>
    <w:p w14:paraId="111B70C9"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proofErr w:type="spellStart"/>
      <w:r w:rsidRPr="001F291B">
        <w:rPr>
          <w:rFonts w:eastAsia="Arial"/>
          <w:szCs w:val="24"/>
        </w:rPr>
        <w:t>Xiaoruo</w:t>
      </w:r>
      <w:proofErr w:type="spellEnd"/>
      <w:r w:rsidRPr="001F291B">
        <w:rPr>
          <w:rFonts w:eastAsia="Arial"/>
          <w:szCs w:val="24"/>
        </w:rPr>
        <w:t xml:space="preserve">, Z., </w:t>
      </w:r>
      <w:r w:rsidRPr="001F291B">
        <w:rPr>
          <w:rFonts w:eastAsia="Arial"/>
          <w:i/>
          <w:szCs w:val="24"/>
        </w:rPr>
        <w:t xml:space="preserve">et. al. </w:t>
      </w:r>
      <w:r w:rsidRPr="001F291B">
        <w:rPr>
          <w:rFonts w:eastAsia="Arial"/>
          <w:szCs w:val="24"/>
        </w:rPr>
        <w:t xml:space="preserve">(2018). A4367 Effect of education on health literacy of hypertensive patients (Abstract). Journal of Hypertension: October 2018 – Volume 36 – Issue – p e294. Accessed from: </w:t>
      </w:r>
      <w:proofErr w:type="gramStart"/>
      <w:r w:rsidRPr="001F291B">
        <w:rPr>
          <w:rFonts w:eastAsia="Arial"/>
          <w:szCs w:val="24"/>
        </w:rPr>
        <w:t>https://journals.lww.com/jhypertension/Abstract/2018/10003/A4367_Effect_of_education_on_health_literacy_of.1215.aspx</w:t>
      </w:r>
      <w:proofErr w:type="gramEnd"/>
      <w:r w:rsidRPr="001F291B">
        <w:rPr>
          <w:rFonts w:eastAsia="Arial"/>
          <w:szCs w:val="24"/>
        </w:rPr>
        <w:t xml:space="preserve"> </w:t>
      </w:r>
    </w:p>
    <w:p w14:paraId="64C294ED" w14:textId="77777777" w:rsidR="007C6854" w:rsidRPr="001F291B" w:rsidRDefault="00E0219E" w:rsidP="00FD5DC4">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Xing L, et. al. (2019). Urban-Rural disparities in status of hypertension in northeastern China: a population-based study, 2017-2019. Clin Epidemiol. 2019; 11: 801-820. Accessed from: </w:t>
      </w:r>
      <w:proofErr w:type="gramStart"/>
      <w:r w:rsidRPr="001F291B">
        <w:rPr>
          <w:rFonts w:eastAsia="Arial"/>
          <w:szCs w:val="24"/>
        </w:rPr>
        <w:t>https://www.ncbi.nlm.nih.gov/pmc/articles/PMC6731973/#__ffn_sectitle</w:t>
      </w:r>
      <w:proofErr w:type="gramEnd"/>
      <w:r w:rsidRPr="001F291B">
        <w:rPr>
          <w:rFonts w:eastAsia="Arial"/>
          <w:szCs w:val="24"/>
        </w:rPr>
        <w:t xml:space="preserve"> </w:t>
      </w:r>
    </w:p>
    <w:p w14:paraId="00DA53A4" w14:textId="34053432" w:rsidR="007C6854" w:rsidRPr="00BE4720" w:rsidRDefault="00E0219E" w:rsidP="00BE4720">
      <w:pPr>
        <w:pBdr>
          <w:top w:val="nil"/>
          <w:left w:val="nil"/>
          <w:bottom w:val="nil"/>
          <w:right w:val="nil"/>
          <w:between w:val="nil"/>
        </w:pBdr>
        <w:spacing w:after="240" w:line="240" w:lineRule="auto"/>
        <w:ind w:left="480" w:hanging="720"/>
        <w:jc w:val="both"/>
        <w:rPr>
          <w:rFonts w:eastAsia="Arial"/>
          <w:szCs w:val="24"/>
        </w:rPr>
      </w:pPr>
      <w:r w:rsidRPr="001F291B">
        <w:rPr>
          <w:rFonts w:eastAsia="Arial"/>
          <w:szCs w:val="24"/>
        </w:rPr>
        <w:t xml:space="preserve">Xu, XY, Leung, AYM, Chau, PH (2018). Health Literacy, Self-Efficacy, and Associated Factors Among Patients with Diabetes. Health Lit Res </w:t>
      </w:r>
      <w:proofErr w:type="spellStart"/>
      <w:r w:rsidRPr="001F291B">
        <w:rPr>
          <w:rFonts w:eastAsia="Arial"/>
          <w:szCs w:val="24"/>
        </w:rPr>
        <w:t>Pract</w:t>
      </w:r>
      <w:proofErr w:type="spellEnd"/>
      <w:r w:rsidRPr="001F291B">
        <w:rPr>
          <w:rFonts w:eastAsia="Arial"/>
          <w:szCs w:val="24"/>
        </w:rPr>
        <w:t xml:space="preserve">. 2018 Apr 12;2(2): e67-e77. Published online 2018 Apr 12. Accessed from: </w:t>
      </w:r>
      <w:proofErr w:type="gramStart"/>
      <w:r w:rsidRPr="001F291B">
        <w:rPr>
          <w:rFonts w:eastAsia="Arial"/>
          <w:szCs w:val="24"/>
        </w:rPr>
        <w:t>https://www.ncbi.nlm.nih.gov/pmc/articles/PMC6607806/</w:t>
      </w:r>
      <w:proofErr w:type="gramEnd"/>
    </w:p>
    <w:p w14:paraId="52C77C97" w14:textId="77777777" w:rsidR="007C6854" w:rsidRDefault="007C6854">
      <w:pPr>
        <w:spacing w:after="160" w:line="259" w:lineRule="auto"/>
        <w:jc w:val="center"/>
        <w:rPr>
          <w:rFonts w:eastAsia="Arial" w:cs="Arial"/>
          <w:b/>
          <w:sz w:val="52"/>
          <w:szCs w:val="52"/>
        </w:rPr>
      </w:pPr>
    </w:p>
    <w:p w14:paraId="4A0387AB" w14:textId="77777777" w:rsidR="007C6854" w:rsidRDefault="007C6854">
      <w:pPr>
        <w:spacing w:after="160" w:line="259" w:lineRule="auto"/>
        <w:jc w:val="center"/>
        <w:rPr>
          <w:rFonts w:eastAsia="Arial" w:cs="Arial"/>
          <w:b/>
          <w:sz w:val="52"/>
          <w:szCs w:val="52"/>
        </w:rPr>
      </w:pPr>
    </w:p>
    <w:p w14:paraId="43465A35" w14:textId="462F66F9" w:rsidR="00495AE1" w:rsidRDefault="00495AE1">
      <w:pPr>
        <w:rPr>
          <w:rFonts w:eastAsia="Arial" w:cs="Arial"/>
          <w:b/>
          <w:szCs w:val="24"/>
        </w:rPr>
      </w:pPr>
      <w:r>
        <w:rPr>
          <w:rFonts w:eastAsia="Arial" w:cs="Arial"/>
          <w:szCs w:val="24"/>
        </w:rPr>
        <w:br w:type="page"/>
      </w:r>
    </w:p>
    <w:p w14:paraId="238E47CF" w14:textId="77777777" w:rsidR="007C6854" w:rsidRDefault="007C6854" w:rsidP="00495AE1">
      <w:pPr>
        <w:pStyle w:val="Heading1"/>
        <w:rPr>
          <w:rFonts w:eastAsia="Arial" w:cs="Arial"/>
          <w:sz w:val="24"/>
          <w:szCs w:val="24"/>
        </w:rPr>
      </w:pPr>
    </w:p>
    <w:p w14:paraId="67B27BE9" w14:textId="77777777" w:rsidR="00495AE1" w:rsidRDefault="00495AE1" w:rsidP="00495AE1"/>
    <w:p w14:paraId="0BA4FE21" w14:textId="77777777" w:rsidR="00495AE1" w:rsidRDefault="00495AE1" w:rsidP="00495AE1"/>
    <w:p w14:paraId="07B7A7A5" w14:textId="77777777" w:rsidR="00495AE1" w:rsidRDefault="00495AE1" w:rsidP="00495AE1"/>
    <w:p w14:paraId="43861C5F" w14:textId="77777777" w:rsidR="00495AE1" w:rsidRDefault="00495AE1" w:rsidP="00495AE1"/>
    <w:p w14:paraId="650D7E47" w14:textId="77777777" w:rsidR="00495AE1" w:rsidRDefault="00495AE1" w:rsidP="00495AE1"/>
    <w:p w14:paraId="425A472D" w14:textId="77777777" w:rsidR="00495AE1" w:rsidRDefault="00495AE1" w:rsidP="00495AE1"/>
    <w:p w14:paraId="0F06DD08" w14:textId="77777777" w:rsidR="00495AE1" w:rsidRDefault="00495AE1" w:rsidP="00495AE1"/>
    <w:p w14:paraId="3FCD14CB" w14:textId="77777777" w:rsidR="00495AE1" w:rsidRDefault="00495AE1" w:rsidP="00495AE1"/>
    <w:p w14:paraId="4E8977B4" w14:textId="77777777" w:rsidR="00495AE1" w:rsidRDefault="00495AE1" w:rsidP="00495AE1"/>
    <w:p w14:paraId="51A8BF1B" w14:textId="77777777" w:rsidR="00495AE1" w:rsidRDefault="00495AE1" w:rsidP="00495AE1"/>
    <w:p w14:paraId="7C90759F" w14:textId="77777777" w:rsidR="00495AE1" w:rsidRPr="00495AE1" w:rsidRDefault="00495AE1" w:rsidP="00495AE1"/>
    <w:p w14:paraId="7CFF7CA4" w14:textId="77777777" w:rsidR="007C6854" w:rsidRDefault="00E0219E">
      <w:pPr>
        <w:pStyle w:val="Heading1"/>
        <w:jc w:val="center"/>
        <w:rPr>
          <w:rFonts w:eastAsia="Arial" w:cs="Arial"/>
          <w:sz w:val="24"/>
          <w:szCs w:val="24"/>
        </w:rPr>
      </w:pPr>
      <w:bookmarkStart w:id="71" w:name="_heading=h.25b2l0r" w:colFirst="0" w:colLast="0"/>
      <w:bookmarkEnd w:id="71"/>
      <w:r>
        <w:rPr>
          <w:rFonts w:eastAsia="Arial" w:cs="Arial"/>
          <w:sz w:val="24"/>
          <w:szCs w:val="24"/>
        </w:rPr>
        <w:t>APPENDICES</w:t>
      </w:r>
      <w:r>
        <w:br w:type="page"/>
      </w:r>
    </w:p>
    <w:p w14:paraId="705D942A" w14:textId="77777777" w:rsidR="007C6854" w:rsidRDefault="00E0219E">
      <w:pPr>
        <w:pStyle w:val="Heading2"/>
        <w:jc w:val="center"/>
        <w:rPr>
          <w:rFonts w:eastAsia="Arial" w:cs="Arial"/>
          <w:sz w:val="24"/>
          <w:szCs w:val="24"/>
        </w:rPr>
      </w:pPr>
      <w:bookmarkStart w:id="72" w:name="_heading=h.kgcv8k" w:colFirst="0" w:colLast="0"/>
      <w:bookmarkEnd w:id="72"/>
      <w:r>
        <w:rPr>
          <w:rFonts w:eastAsia="Arial" w:cs="Arial"/>
          <w:sz w:val="24"/>
          <w:szCs w:val="24"/>
        </w:rPr>
        <w:lastRenderedPageBreak/>
        <w:t>Appendix A: Curriculum Vitae of the Student</w:t>
      </w:r>
    </w:p>
    <w:p w14:paraId="510A015F" w14:textId="77777777" w:rsidR="007C6854" w:rsidRDefault="007C6854">
      <w:pPr>
        <w:spacing w:after="160" w:line="259" w:lineRule="auto"/>
        <w:rPr>
          <w:rFonts w:eastAsia="Arial" w:cs="Arial"/>
          <w:b/>
          <w:szCs w:val="24"/>
        </w:rPr>
      </w:pPr>
    </w:p>
    <w:p w14:paraId="07E38BEE" w14:textId="77777777" w:rsidR="007C6854" w:rsidRDefault="00E0219E">
      <w:pPr>
        <w:rPr>
          <w:rFonts w:eastAsia="Arial" w:cs="Arial"/>
          <w:szCs w:val="24"/>
        </w:rPr>
      </w:pPr>
      <w:r>
        <w:rPr>
          <w:rFonts w:eastAsia="Arial" w:cs="Arial"/>
          <w:b/>
          <w:noProof/>
          <w:szCs w:val="24"/>
        </w:rPr>
        <w:drawing>
          <wp:anchor distT="0" distB="0" distL="0" distR="0" simplePos="0" relativeHeight="251660288" behindDoc="0" locked="0" layoutInCell="1" hidden="0" allowOverlap="1" wp14:anchorId="24972FE8" wp14:editId="57159FBC">
            <wp:simplePos x="0" y="0"/>
            <wp:positionH relativeFrom="page">
              <wp:posOffset>5396865</wp:posOffset>
            </wp:positionH>
            <wp:positionV relativeFrom="page">
              <wp:posOffset>1633220</wp:posOffset>
            </wp:positionV>
            <wp:extent cx="1350645" cy="1349375"/>
            <wp:effectExtent l="0" t="0" r="0" b="0"/>
            <wp:wrapSquare wrapText="bothSides" distT="0" distB="0" distL="0" distR="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1"/>
                    <a:srcRect/>
                    <a:stretch>
                      <a:fillRect/>
                    </a:stretch>
                  </pic:blipFill>
                  <pic:spPr>
                    <a:xfrm>
                      <a:off x="0" y="0"/>
                      <a:ext cx="1350645" cy="1349375"/>
                    </a:xfrm>
                    <a:prstGeom prst="rect">
                      <a:avLst/>
                    </a:prstGeom>
                    <a:ln/>
                  </pic:spPr>
                </pic:pic>
              </a:graphicData>
            </a:graphic>
          </wp:anchor>
        </w:drawing>
      </w:r>
      <w:r>
        <w:rPr>
          <w:rFonts w:eastAsia="Arial" w:cs="Arial"/>
          <w:b/>
          <w:szCs w:val="24"/>
        </w:rPr>
        <w:t xml:space="preserve">                          Rammell Eric Capco Martinez</w:t>
      </w:r>
    </w:p>
    <w:p w14:paraId="3F7BEAF3" w14:textId="77777777" w:rsidR="007C6854" w:rsidRDefault="00E0219E">
      <w:pPr>
        <w:spacing w:after="0" w:line="240" w:lineRule="auto"/>
        <w:ind w:right="2260"/>
        <w:jc w:val="center"/>
        <w:rPr>
          <w:rFonts w:eastAsia="Arial" w:cs="Arial"/>
          <w:szCs w:val="24"/>
        </w:rPr>
      </w:pPr>
      <w:r>
        <w:rPr>
          <w:rFonts w:eastAsia="Arial" w:cs="Arial"/>
          <w:szCs w:val="24"/>
        </w:rPr>
        <w:t>Diploma in International Health</w:t>
      </w:r>
    </w:p>
    <w:p w14:paraId="0FF13CAE" w14:textId="77777777" w:rsidR="007C6854" w:rsidRDefault="00E0219E">
      <w:pPr>
        <w:spacing w:after="0" w:line="240" w:lineRule="auto"/>
        <w:ind w:right="2260"/>
        <w:jc w:val="center"/>
        <w:rPr>
          <w:rFonts w:eastAsia="Arial" w:cs="Arial"/>
          <w:szCs w:val="24"/>
        </w:rPr>
      </w:pPr>
      <w:r>
        <w:rPr>
          <w:rFonts w:eastAsia="Arial" w:cs="Arial"/>
          <w:szCs w:val="24"/>
        </w:rPr>
        <w:t xml:space="preserve">Public Health Specialist in Applied Epidemiology (Philippine FETP) </w:t>
      </w:r>
    </w:p>
    <w:p w14:paraId="34B18EDE" w14:textId="77777777" w:rsidR="007C6854" w:rsidRDefault="00E0219E">
      <w:pPr>
        <w:spacing w:after="0" w:line="240" w:lineRule="auto"/>
        <w:ind w:right="2260"/>
        <w:jc w:val="center"/>
        <w:rPr>
          <w:rFonts w:eastAsia="Arial" w:cs="Arial"/>
          <w:szCs w:val="24"/>
        </w:rPr>
      </w:pPr>
      <w:r>
        <w:rPr>
          <w:rFonts w:eastAsia="Arial" w:cs="Arial"/>
          <w:szCs w:val="24"/>
        </w:rPr>
        <w:t>Registered Nurse - PRC License #: 0265514</w:t>
      </w:r>
    </w:p>
    <w:p w14:paraId="1AC2A235" w14:textId="77777777" w:rsidR="007C6854" w:rsidRDefault="007C6854">
      <w:pPr>
        <w:spacing w:after="0" w:line="240" w:lineRule="auto"/>
        <w:ind w:right="2260"/>
        <w:jc w:val="center"/>
        <w:rPr>
          <w:rFonts w:eastAsia="Arial" w:cs="Arial"/>
          <w:szCs w:val="24"/>
        </w:rPr>
      </w:pPr>
    </w:p>
    <w:p w14:paraId="37D590A3" w14:textId="77777777" w:rsidR="007C6854" w:rsidRDefault="00E0219E">
      <w:pPr>
        <w:spacing w:after="0" w:line="240" w:lineRule="auto"/>
        <w:rPr>
          <w:rFonts w:eastAsia="Arial" w:cs="Arial"/>
          <w:szCs w:val="24"/>
        </w:rPr>
      </w:pPr>
      <w:r>
        <w:rPr>
          <w:rFonts w:eastAsia="Arial" w:cs="Arial"/>
          <w:szCs w:val="24"/>
        </w:rPr>
        <w:t xml:space="preserve">214 P. Rosales St.., Sta. Ana Pateros, Metro Manila, Philippines. 1621 </w:t>
      </w:r>
    </w:p>
    <w:p w14:paraId="171A9EB3" w14:textId="77777777" w:rsidR="007C6854" w:rsidRDefault="00E0219E">
      <w:pPr>
        <w:spacing w:after="0" w:line="240" w:lineRule="auto"/>
        <w:rPr>
          <w:rFonts w:eastAsia="Arial" w:cs="Arial"/>
          <w:szCs w:val="24"/>
        </w:rPr>
      </w:pPr>
      <w:r>
        <w:rPr>
          <w:rFonts w:eastAsia="Arial" w:cs="Arial"/>
          <w:szCs w:val="24"/>
        </w:rPr>
        <w:t>Mobile #: +63-917-5209614 or +63-921-447-7490</w:t>
      </w:r>
    </w:p>
    <w:p w14:paraId="7346F890" w14:textId="77777777" w:rsidR="007C6854" w:rsidRDefault="007C6854">
      <w:pPr>
        <w:spacing w:after="0" w:line="240" w:lineRule="auto"/>
        <w:rPr>
          <w:rFonts w:eastAsia="Arial" w:cs="Arial"/>
          <w:szCs w:val="24"/>
        </w:rPr>
      </w:pPr>
    </w:p>
    <w:p w14:paraId="04BAADB8" w14:textId="77777777" w:rsidR="007C6854" w:rsidRDefault="00E0219E">
      <w:pPr>
        <w:spacing w:after="0" w:line="240" w:lineRule="auto"/>
        <w:rPr>
          <w:rFonts w:eastAsia="Arial" w:cs="Arial"/>
          <w:szCs w:val="24"/>
        </w:rPr>
      </w:pPr>
      <w:r>
        <w:rPr>
          <w:rFonts w:eastAsia="Arial" w:cs="Arial"/>
          <w:szCs w:val="24"/>
        </w:rPr>
        <w:t xml:space="preserve">E-Mail Address: rammell.martinez@gmail.com / rcmartinez3@up.edu.ph </w:t>
      </w:r>
    </w:p>
    <w:p w14:paraId="08A713A2" w14:textId="77777777" w:rsidR="007C6854" w:rsidRDefault="007C6854">
      <w:pPr>
        <w:spacing w:line="20" w:lineRule="auto"/>
        <w:rPr>
          <w:rFonts w:eastAsia="Arial" w:cs="Arial"/>
          <w:szCs w:val="24"/>
        </w:rPr>
      </w:pPr>
    </w:p>
    <w:p w14:paraId="0CA8F2A4" w14:textId="77777777" w:rsidR="007C6854" w:rsidRDefault="00E0219E">
      <w:pPr>
        <w:spacing w:after="0"/>
        <w:rPr>
          <w:rFonts w:eastAsia="Arial" w:cs="Arial"/>
          <w:sz w:val="20"/>
          <w:szCs w:val="20"/>
        </w:rPr>
      </w:pPr>
      <w:r>
        <w:rPr>
          <w:rFonts w:eastAsia="Arial" w:cs="Arial"/>
          <w:b/>
          <w:i/>
          <w:sz w:val="20"/>
          <w:szCs w:val="20"/>
          <w:u w:val="single"/>
        </w:rPr>
        <w:t>Consultancy and Project Involvement from 2013 to present</w:t>
      </w:r>
    </w:p>
    <w:p w14:paraId="48712750" w14:textId="77777777" w:rsidR="007C6854" w:rsidRDefault="007C6854">
      <w:pPr>
        <w:spacing w:after="0" w:line="271" w:lineRule="auto"/>
        <w:rPr>
          <w:rFonts w:eastAsia="Arial" w:cs="Arial"/>
          <w:sz w:val="20"/>
          <w:szCs w:val="20"/>
        </w:rPr>
      </w:pPr>
    </w:p>
    <w:p w14:paraId="37FE0892" w14:textId="77777777" w:rsidR="007C6854" w:rsidRDefault="00E0219E">
      <w:pPr>
        <w:numPr>
          <w:ilvl w:val="0"/>
          <w:numId w:val="34"/>
        </w:numPr>
        <w:tabs>
          <w:tab w:val="left" w:pos="720"/>
        </w:tabs>
        <w:spacing w:after="0" w:line="223" w:lineRule="auto"/>
        <w:ind w:left="720" w:right="280" w:hanging="360"/>
        <w:rPr>
          <w:rFonts w:eastAsia="Arial" w:cs="Arial"/>
          <w:sz w:val="20"/>
          <w:szCs w:val="20"/>
        </w:rPr>
      </w:pPr>
      <w:r>
        <w:rPr>
          <w:rFonts w:eastAsia="Arial" w:cs="Arial"/>
          <w:b/>
          <w:sz w:val="20"/>
          <w:szCs w:val="20"/>
        </w:rPr>
        <w:t xml:space="preserve">COVID-19 Response </w:t>
      </w:r>
      <w:r>
        <w:rPr>
          <w:rFonts w:eastAsia="Arial" w:cs="Arial"/>
          <w:sz w:val="20"/>
          <w:szCs w:val="20"/>
        </w:rPr>
        <w:t>(Re-purpose)</w:t>
      </w:r>
      <w:r>
        <w:rPr>
          <w:rFonts w:eastAsia="Arial" w:cs="Arial"/>
          <w:b/>
          <w:sz w:val="20"/>
          <w:szCs w:val="20"/>
        </w:rPr>
        <w:t xml:space="preserve">, </w:t>
      </w:r>
      <w:r>
        <w:rPr>
          <w:rFonts w:eastAsia="Arial" w:cs="Arial"/>
          <w:sz w:val="20"/>
          <w:szCs w:val="20"/>
        </w:rPr>
        <w:t>World health Organization, under a Special Service Agreement (SSA) contract. April, 2020 – 30 November 2020</w:t>
      </w:r>
    </w:p>
    <w:p w14:paraId="279BA115" w14:textId="77777777" w:rsidR="007C6854" w:rsidRDefault="00E0219E">
      <w:pPr>
        <w:numPr>
          <w:ilvl w:val="1"/>
          <w:numId w:val="7"/>
        </w:numPr>
        <w:tabs>
          <w:tab w:val="left" w:pos="720"/>
        </w:tabs>
        <w:spacing w:after="0" w:line="223" w:lineRule="auto"/>
        <w:ind w:right="280"/>
        <w:rPr>
          <w:rFonts w:eastAsia="Arial" w:cs="Arial"/>
          <w:sz w:val="20"/>
          <w:szCs w:val="20"/>
        </w:rPr>
      </w:pPr>
      <w:r>
        <w:rPr>
          <w:rFonts w:eastAsia="Arial" w:cs="Arial"/>
          <w:sz w:val="20"/>
          <w:szCs w:val="20"/>
        </w:rPr>
        <w:t xml:space="preserve">      </w:t>
      </w:r>
      <w:r>
        <w:rPr>
          <w:rFonts w:eastAsia="Arial" w:cs="Arial"/>
          <w:sz w:val="20"/>
          <w:szCs w:val="20"/>
        </w:rPr>
        <w:tab/>
        <w:t>Re-purpose to assist in the Regional Operation on the Drafting and Roll-out Training of Contact Tracing Module (April to June 2020)</w:t>
      </w:r>
    </w:p>
    <w:p w14:paraId="187F6684" w14:textId="77777777" w:rsidR="007C6854" w:rsidRDefault="00E0219E">
      <w:pPr>
        <w:numPr>
          <w:ilvl w:val="1"/>
          <w:numId w:val="7"/>
        </w:numPr>
        <w:tabs>
          <w:tab w:val="left" w:pos="720"/>
        </w:tabs>
        <w:spacing w:after="0" w:line="223" w:lineRule="auto"/>
        <w:ind w:right="280"/>
        <w:rPr>
          <w:rFonts w:eastAsia="Arial" w:cs="Arial"/>
          <w:sz w:val="20"/>
          <w:szCs w:val="20"/>
        </w:rPr>
      </w:pPr>
      <w:r>
        <w:rPr>
          <w:rFonts w:eastAsia="Arial" w:cs="Arial"/>
          <w:sz w:val="20"/>
          <w:szCs w:val="20"/>
        </w:rPr>
        <w:t xml:space="preserve">            Deployed in Central Visayas to assist in strengthening surveillance and contact tracing system in the region (June to July 2020)</w:t>
      </w:r>
    </w:p>
    <w:p w14:paraId="6A8C9F28" w14:textId="77777777" w:rsidR="007C6854" w:rsidRDefault="00E0219E">
      <w:pPr>
        <w:numPr>
          <w:ilvl w:val="1"/>
          <w:numId w:val="7"/>
        </w:numPr>
        <w:tabs>
          <w:tab w:val="left" w:pos="720"/>
        </w:tabs>
        <w:spacing w:after="0" w:line="223" w:lineRule="auto"/>
        <w:ind w:right="280"/>
        <w:rPr>
          <w:rFonts w:eastAsia="Arial" w:cs="Arial"/>
          <w:sz w:val="20"/>
          <w:szCs w:val="20"/>
        </w:rPr>
      </w:pPr>
      <w:r>
        <w:rPr>
          <w:rFonts w:eastAsia="Arial" w:cs="Arial"/>
          <w:sz w:val="20"/>
          <w:szCs w:val="20"/>
        </w:rPr>
        <w:t xml:space="preserve">            Re-purpose to support COVID-19 Response in the NCR as Sub-pillar lead and assist </w:t>
      </w:r>
      <w:proofErr w:type="spellStart"/>
      <w:r>
        <w:rPr>
          <w:rFonts w:eastAsia="Arial" w:cs="Arial"/>
          <w:sz w:val="20"/>
          <w:szCs w:val="20"/>
        </w:rPr>
        <w:t>Navotas</w:t>
      </w:r>
      <w:proofErr w:type="spellEnd"/>
      <w:r>
        <w:rPr>
          <w:rFonts w:eastAsia="Arial" w:cs="Arial"/>
          <w:sz w:val="20"/>
          <w:szCs w:val="20"/>
        </w:rPr>
        <w:t xml:space="preserve"> City in strengthening surveillance system through data analytics (July to September 2020)</w:t>
      </w:r>
    </w:p>
    <w:p w14:paraId="2FC2AD21" w14:textId="77777777" w:rsidR="007C6854" w:rsidRDefault="00E0219E">
      <w:pPr>
        <w:numPr>
          <w:ilvl w:val="1"/>
          <w:numId w:val="7"/>
        </w:numPr>
        <w:tabs>
          <w:tab w:val="left" w:pos="720"/>
        </w:tabs>
        <w:spacing w:after="0" w:line="223" w:lineRule="auto"/>
        <w:ind w:right="280"/>
        <w:rPr>
          <w:rFonts w:eastAsia="Arial" w:cs="Arial"/>
          <w:sz w:val="20"/>
          <w:szCs w:val="20"/>
        </w:rPr>
      </w:pPr>
      <w:r>
        <w:rPr>
          <w:rFonts w:eastAsia="Arial" w:cs="Arial"/>
          <w:sz w:val="20"/>
          <w:szCs w:val="20"/>
        </w:rPr>
        <w:t xml:space="preserve">            Re-purpose to support One Hospital Command (October - November 2020)</w:t>
      </w:r>
    </w:p>
    <w:p w14:paraId="5A789E88" w14:textId="77777777" w:rsidR="007C6854" w:rsidRDefault="007C6854">
      <w:pPr>
        <w:tabs>
          <w:tab w:val="left" w:pos="720"/>
        </w:tabs>
        <w:spacing w:after="0" w:line="223" w:lineRule="auto"/>
        <w:ind w:left="720" w:right="280"/>
        <w:rPr>
          <w:rFonts w:eastAsia="Arial" w:cs="Arial"/>
          <w:sz w:val="20"/>
          <w:szCs w:val="20"/>
        </w:rPr>
      </w:pPr>
    </w:p>
    <w:p w14:paraId="6066B58D" w14:textId="77777777" w:rsidR="007C6854" w:rsidRDefault="00E0219E">
      <w:pPr>
        <w:numPr>
          <w:ilvl w:val="0"/>
          <w:numId w:val="34"/>
        </w:numPr>
        <w:tabs>
          <w:tab w:val="left" w:pos="720"/>
        </w:tabs>
        <w:spacing w:after="0" w:line="223" w:lineRule="auto"/>
        <w:ind w:left="720" w:right="280" w:hanging="360"/>
        <w:rPr>
          <w:rFonts w:eastAsia="Arial" w:cs="Arial"/>
          <w:sz w:val="20"/>
          <w:szCs w:val="20"/>
        </w:rPr>
      </w:pPr>
      <w:r>
        <w:rPr>
          <w:rFonts w:eastAsia="Arial" w:cs="Arial"/>
          <w:b/>
          <w:sz w:val="20"/>
          <w:szCs w:val="20"/>
        </w:rPr>
        <w:t>Improving the health of the urban poor and adolescents in Metro Manila</w:t>
      </w:r>
      <w:r>
        <w:rPr>
          <w:rFonts w:eastAsia="Arial" w:cs="Arial"/>
          <w:sz w:val="20"/>
          <w:szCs w:val="20"/>
        </w:rPr>
        <w:t>, World Health</w:t>
      </w:r>
      <w:r>
        <w:rPr>
          <w:rFonts w:eastAsia="Arial" w:cs="Arial"/>
          <w:b/>
          <w:sz w:val="20"/>
          <w:szCs w:val="20"/>
        </w:rPr>
        <w:t xml:space="preserve"> </w:t>
      </w:r>
      <w:r>
        <w:rPr>
          <w:rFonts w:eastAsia="Arial" w:cs="Arial"/>
          <w:sz w:val="20"/>
          <w:szCs w:val="20"/>
        </w:rPr>
        <w:t>Organization as Project Coordinator under a Special Service Agreement (SSA) contract, 10 September, 2018 to Present.</w:t>
      </w:r>
    </w:p>
    <w:p w14:paraId="5F4FBC82" w14:textId="77777777" w:rsidR="007C6854" w:rsidRDefault="007C6854">
      <w:pPr>
        <w:spacing w:after="0" w:line="223" w:lineRule="auto"/>
        <w:rPr>
          <w:rFonts w:eastAsia="Arial" w:cs="Arial"/>
          <w:sz w:val="20"/>
          <w:szCs w:val="20"/>
        </w:rPr>
      </w:pPr>
    </w:p>
    <w:p w14:paraId="10FFC2B6" w14:textId="77777777" w:rsidR="007C6854" w:rsidRDefault="00E0219E">
      <w:pPr>
        <w:numPr>
          <w:ilvl w:val="0"/>
          <w:numId w:val="34"/>
        </w:numPr>
        <w:tabs>
          <w:tab w:val="left" w:pos="720"/>
        </w:tabs>
        <w:spacing w:after="0" w:line="224" w:lineRule="auto"/>
        <w:ind w:left="720" w:right="280" w:hanging="360"/>
        <w:jc w:val="both"/>
        <w:rPr>
          <w:rFonts w:eastAsia="Arial" w:cs="Arial"/>
          <w:sz w:val="20"/>
          <w:szCs w:val="20"/>
        </w:rPr>
      </w:pPr>
      <w:r>
        <w:rPr>
          <w:rFonts w:eastAsia="Arial" w:cs="Arial"/>
          <w:b/>
          <w:sz w:val="20"/>
          <w:szCs w:val="20"/>
        </w:rPr>
        <w:t xml:space="preserve">2018 Philippine Integrated HIV Behavior and Serologic Surveillance (IHBSS) – Taguig City, </w:t>
      </w:r>
      <w:r>
        <w:rPr>
          <w:rFonts w:eastAsia="Arial" w:cs="Arial"/>
          <w:sz w:val="20"/>
          <w:szCs w:val="20"/>
        </w:rPr>
        <w:t>Field Epidemiology Training Program Alumni Foundation, Incorporated (FETPAFI) as</w:t>
      </w:r>
      <w:r>
        <w:rPr>
          <w:rFonts w:eastAsia="Arial" w:cs="Arial"/>
          <w:b/>
          <w:sz w:val="20"/>
          <w:szCs w:val="20"/>
        </w:rPr>
        <w:t xml:space="preserve"> </w:t>
      </w:r>
      <w:r>
        <w:rPr>
          <w:rFonts w:eastAsia="Arial" w:cs="Arial"/>
          <w:sz w:val="20"/>
          <w:szCs w:val="20"/>
        </w:rPr>
        <w:t>External Monitoring and Quality Assurance Officer.</w:t>
      </w:r>
    </w:p>
    <w:p w14:paraId="3EDD80C8" w14:textId="77777777" w:rsidR="007C6854" w:rsidRDefault="007C6854">
      <w:pPr>
        <w:spacing w:after="0" w:line="218" w:lineRule="auto"/>
        <w:rPr>
          <w:rFonts w:eastAsia="Arial" w:cs="Arial"/>
          <w:sz w:val="20"/>
          <w:szCs w:val="20"/>
        </w:rPr>
      </w:pPr>
    </w:p>
    <w:p w14:paraId="52A24921" w14:textId="77777777" w:rsidR="007C6854" w:rsidRDefault="00E0219E">
      <w:pPr>
        <w:numPr>
          <w:ilvl w:val="0"/>
          <w:numId w:val="34"/>
        </w:numPr>
        <w:tabs>
          <w:tab w:val="left" w:pos="720"/>
        </w:tabs>
        <w:spacing w:after="0" w:line="226" w:lineRule="auto"/>
        <w:ind w:left="720" w:right="260" w:hanging="360"/>
        <w:rPr>
          <w:rFonts w:eastAsia="Arial" w:cs="Arial"/>
          <w:sz w:val="20"/>
          <w:szCs w:val="20"/>
        </w:rPr>
      </w:pPr>
      <w:r>
        <w:rPr>
          <w:rFonts w:eastAsia="Arial" w:cs="Arial"/>
          <w:b/>
          <w:sz w:val="20"/>
          <w:szCs w:val="20"/>
        </w:rPr>
        <w:t xml:space="preserve">Development of Drug Abuse Treatment Center Standard and Manual of Procedure for Special Group (PLHIV). </w:t>
      </w:r>
      <w:r>
        <w:rPr>
          <w:rFonts w:eastAsia="Arial" w:cs="Arial"/>
          <w:sz w:val="20"/>
          <w:szCs w:val="20"/>
        </w:rPr>
        <w:t>Department of Health. January to March, 2018.</w:t>
      </w:r>
    </w:p>
    <w:p w14:paraId="36DC53FA" w14:textId="77777777" w:rsidR="007C6854" w:rsidRDefault="007C6854">
      <w:pPr>
        <w:spacing w:after="0" w:line="219" w:lineRule="auto"/>
        <w:rPr>
          <w:rFonts w:eastAsia="Arial" w:cs="Arial"/>
          <w:sz w:val="20"/>
          <w:szCs w:val="20"/>
        </w:rPr>
      </w:pPr>
    </w:p>
    <w:p w14:paraId="3D8E6142" w14:textId="77777777" w:rsidR="007C6854" w:rsidRDefault="00E0219E">
      <w:pPr>
        <w:numPr>
          <w:ilvl w:val="0"/>
          <w:numId w:val="34"/>
        </w:numPr>
        <w:tabs>
          <w:tab w:val="left" w:pos="720"/>
        </w:tabs>
        <w:spacing w:after="0" w:line="223" w:lineRule="auto"/>
        <w:ind w:left="720" w:right="300" w:hanging="360"/>
        <w:rPr>
          <w:rFonts w:eastAsia="Arial" w:cs="Arial"/>
          <w:sz w:val="20"/>
          <w:szCs w:val="20"/>
        </w:rPr>
      </w:pPr>
      <w:r>
        <w:rPr>
          <w:rFonts w:eastAsia="Arial" w:cs="Arial"/>
          <w:b/>
          <w:sz w:val="20"/>
          <w:szCs w:val="20"/>
        </w:rPr>
        <w:t>Drowning Prevention Project in Davao Region</w:t>
      </w:r>
      <w:r>
        <w:rPr>
          <w:rFonts w:eastAsia="Arial" w:cs="Arial"/>
          <w:sz w:val="20"/>
          <w:szCs w:val="20"/>
        </w:rPr>
        <w:t>, World Health Organization as a</w:t>
      </w:r>
      <w:r>
        <w:rPr>
          <w:rFonts w:eastAsia="Arial" w:cs="Arial"/>
          <w:b/>
          <w:sz w:val="20"/>
          <w:szCs w:val="20"/>
        </w:rPr>
        <w:t xml:space="preserve"> </w:t>
      </w:r>
      <w:r>
        <w:rPr>
          <w:rFonts w:eastAsia="Arial" w:cs="Arial"/>
          <w:sz w:val="20"/>
          <w:szCs w:val="20"/>
        </w:rPr>
        <w:t>Technical Consultant under a Special Service Agreement (SSA) contract, 1 August 2016 to 31 July 2017.</w:t>
      </w:r>
    </w:p>
    <w:p w14:paraId="1A35E6BD" w14:textId="77777777" w:rsidR="007C6854" w:rsidRDefault="007C6854">
      <w:pPr>
        <w:spacing w:after="0" w:line="223" w:lineRule="auto"/>
        <w:rPr>
          <w:rFonts w:eastAsia="Arial" w:cs="Arial"/>
          <w:sz w:val="20"/>
          <w:szCs w:val="20"/>
        </w:rPr>
      </w:pPr>
    </w:p>
    <w:p w14:paraId="20E19842" w14:textId="77777777" w:rsidR="007C6854" w:rsidRDefault="00E0219E">
      <w:pPr>
        <w:numPr>
          <w:ilvl w:val="0"/>
          <w:numId w:val="34"/>
        </w:numPr>
        <w:tabs>
          <w:tab w:val="left" w:pos="720"/>
        </w:tabs>
        <w:spacing w:after="0" w:line="221" w:lineRule="auto"/>
        <w:ind w:left="720" w:right="600" w:hanging="360"/>
        <w:jc w:val="both"/>
        <w:rPr>
          <w:rFonts w:eastAsia="Arial" w:cs="Arial"/>
          <w:sz w:val="20"/>
          <w:szCs w:val="20"/>
        </w:rPr>
      </w:pPr>
      <w:r>
        <w:rPr>
          <w:rFonts w:eastAsia="Arial" w:cs="Arial"/>
          <w:b/>
          <w:sz w:val="20"/>
          <w:szCs w:val="20"/>
        </w:rPr>
        <w:t>Technical Support for Strengthening Violence and Injury Prevention and NCD and Injury Surveillance</w:t>
      </w:r>
      <w:r>
        <w:rPr>
          <w:rFonts w:eastAsia="Arial" w:cs="Arial"/>
          <w:sz w:val="20"/>
          <w:szCs w:val="20"/>
        </w:rPr>
        <w:t>, World Health Organization as a</w:t>
      </w:r>
      <w:r>
        <w:rPr>
          <w:rFonts w:eastAsia="Arial" w:cs="Arial"/>
          <w:b/>
          <w:sz w:val="20"/>
          <w:szCs w:val="20"/>
        </w:rPr>
        <w:t xml:space="preserve"> Short-term Consultant (STC)</w:t>
      </w:r>
      <w:r>
        <w:rPr>
          <w:rFonts w:eastAsia="Arial" w:cs="Arial"/>
          <w:sz w:val="20"/>
          <w:szCs w:val="20"/>
        </w:rPr>
        <w:t>, 14</w:t>
      </w:r>
      <w:r>
        <w:rPr>
          <w:rFonts w:eastAsia="Arial" w:cs="Arial"/>
          <w:b/>
          <w:sz w:val="20"/>
          <w:szCs w:val="20"/>
        </w:rPr>
        <w:t xml:space="preserve"> </w:t>
      </w:r>
      <w:r>
        <w:rPr>
          <w:rFonts w:eastAsia="Arial" w:cs="Arial"/>
          <w:sz w:val="20"/>
          <w:szCs w:val="20"/>
        </w:rPr>
        <w:t>January 2016 to 14 July 2016. Contract No. 201413839; WHO Reference No.</w:t>
      </w:r>
    </w:p>
    <w:p w14:paraId="099AED47" w14:textId="77777777" w:rsidR="007C6854" w:rsidRDefault="00E0219E">
      <w:pPr>
        <w:spacing w:after="0" w:line="226" w:lineRule="auto"/>
        <w:ind w:left="720"/>
        <w:rPr>
          <w:rFonts w:eastAsia="Arial" w:cs="Arial"/>
          <w:sz w:val="20"/>
          <w:szCs w:val="20"/>
        </w:rPr>
      </w:pPr>
      <w:r>
        <w:rPr>
          <w:rFonts w:eastAsia="Arial" w:cs="Arial"/>
          <w:sz w:val="20"/>
          <w:szCs w:val="20"/>
        </w:rPr>
        <w:t>2015/594465-0; Project: WPPHL1611480.</w:t>
      </w:r>
    </w:p>
    <w:p w14:paraId="178D7358" w14:textId="77777777" w:rsidR="007C6854" w:rsidRDefault="007C6854">
      <w:pPr>
        <w:spacing w:after="0" w:line="221" w:lineRule="auto"/>
        <w:rPr>
          <w:rFonts w:eastAsia="Arial" w:cs="Arial"/>
          <w:sz w:val="20"/>
          <w:szCs w:val="20"/>
        </w:rPr>
      </w:pPr>
    </w:p>
    <w:p w14:paraId="288EB370" w14:textId="77777777" w:rsidR="007C6854" w:rsidRDefault="00E0219E">
      <w:pPr>
        <w:numPr>
          <w:ilvl w:val="0"/>
          <w:numId w:val="34"/>
        </w:numPr>
        <w:tabs>
          <w:tab w:val="left" w:pos="720"/>
        </w:tabs>
        <w:spacing w:after="0" w:line="222" w:lineRule="auto"/>
        <w:ind w:left="720" w:right="320" w:hanging="360"/>
        <w:jc w:val="both"/>
        <w:rPr>
          <w:rFonts w:eastAsia="Arial" w:cs="Arial"/>
          <w:sz w:val="20"/>
          <w:szCs w:val="20"/>
        </w:rPr>
      </w:pPr>
      <w:r>
        <w:rPr>
          <w:rFonts w:eastAsia="Arial" w:cs="Arial"/>
          <w:b/>
          <w:sz w:val="20"/>
          <w:szCs w:val="20"/>
        </w:rPr>
        <w:t>NCD Support for Enhancing PEN Implementation and Injury Prevention</w:t>
      </w:r>
      <w:r>
        <w:rPr>
          <w:rFonts w:eastAsia="Arial" w:cs="Arial"/>
          <w:sz w:val="20"/>
          <w:szCs w:val="20"/>
        </w:rPr>
        <w:t>, World Health</w:t>
      </w:r>
      <w:r>
        <w:rPr>
          <w:rFonts w:eastAsia="Arial" w:cs="Arial"/>
          <w:b/>
          <w:sz w:val="20"/>
          <w:szCs w:val="20"/>
        </w:rPr>
        <w:t xml:space="preserve"> </w:t>
      </w:r>
      <w:r>
        <w:rPr>
          <w:rFonts w:eastAsia="Arial" w:cs="Arial"/>
          <w:sz w:val="20"/>
          <w:szCs w:val="20"/>
        </w:rPr>
        <w:t xml:space="preserve">Organization as a </w:t>
      </w:r>
      <w:r>
        <w:rPr>
          <w:rFonts w:eastAsia="Arial" w:cs="Arial"/>
          <w:b/>
          <w:sz w:val="20"/>
          <w:szCs w:val="20"/>
        </w:rPr>
        <w:t>Short-term Consultant (STC)</w:t>
      </w:r>
      <w:r>
        <w:rPr>
          <w:rFonts w:eastAsia="Arial" w:cs="Arial"/>
          <w:sz w:val="20"/>
          <w:szCs w:val="20"/>
        </w:rPr>
        <w:t xml:space="preserve"> </w:t>
      </w:r>
      <w:r>
        <w:rPr>
          <w:rFonts w:eastAsia="Arial" w:cs="Arial"/>
          <w:b/>
          <w:sz w:val="20"/>
          <w:szCs w:val="20"/>
        </w:rPr>
        <w:t>–</w:t>
      </w:r>
      <w:r>
        <w:rPr>
          <w:rFonts w:eastAsia="Arial" w:cs="Arial"/>
          <w:sz w:val="20"/>
          <w:szCs w:val="20"/>
        </w:rPr>
        <w:t xml:space="preserve"> </w:t>
      </w:r>
      <w:r>
        <w:rPr>
          <w:rFonts w:eastAsia="Arial" w:cs="Arial"/>
          <w:b/>
          <w:sz w:val="20"/>
          <w:szCs w:val="20"/>
        </w:rPr>
        <w:t>Technical Coordinator/Consultant,</w:t>
      </w:r>
      <w:r>
        <w:rPr>
          <w:rFonts w:eastAsia="Arial" w:cs="Arial"/>
          <w:sz w:val="20"/>
          <w:szCs w:val="20"/>
        </w:rPr>
        <w:t xml:space="preserve"> 1 June 2015 to 31 December 2015. Contract No. 201246124; WHO Reference No.</w:t>
      </w:r>
    </w:p>
    <w:p w14:paraId="05869992" w14:textId="77777777" w:rsidR="007C6854" w:rsidRDefault="00E0219E">
      <w:pPr>
        <w:spacing w:after="0" w:line="226" w:lineRule="auto"/>
        <w:ind w:left="720"/>
        <w:rPr>
          <w:rFonts w:eastAsia="Arial" w:cs="Arial"/>
          <w:sz w:val="20"/>
          <w:szCs w:val="20"/>
        </w:rPr>
      </w:pPr>
      <w:r>
        <w:rPr>
          <w:rFonts w:eastAsia="Arial" w:cs="Arial"/>
          <w:sz w:val="20"/>
          <w:szCs w:val="20"/>
        </w:rPr>
        <w:t>2015/528504-0; WHO REG. FILE NO. PHL-15-NCD-002526.</w:t>
      </w:r>
    </w:p>
    <w:p w14:paraId="17BE2D44" w14:textId="77777777" w:rsidR="007C6854" w:rsidRDefault="007C6854">
      <w:pPr>
        <w:spacing w:after="0" w:line="218" w:lineRule="auto"/>
        <w:rPr>
          <w:rFonts w:eastAsia="Arial" w:cs="Arial"/>
          <w:sz w:val="20"/>
          <w:szCs w:val="20"/>
        </w:rPr>
      </w:pPr>
    </w:p>
    <w:p w14:paraId="75DB3828" w14:textId="77777777" w:rsidR="007C6854" w:rsidRDefault="00E0219E">
      <w:pPr>
        <w:numPr>
          <w:ilvl w:val="0"/>
          <w:numId w:val="34"/>
        </w:numPr>
        <w:tabs>
          <w:tab w:val="left" w:pos="720"/>
        </w:tabs>
        <w:spacing w:after="0" w:line="221" w:lineRule="auto"/>
        <w:ind w:left="720" w:right="360" w:hanging="360"/>
        <w:rPr>
          <w:rFonts w:eastAsia="Arial" w:cs="Arial"/>
          <w:sz w:val="20"/>
          <w:szCs w:val="20"/>
        </w:rPr>
      </w:pPr>
      <w:r>
        <w:rPr>
          <w:rFonts w:eastAsia="Arial" w:cs="Arial"/>
          <w:b/>
          <w:sz w:val="20"/>
          <w:szCs w:val="20"/>
        </w:rPr>
        <w:t xml:space="preserve">Technical Assistance in Haiyan-affected Areas on WHO Package of Noncommunicable Diseases Intervention in the Primary Health Care Facilities </w:t>
      </w:r>
      <w:r>
        <w:rPr>
          <w:rFonts w:eastAsia="Arial" w:cs="Arial"/>
          <w:sz w:val="20"/>
          <w:szCs w:val="20"/>
        </w:rPr>
        <w:t>in</w:t>
      </w:r>
      <w:r>
        <w:rPr>
          <w:rFonts w:eastAsia="Arial" w:cs="Arial"/>
          <w:b/>
          <w:sz w:val="20"/>
          <w:szCs w:val="20"/>
        </w:rPr>
        <w:t xml:space="preserve"> </w:t>
      </w:r>
      <w:r>
        <w:rPr>
          <w:rFonts w:eastAsia="Arial" w:cs="Arial"/>
          <w:sz w:val="20"/>
          <w:szCs w:val="20"/>
        </w:rPr>
        <w:t xml:space="preserve">Region 8 – Eastern Visayas Region, World Health Organization as a </w:t>
      </w:r>
      <w:r>
        <w:rPr>
          <w:rFonts w:eastAsia="Arial" w:cs="Arial"/>
          <w:b/>
          <w:sz w:val="20"/>
          <w:szCs w:val="20"/>
        </w:rPr>
        <w:t>Short-term</w:t>
      </w:r>
      <w:r>
        <w:rPr>
          <w:rFonts w:eastAsia="Arial" w:cs="Arial"/>
          <w:sz w:val="20"/>
          <w:szCs w:val="20"/>
        </w:rPr>
        <w:t xml:space="preserve"> </w:t>
      </w:r>
      <w:r>
        <w:rPr>
          <w:rFonts w:eastAsia="Arial" w:cs="Arial"/>
          <w:b/>
          <w:sz w:val="20"/>
          <w:szCs w:val="20"/>
        </w:rPr>
        <w:t xml:space="preserve">Consultant (STC) - Assistant Technical Officer/Consultant, </w:t>
      </w:r>
      <w:r>
        <w:rPr>
          <w:rFonts w:eastAsia="Arial" w:cs="Arial"/>
          <w:sz w:val="20"/>
          <w:szCs w:val="20"/>
        </w:rPr>
        <w:t>26 July 2014 to 31 March</w:t>
      </w:r>
      <w:r>
        <w:rPr>
          <w:rFonts w:eastAsia="Arial" w:cs="Arial"/>
          <w:b/>
          <w:sz w:val="20"/>
          <w:szCs w:val="20"/>
        </w:rPr>
        <w:t xml:space="preserve"> </w:t>
      </w:r>
      <w:r>
        <w:rPr>
          <w:rFonts w:eastAsia="Arial" w:cs="Arial"/>
          <w:sz w:val="20"/>
          <w:szCs w:val="20"/>
        </w:rPr>
        <w:lastRenderedPageBreak/>
        <w:t>2015. Contract No. 201153612; WHO Reference No. 2015/92005-0; WHO REG. FILE NO. PHL-15-EHA-000125.</w:t>
      </w:r>
    </w:p>
    <w:p w14:paraId="7606480B" w14:textId="77777777" w:rsidR="007C6854" w:rsidRDefault="007C6854">
      <w:pPr>
        <w:tabs>
          <w:tab w:val="left" w:pos="720"/>
        </w:tabs>
        <w:spacing w:after="0" w:line="221" w:lineRule="auto"/>
        <w:ind w:right="360"/>
        <w:rPr>
          <w:rFonts w:eastAsia="Arial" w:cs="Arial"/>
          <w:sz w:val="20"/>
          <w:szCs w:val="20"/>
        </w:rPr>
      </w:pPr>
    </w:p>
    <w:p w14:paraId="6A06D564" w14:textId="77777777" w:rsidR="007C6854" w:rsidRDefault="00E0219E">
      <w:pPr>
        <w:numPr>
          <w:ilvl w:val="0"/>
          <w:numId w:val="34"/>
        </w:numPr>
        <w:tabs>
          <w:tab w:val="left" w:pos="720"/>
        </w:tabs>
        <w:spacing w:after="0" w:line="221" w:lineRule="auto"/>
        <w:ind w:left="720" w:right="360" w:hanging="360"/>
        <w:rPr>
          <w:rFonts w:eastAsia="Arial" w:cs="Arial"/>
          <w:sz w:val="20"/>
          <w:szCs w:val="20"/>
        </w:rPr>
      </w:pPr>
      <w:r>
        <w:rPr>
          <w:rFonts w:eastAsia="Arial" w:cs="Arial"/>
          <w:b/>
          <w:sz w:val="20"/>
          <w:szCs w:val="20"/>
        </w:rPr>
        <w:t xml:space="preserve">Adaptation of WHO Package of Essential Noncommunicable (PEN) Interventions for countries in the Western Pacific Region: </w:t>
      </w:r>
      <w:r>
        <w:rPr>
          <w:rFonts w:eastAsia="Arial" w:cs="Arial"/>
          <w:sz w:val="20"/>
          <w:szCs w:val="20"/>
        </w:rPr>
        <w:t xml:space="preserve">A Sourcebook for </w:t>
      </w:r>
      <w:proofErr w:type="spellStart"/>
      <w:r>
        <w:rPr>
          <w:rFonts w:eastAsia="Arial" w:cs="Arial"/>
          <w:sz w:val="20"/>
          <w:szCs w:val="20"/>
        </w:rPr>
        <w:t>Programme</w:t>
      </w:r>
      <w:proofErr w:type="spellEnd"/>
      <w:r>
        <w:rPr>
          <w:rFonts w:eastAsia="Arial" w:cs="Arial"/>
          <w:sz w:val="20"/>
          <w:szCs w:val="20"/>
        </w:rPr>
        <w:t xml:space="preserve"> Managers;</w:t>
      </w:r>
      <w:r>
        <w:rPr>
          <w:rFonts w:eastAsia="Arial" w:cs="Arial"/>
          <w:b/>
          <w:sz w:val="20"/>
          <w:szCs w:val="20"/>
        </w:rPr>
        <w:t xml:space="preserve"> </w:t>
      </w:r>
      <w:r>
        <w:rPr>
          <w:rFonts w:eastAsia="Arial" w:cs="Arial"/>
          <w:sz w:val="20"/>
          <w:szCs w:val="20"/>
        </w:rPr>
        <w:t xml:space="preserve">Medical Emergency Relief International-Philippines (Merlin Philippines) as a </w:t>
      </w:r>
      <w:r>
        <w:rPr>
          <w:rFonts w:eastAsia="Arial" w:cs="Arial"/>
          <w:b/>
          <w:sz w:val="20"/>
          <w:szCs w:val="20"/>
        </w:rPr>
        <w:t>Local Service</w:t>
      </w:r>
      <w:r>
        <w:rPr>
          <w:rFonts w:eastAsia="Arial" w:cs="Arial"/>
          <w:sz w:val="20"/>
          <w:szCs w:val="20"/>
        </w:rPr>
        <w:t xml:space="preserve"> </w:t>
      </w:r>
      <w:r>
        <w:rPr>
          <w:rFonts w:eastAsia="Arial" w:cs="Arial"/>
          <w:b/>
          <w:sz w:val="20"/>
          <w:szCs w:val="20"/>
        </w:rPr>
        <w:t xml:space="preserve">Provider, </w:t>
      </w:r>
      <w:r>
        <w:rPr>
          <w:rFonts w:eastAsia="Arial" w:cs="Arial"/>
          <w:sz w:val="20"/>
          <w:szCs w:val="20"/>
        </w:rPr>
        <w:t>January 28, 2013 to March 31, 2013.</w:t>
      </w:r>
    </w:p>
    <w:p w14:paraId="23353FDC" w14:textId="77777777" w:rsidR="007C6854" w:rsidRDefault="007C6854">
      <w:pPr>
        <w:tabs>
          <w:tab w:val="left" w:pos="720"/>
        </w:tabs>
        <w:spacing w:line="238" w:lineRule="auto"/>
        <w:ind w:right="300"/>
        <w:rPr>
          <w:rFonts w:eastAsia="Arial" w:cs="Arial"/>
          <w:sz w:val="20"/>
          <w:szCs w:val="20"/>
        </w:rPr>
      </w:pPr>
    </w:p>
    <w:p w14:paraId="4CDFAF4A" w14:textId="77777777" w:rsidR="007C6854" w:rsidRDefault="00E0219E">
      <w:pPr>
        <w:tabs>
          <w:tab w:val="left" w:pos="720"/>
        </w:tabs>
        <w:spacing w:line="238" w:lineRule="auto"/>
        <w:ind w:right="300"/>
        <w:rPr>
          <w:rFonts w:eastAsia="Arial" w:cs="Arial"/>
          <w:sz w:val="20"/>
          <w:szCs w:val="20"/>
        </w:rPr>
      </w:pPr>
      <w:r>
        <w:rPr>
          <w:rFonts w:eastAsia="Arial" w:cs="Arial"/>
          <w:sz w:val="20"/>
          <w:szCs w:val="20"/>
        </w:rPr>
        <w:t>Other Consultancy involvement includes: Capacity-building among HRH deployed to Visayas Region; Conduct of rapid assessment survey during disaster; Involved in the scale up of Reaching the Urban Poor Approach; Piloting of FP-MNCHN approach in the context of Universal Health in the National Capital Region in the Philippines; Piloting project for reversal of NCD epidemic using the Package of Essential Noncommunicable disease interventions (WHO-PEN); Conducting of survey and rapid assessment as the primary investigator on Tobacco control (Mini-GATS), Road Traffic Accident Estimation, and Behavioral risk factors survey among Business Process Outsourcing agents in Manila, Philippines; and Evaluation of a surveillance systems.</w:t>
      </w:r>
    </w:p>
    <w:p w14:paraId="3C5497F4" w14:textId="77777777" w:rsidR="007C6854" w:rsidRDefault="00E0219E">
      <w:pPr>
        <w:rPr>
          <w:rFonts w:eastAsia="Arial" w:cs="Arial"/>
          <w:sz w:val="20"/>
          <w:szCs w:val="20"/>
        </w:rPr>
      </w:pPr>
      <w:r>
        <w:rPr>
          <w:rFonts w:eastAsia="Arial" w:cs="Arial"/>
          <w:b/>
          <w:i/>
          <w:sz w:val="20"/>
          <w:szCs w:val="20"/>
          <w:u w:val="single"/>
        </w:rPr>
        <w:t>Publication</w:t>
      </w:r>
    </w:p>
    <w:p w14:paraId="14563EF7" w14:textId="77777777" w:rsidR="007C6854" w:rsidRDefault="00E0219E">
      <w:pPr>
        <w:numPr>
          <w:ilvl w:val="0"/>
          <w:numId w:val="22"/>
        </w:numPr>
        <w:tabs>
          <w:tab w:val="left" w:pos="720"/>
        </w:tabs>
        <w:spacing w:after="0" w:line="237" w:lineRule="auto"/>
        <w:ind w:left="720" w:right="500" w:hanging="360"/>
        <w:rPr>
          <w:rFonts w:eastAsia="Arial" w:cs="Arial"/>
          <w:color w:val="424242"/>
          <w:sz w:val="20"/>
          <w:szCs w:val="20"/>
        </w:rPr>
      </w:pPr>
      <w:r>
        <w:rPr>
          <w:rFonts w:eastAsia="Arial" w:cs="Arial"/>
          <w:color w:val="424242"/>
          <w:sz w:val="20"/>
          <w:szCs w:val="20"/>
        </w:rPr>
        <w:t xml:space="preserve">Martinez RE, Go JJ and Guevarra J. Epidemiology of drowning deaths in the Philippines, 1980 to 2011. Western Pac </w:t>
      </w:r>
      <w:proofErr w:type="spellStart"/>
      <w:r>
        <w:rPr>
          <w:rFonts w:eastAsia="Arial" w:cs="Arial"/>
          <w:color w:val="424242"/>
          <w:sz w:val="20"/>
          <w:szCs w:val="20"/>
        </w:rPr>
        <w:t>Surveill</w:t>
      </w:r>
      <w:proofErr w:type="spellEnd"/>
      <w:r>
        <w:rPr>
          <w:rFonts w:eastAsia="Arial" w:cs="Arial"/>
          <w:color w:val="424242"/>
          <w:sz w:val="20"/>
          <w:szCs w:val="20"/>
        </w:rPr>
        <w:t xml:space="preserve"> Response J. 2016 Nov 8;7(4). doi:10.5365/wpsar.2016.7.2.005. (Author)</w:t>
      </w:r>
    </w:p>
    <w:p w14:paraId="4BBA3C9B" w14:textId="77777777" w:rsidR="007C6854" w:rsidRDefault="00E0219E">
      <w:pPr>
        <w:numPr>
          <w:ilvl w:val="0"/>
          <w:numId w:val="22"/>
        </w:numPr>
        <w:tabs>
          <w:tab w:val="left" w:pos="720"/>
        </w:tabs>
        <w:spacing w:after="0" w:line="236" w:lineRule="auto"/>
        <w:ind w:left="720" w:right="240" w:hanging="360"/>
        <w:rPr>
          <w:rFonts w:eastAsia="Arial" w:cs="Arial"/>
          <w:color w:val="424242"/>
          <w:sz w:val="20"/>
          <w:szCs w:val="20"/>
        </w:rPr>
      </w:pPr>
      <w:r>
        <w:rPr>
          <w:rFonts w:eastAsia="Arial" w:cs="Arial"/>
          <w:color w:val="424242"/>
          <w:sz w:val="20"/>
          <w:szCs w:val="20"/>
        </w:rPr>
        <w:t xml:space="preserve">Martinez RE et al. Surveillance for and issues relating to noncommunicable diseases post-Haiyan in Region 8. Western Pacific Surveillance and Response Journal, 2015, 6 (Suppl 1). </w:t>
      </w:r>
      <w:proofErr w:type="gramStart"/>
      <w:r>
        <w:rPr>
          <w:rFonts w:eastAsia="Arial" w:cs="Arial"/>
          <w:color w:val="424242"/>
          <w:sz w:val="20"/>
          <w:szCs w:val="20"/>
        </w:rPr>
        <w:t>doi:10.5365/wpsar.2015.6.3.HYN</w:t>
      </w:r>
      <w:proofErr w:type="gramEnd"/>
      <w:r>
        <w:rPr>
          <w:rFonts w:eastAsia="Arial" w:cs="Arial"/>
          <w:color w:val="424242"/>
          <w:sz w:val="20"/>
          <w:szCs w:val="20"/>
        </w:rPr>
        <w:t>_020 (Author)</w:t>
      </w:r>
    </w:p>
    <w:p w14:paraId="42B3ECF6" w14:textId="77777777" w:rsidR="007C6854" w:rsidRDefault="00E0219E">
      <w:pPr>
        <w:numPr>
          <w:ilvl w:val="0"/>
          <w:numId w:val="22"/>
        </w:numPr>
        <w:tabs>
          <w:tab w:val="left" w:pos="720"/>
        </w:tabs>
        <w:spacing w:after="0" w:line="237" w:lineRule="auto"/>
        <w:ind w:left="720" w:right="480" w:hanging="360"/>
        <w:rPr>
          <w:rFonts w:eastAsia="Arial" w:cs="Arial"/>
          <w:color w:val="424242"/>
          <w:sz w:val="20"/>
          <w:szCs w:val="20"/>
        </w:rPr>
      </w:pPr>
      <w:r>
        <w:rPr>
          <w:rFonts w:eastAsia="Arial" w:cs="Arial"/>
          <w:color w:val="424242"/>
          <w:sz w:val="20"/>
          <w:szCs w:val="20"/>
        </w:rPr>
        <w:t xml:space="preserve">Martinez RE et al. Use of WHO Package of Essential Noncommunicable Disease Interventions after Typhoon Haiyan. Western Pacific Surveillance and Response Journal, 2015, 6 (Suppl 1). </w:t>
      </w:r>
      <w:proofErr w:type="gramStart"/>
      <w:r>
        <w:rPr>
          <w:rFonts w:eastAsia="Arial" w:cs="Arial"/>
          <w:color w:val="424242"/>
          <w:sz w:val="20"/>
          <w:szCs w:val="20"/>
        </w:rPr>
        <w:t>doi:10.5365/wpsar.2015.6.3.HYN</w:t>
      </w:r>
      <w:proofErr w:type="gramEnd"/>
      <w:r>
        <w:rPr>
          <w:rFonts w:eastAsia="Arial" w:cs="Arial"/>
          <w:color w:val="424242"/>
          <w:sz w:val="20"/>
          <w:szCs w:val="20"/>
        </w:rPr>
        <w:t>_024 (Author)</w:t>
      </w:r>
    </w:p>
    <w:p w14:paraId="0B966D5E" w14:textId="77777777" w:rsidR="007C6854" w:rsidRDefault="00E0219E">
      <w:pPr>
        <w:numPr>
          <w:ilvl w:val="0"/>
          <w:numId w:val="22"/>
        </w:numPr>
        <w:tabs>
          <w:tab w:val="left" w:pos="720"/>
        </w:tabs>
        <w:spacing w:after="0" w:line="237" w:lineRule="auto"/>
        <w:ind w:left="720" w:right="40" w:hanging="360"/>
        <w:rPr>
          <w:rFonts w:eastAsia="Arial" w:cs="Arial"/>
          <w:color w:val="424242"/>
          <w:sz w:val="20"/>
          <w:szCs w:val="20"/>
        </w:rPr>
      </w:pPr>
      <w:r>
        <w:rPr>
          <w:rFonts w:eastAsia="Arial" w:cs="Arial"/>
          <w:color w:val="424242"/>
          <w:sz w:val="20"/>
          <w:szCs w:val="20"/>
        </w:rPr>
        <w:t xml:space="preserve">Joyce P. Parco, Rammell Eric C. Martinez, </w:t>
      </w:r>
      <w:proofErr w:type="spellStart"/>
      <w:r>
        <w:rPr>
          <w:rFonts w:eastAsia="Arial" w:cs="Arial"/>
          <w:color w:val="424242"/>
          <w:sz w:val="20"/>
          <w:szCs w:val="20"/>
        </w:rPr>
        <w:t>Ernani</w:t>
      </w:r>
      <w:proofErr w:type="spellEnd"/>
      <w:r>
        <w:rPr>
          <w:rFonts w:eastAsia="Arial" w:cs="Arial"/>
          <w:color w:val="424242"/>
          <w:sz w:val="20"/>
          <w:szCs w:val="20"/>
        </w:rPr>
        <w:t xml:space="preserve"> R. </w:t>
      </w:r>
      <w:proofErr w:type="spellStart"/>
      <w:r>
        <w:rPr>
          <w:rFonts w:eastAsia="Arial" w:cs="Arial"/>
          <w:color w:val="424242"/>
          <w:sz w:val="20"/>
          <w:szCs w:val="20"/>
        </w:rPr>
        <w:t>Bullecer</w:t>
      </w:r>
      <w:proofErr w:type="spellEnd"/>
      <w:r>
        <w:rPr>
          <w:rFonts w:eastAsia="Arial" w:cs="Arial"/>
          <w:color w:val="424242"/>
          <w:sz w:val="20"/>
          <w:szCs w:val="20"/>
        </w:rPr>
        <w:t>. Assessment of the Capacity to Prevent and Manage Major Non-</w:t>
      </w:r>
      <w:proofErr w:type="gramStart"/>
      <w:r>
        <w:rPr>
          <w:rFonts w:eastAsia="Arial" w:cs="Arial"/>
          <w:color w:val="424242"/>
          <w:sz w:val="20"/>
          <w:szCs w:val="20"/>
        </w:rPr>
        <w:t>communicable</w:t>
      </w:r>
      <w:proofErr w:type="gramEnd"/>
      <w:r>
        <w:rPr>
          <w:rFonts w:eastAsia="Arial" w:cs="Arial"/>
          <w:color w:val="424242"/>
          <w:sz w:val="20"/>
          <w:szCs w:val="20"/>
        </w:rPr>
        <w:t xml:space="preserve"> Diseases in Primary Health Care Centers in Pateros, Metro Manila, Philippines. Philippine Journal of Health Research and Development, Vol. 19, Issue 3 (2015) ISSN: 0118-08-78 (Co-Author)</w:t>
      </w:r>
    </w:p>
    <w:p w14:paraId="24EE5404" w14:textId="77777777" w:rsidR="007C6854" w:rsidRDefault="00E0219E">
      <w:pPr>
        <w:numPr>
          <w:ilvl w:val="0"/>
          <w:numId w:val="22"/>
        </w:numPr>
        <w:tabs>
          <w:tab w:val="left" w:pos="720"/>
        </w:tabs>
        <w:spacing w:after="0" w:line="237" w:lineRule="auto"/>
        <w:ind w:left="720" w:right="40" w:hanging="360"/>
        <w:rPr>
          <w:rFonts w:eastAsia="Arial" w:cs="Arial"/>
          <w:color w:val="424242"/>
          <w:sz w:val="20"/>
          <w:szCs w:val="20"/>
        </w:rPr>
      </w:pPr>
      <w:proofErr w:type="gramStart"/>
      <w:r>
        <w:rPr>
          <w:rFonts w:eastAsia="Arial" w:cs="Arial"/>
          <w:color w:val="424242"/>
          <w:sz w:val="20"/>
          <w:szCs w:val="20"/>
        </w:rPr>
        <w:t>Guevarra,J.P.</w:t>
      </w:r>
      <w:proofErr w:type="gramEnd"/>
      <w:r>
        <w:rPr>
          <w:rFonts w:eastAsia="Arial" w:cs="Arial"/>
          <w:color w:val="424242"/>
          <w:sz w:val="20"/>
          <w:szCs w:val="20"/>
        </w:rPr>
        <w:t>;</w:t>
      </w:r>
      <w:proofErr w:type="spellStart"/>
      <w:r>
        <w:rPr>
          <w:rFonts w:eastAsia="Arial" w:cs="Arial"/>
          <w:color w:val="424242"/>
          <w:sz w:val="20"/>
          <w:szCs w:val="20"/>
        </w:rPr>
        <w:t>Peden,A.E</w:t>
      </w:r>
      <w:proofErr w:type="spellEnd"/>
      <w:r>
        <w:rPr>
          <w:rFonts w:eastAsia="Arial" w:cs="Arial"/>
          <w:color w:val="424242"/>
          <w:sz w:val="20"/>
          <w:szCs w:val="20"/>
        </w:rPr>
        <w:t xml:space="preserve">.; </w:t>
      </w:r>
      <w:proofErr w:type="spellStart"/>
      <w:r>
        <w:rPr>
          <w:rFonts w:eastAsia="Arial" w:cs="Arial"/>
          <w:color w:val="424242"/>
          <w:sz w:val="20"/>
          <w:szCs w:val="20"/>
        </w:rPr>
        <w:t>Orbillo</w:t>
      </w:r>
      <w:proofErr w:type="spellEnd"/>
      <w:r>
        <w:rPr>
          <w:rFonts w:eastAsia="Arial" w:cs="Arial"/>
          <w:color w:val="424242"/>
          <w:sz w:val="20"/>
          <w:szCs w:val="20"/>
        </w:rPr>
        <w:t xml:space="preserve">, L.L.; Uy, M.R.S.Z.; </w:t>
      </w:r>
      <w:proofErr w:type="spellStart"/>
      <w:r>
        <w:rPr>
          <w:rFonts w:eastAsia="Arial" w:cs="Arial"/>
          <w:color w:val="424242"/>
          <w:sz w:val="20"/>
          <w:szCs w:val="20"/>
        </w:rPr>
        <w:t>Madrilejos</w:t>
      </w:r>
      <w:proofErr w:type="spellEnd"/>
      <w:r>
        <w:rPr>
          <w:rFonts w:eastAsia="Arial" w:cs="Arial"/>
          <w:color w:val="424242"/>
          <w:sz w:val="20"/>
          <w:szCs w:val="20"/>
        </w:rPr>
        <w:t xml:space="preserve">, J.J.R.; Go, J.J.L.; Martinez, R.E.C.; </w:t>
      </w:r>
      <w:proofErr w:type="spellStart"/>
      <w:r>
        <w:rPr>
          <w:rFonts w:eastAsia="Arial" w:cs="Arial"/>
          <w:color w:val="424242"/>
          <w:sz w:val="20"/>
          <w:szCs w:val="20"/>
        </w:rPr>
        <w:t>Cavinta</w:t>
      </w:r>
      <w:proofErr w:type="spellEnd"/>
      <w:r>
        <w:rPr>
          <w:rFonts w:eastAsia="Arial" w:cs="Arial"/>
          <w:color w:val="424242"/>
          <w:sz w:val="20"/>
          <w:szCs w:val="20"/>
        </w:rPr>
        <w:t>, L.L.; Franklin, R.C. Preventing Child Drowning in the Philippines: The Need to Address the Determinants of Health. Children 2021, 8, 29. https://doi.org/10.3390/ children8010029 (Co-Author)</w:t>
      </w:r>
    </w:p>
    <w:p w14:paraId="6619DF03" w14:textId="77777777" w:rsidR="007C6854" w:rsidRDefault="007C6854">
      <w:pPr>
        <w:spacing w:line="257" w:lineRule="auto"/>
        <w:rPr>
          <w:rFonts w:eastAsia="Arial" w:cs="Arial"/>
          <w:sz w:val="20"/>
          <w:szCs w:val="20"/>
        </w:rPr>
      </w:pPr>
    </w:p>
    <w:p w14:paraId="098D73D3" w14:textId="77777777" w:rsidR="007C6854" w:rsidRDefault="00E0219E">
      <w:pPr>
        <w:rPr>
          <w:rFonts w:eastAsia="Arial" w:cs="Arial"/>
          <w:sz w:val="20"/>
          <w:szCs w:val="20"/>
        </w:rPr>
      </w:pPr>
      <w:r>
        <w:rPr>
          <w:rFonts w:eastAsia="Arial" w:cs="Arial"/>
          <w:b/>
          <w:i/>
          <w:sz w:val="20"/>
          <w:szCs w:val="20"/>
          <w:u w:val="single"/>
        </w:rPr>
        <w:t>ACADEMIC and PROFESSIONAL EXPERIENCE</w:t>
      </w:r>
    </w:p>
    <w:p w14:paraId="12A11130" w14:textId="77777777" w:rsidR="007C6854" w:rsidRDefault="00E0219E">
      <w:pPr>
        <w:rPr>
          <w:rFonts w:eastAsia="Arial" w:cs="Arial"/>
          <w:sz w:val="20"/>
          <w:szCs w:val="20"/>
        </w:rPr>
      </w:pPr>
      <w:r>
        <w:rPr>
          <w:rFonts w:eastAsia="Arial" w:cs="Arial"/>
          <w:b/>
          <w:i/>
          <w:sz w:val="20"/>
          <w:szCs w:val="20"/>
          <w:u w:val="single"/>
        </w:rPr>
        <w:t>International Disaster Response</w:t>
      </w:r>
    </w:p>
    <w:p w14:paraId="481D265E" w14:textId="77777777" w:rsidR="007C6854" w:rsidRDefault="00E0219E">
      <w:pPr>
        <w:numPr>
          <w:ilvl w:val="0"/>
          <w:numId w:val="23"/>
        </w:numPr>
        <w:tabs>
          <w:tab w:val="left" w:pos="720"/>
        </w:tabs>
        <w:spacing w:after="0" w:line="218" w:lineRule="auto"/>
        <w:ind w:left="720" w:right="960" w:hanging="360"/>
        <w:rPr>
          <w:rFonts w:eastAsia="Arial" w:cs="Arial"/>
          <w:sz w:val="20"/>
          <w:szCs w:val="20"/>
        </w:rPr>
      </w:pPr>
      <w:r>
        <w:rPr>
          <w:rFonts w:eastAsia="Arial" w:cs="Arial"/>
          <w:sz w:val="20"/>
          <w:szCs w:val="20"/>
        </w:rPr>
        <w:t>Haiti Earthquake – Philippine Medical Team to Haiti (Epidemiologist/Public Health Specialist), January 25, 2010 to February 15, 2010</w:t>
      </w:r>
    </w:p>
    <w:p w14:paraId="2155CC60" w14:textId="77777777" w:rsidR="007C6854" w:rsidRDefault="007C6854">
      <w:pPr>
        <w:spacing w:line="245" w:lineRule="auto"/>
        <w:rPr>
          <w:rFonts w:eastAsia="Arial" w:cs="Arial"/>
          <w:sz w:val="20"/>
          <w:szCs w:val="20"/>
        </w:rPr>
      </w:pPr>
    </w:p>
    <w:p w14:paraId="738E4BC0" w14:textId="77777777" w:rsidR="007C6854" w:rsidRDefault="00E0219E">
      <w:pPr>
        <w:spacing w:after="0" w:line="240" w:lineRule="auto"/>
        <w:rPr>
          <w:rFonts w:eastAsia="Arial" w:cs="Arial"/>
          <w:sz w:val="20"/>
          <w:szCs w:val="20"/>
        </w:rPr>
      </w:pPr>
      <w:r>
        <w:rPr>
          <w:rFonts w:eastAsia="Arial" w:cs="Arial"/>
          <w:b/>
          <w:i/>
          <w:sz w:val="20"/>
          <w:szCs w:val="20"/>
          <w:u w:val="single"/>
        </w:rPr>
        <w:t>Primary Investigator and Author – Outbreak and Disaster Response</w:t>
      </w:r>
    </w:p>
    <w:p w14:paraId="34FCEC87" w14:textId="77777777" w:rsidR="007C6854" w:rsidRDefault="007C6854">
      <w:pPr>
        <w:spacing w:after="0" w:line="240" w:lineRule="auto"/>
        <w:rPr>
          <w:rFonts w:eastAsia="Arial" w:cs="Arial"/>
          <w:sz w:val="20"/>
          <w:szCs w:val="20"/>
        </w:rPr>
      </w:pPr>
    </w:p>
    <w:p w14:paraId="660AC08C" w14:textId="77777777" w:rsidR="007C6854" w:rsidRDefault="00E0219E">
      <w:pPr>
        <w:numPr>
          <w:ilvl w:val="0"/>
          <w:numId w:val="8"/>
        </w:numPr>
        <w:tabs>
          <w:tab w:val="left" w:pos="720"/>
        </w:tabs>
        <w:spacing w:after="0" w:line="240" w:lineRule="auto"/>
        <w:ind w:left="720" w:right="780" w:hanging="360"/>
        <w:rPr>
          <w:rFonts w:eastAsia="Arial" w:cs="Arial"/>
          <w:sz w:val="20"/>
          <w:szCs w:val="20"/>
        </w:rPr>
      </w:pPr>
      <w:r>
        <w:rPr>
          <w:rFonts w:eastAsia="Arial" w:cs="Arial"/>
          <w:i/>
          <w:sz w:val="20"/>
          <w:szCs w:val="20"/>
        </w:rPr>
        <w:t xml:space="preserve">Shigellosis Outbreak </w:t>
      </w:r>
      <w:r>
        <w:rPr>
          <w:rFonts w:eastAsia="Arial" w:cs="Arial"/>
          <w:sz w:val="20"/>
          <w:szCs w:val="20"/>
        </w:rPr>
        <w:t xml:space="preserve">in Sitio </w:t>
      </w:r>
      <w:proofErr w:type="spellStart"/>
      <w:r>
        <w:rPr>
          <w:rFonts w:eastAsia="Arial" w:cs="Arial"/>
          <w:sz w:val="20"/>
          <w:szCs w:val="20"/>
        </w:rPr>
        <w:t>Talibong</w:t>
      </w:r>
      <w:proofErr w:type="spellEnd"/>
      <w:r>
        <w:rPr>
          <w:rFonts w:eastAsia="Arial" w:cs="Arial"/>
          <w:sz w:val="20"/>
          <w:szCs w:val="20"/>
        </w:rPr>
        <w:t xml:space="preserve">, </w:t>
      </w:r>
      <w:proofErr w:type="spellStart"/>
      <w:r>
        <w:rPr>
          <w:rFonts w:eastAsia="Arial" w:cs="Arial"/>
          <w:sz w:val="20"/>
          <w:szCs w:val="20"/>
        </w:rPr>
        <w:t>Sto</w:t>
      </w:r>
      <w:proofErr w:type="spellEnd"/>
      <w:r>
        <w:rPr>
          <w:rFonts w:eastAsia="Arial" w:cs="Arial"/>
          <w:sz w:val="20"/>
          <w:szCs w:val="20"/>
        </w:rPr>
        <w:t>. Rosario-</w:t>
      </w:r>
      <w:proofErr w:type="spellStart"/>
      <w:r>
        <w:rPr>
          <w:rFonts w:eastAsia="Arial" w:cs="Arial"/>
          <w:sz w:val="20"/>
          <w:szCs w:val="20"/>
        </w:rPr>
        <w:t>Kanluran</w:t>
      </w:r>
      <w:proofErr w:type="spellEnd"/>
      <w:r>
        <w:rPr>
          <w:rFonts w:eastAsia="Arial" w:cs="Arial"/>
          <w:sz w:val="20"/>
          <w:szCs w:val="20"/>
        </w:rPr>
        <w:t>, Pateros, Metro Manila.</w:t>
      </w:r>
      <w:r>
        <w:rPr>
          <w:rFonts w:eastAsia="Arial" w:cs="Arial"/>
          <w:i/>
          <w:sz w:val="20"/>
          <w:szCs w:val="20"/>
        </w:rPr>
        <w:t xml:space="preserve"> </w:t>
      </w:r>
      <w:r>
        <w:rPr>
          <w:rFonts w:eastAsia="Arial" w:cs="Arial"/>
          <w:sz w:val="20"/>
          <w:szCs w:val="20"/>
        </w:rPr>
        <w:t>National Capital Region. Philippines. 2011(Unpublished)</w:t>
      </w:r>
    </w:p>
    <w:p w14:paraId="45899BF7" w14:textId="77777777" w:rsidR="007C6854" w:rsidRDefault="00E0219E">
      <w:pPr>
        <w:numPr>
          <w:ilvl w:val="0"/>
          <w:numId w:val="8"/>
        </w:numPr>
        <w:tabs>
          <w:tab w:val="left" w:pos="720"/>
        </w:tabs>
        <w:spacing w:after="0" w:line="240" w:lineRule="auto"/>
        <w:ind w:left="720" w:hanging="360"/>
        <w:rPr>
          <w:rFonts w:eastAsia="Arial" w:cs="Arial"/>
          <w:sz w:val="20"/>
          <w:szCs w:val="20"/>
        </w:rPr>
      </w:pPr>
      <w:r>
        <w:rPr>
          <w:rFonts w:eastAsia="Arial" w:cs="Arial"/>
          <w:i/>
          <w:sz w:val="20"/>
          <w:szCs w:val="20"/>
        </w:rPr>
        <w:t xml:space="preserve">Salmonella Typhi </w:t>
      </w:r>
      <w:r>
        <w:rPr>
          <w:rFonts w:eastAsia="Arial" w:cs="Arial"/>
          <w:sz w:val="20"/>
          <w:szCs w:val="20"/>
        </w:rPr>
        <w:t>Outbreak in Calamba City, Laguna. Philippines. 2008 (Unpublished)</w:t>
      </w:r>
    </w:p>
    <w:p w14:paraId="4B313C27" w14:textId="77777777" w:rsidR="007C6854" w:rsidRDefault="00E0219E">
      <w:pPr>
        <w:numPr>
          <w:ilvl w:val="0"/>
          <w:numId w:val="8"/>
        </w:numPr>
        <w:tabs>
          <w:tab w:val="left" w:pos="720"/>
        </w:tabs>
        <w:spacing w:after="0" w:line="240" w:lineRule="auto"/>
        <w:ind w:left="720" w:right="460" w:hanging="360"/>
        <w:rPr>
          <w:rFonts w:eastAsia="Arial" w:cs="Arial"/>
          <w:sz w:val="20"/>
          <w:szCs w:val="20"/>
        </w:rPr>
      </w:pPr>
      <w:r>
        <w:rPr>
          <w:rFonts w:eastAsia="Arial" w:cs="Arial"/>
          <w:i/>
          <w:sz w:val="20"/>
          <w:szCs w:val="20"/>
        </w:rPr>
        <w:t xml:space="preserve">Staphylococcus aureus </w:t>
      </w:r>
      <w:r>
        <w:rPr>
          <w:rFonts w:eastAsia="Arial" w:cs="Arial"/>
          <w:sz w:val="20"/>
          <w:szCs w:val="20"/>
        </w:rPr>
        <w:t>Outbreak in the three Municipalities in Rizal: Case control Study.</w:t>
      </w:r>
      <w:r>
        <w:rPr>
          <w:rFonts w:eastAsia="Arial" w:cs="Arial"/>
          <w:i/>
          <w:sz w:val="20"/>
          <w:szCs w:val="20"/>
        </w:rPr>
        <w:t xml:space="preserve"> </w:t>
      </w:r>
      <w:r>
        <w:rPr>
          <w:rFonts w:eastAsia="Arial" w:cs="Arial"/>
          <w:sz w:val="20"/>
          <w:szCs w:val="20"/>
        </w:rPr>
        <w:t>Philippines. 2008 (Unpublished)</w:t>
      </w:r>
    </w:p>
    <w:p w14:paraId="3ADD93D0" w14:textId="77777777" w:rsidR="007C6854" w:rsidRDefault="00E0219E">
      <w:pPr>
        <w:numPr>
          <w:ilvl w:val="0"/>
          <w:numId w:val="8"/>
        </w:numPr>
        <w:tabs>
          <w:tab w:val="left" w:pos="740"/>
        </w:tabs>
        <w:spacing w:after="0" w:line="240" w:lineRule="auto"/>
        <w:ind w:left="740" w:hanging="380"/>
        <w:rPr>
          <w:rFonts w:eastAsia="Arial" w:cs="Arial"/>
          <w:sz w:val="20"/>
          <w:szCs w:val="20"/>
        </w:rPr>
      </w:pPr>
      <w:r>
        <w:rPr>
          <w:rFonts w:eastAsia="Arial" w:cs="Arial"/>
          <w:sz w:val="20"/>
          <w:szCs w:val="20"/>
        </w:rPr>
        <w:t>Rapid Health Assessment and Disease Surveillance after heavy rainfall brought by Typhoon</w:t>
      </w:r>
    </w:p>
    <w:p w14:paraId="617C5EC3" w14:textId="77777777" w:rsidR="007C6854" w:rsidRDefault="00E0219E">
      <w:pPr>
        <w:spacing w:after="0" w:line="240" w:lineRule="auto"/>
        <w:ind w:left="720"/>
        <w:rPr>
          <w:rFonts w:eastAsia="Arial" w:cs="Arial"/>
          <w:sz w:val="20"/>
          <w:szCs w:val="20"/>
        </w:rPr>
      </w:pPr>
      <w:r>
        <w:rPr>
          <w:rFonts w:eastAsia="Arial" w:cs="Arial"/>
          <w:sz w:val="20"/>
          <w:szCs w:val="20"/>
        </w:rPr>
        <w:t>“Frank” in Iloilo City, Philippines. 2008 (Unpublished)</w:t>
      </w:r>
    </w:p>
    <w:p w14:paraId="7B4C54A0" w14:textId="77777777" w:rsidR="007C6854" w:rsidRDefault="00E0219E">
      <w:pPr>
        <w:spacing w:after="0" w:line="240" w:lineRule="auto"/>
        <w:rPr>
          <w:rFonts w:eastAsia="Arial" w:cs="Arial"/>
          <w:sz w:val="20"/>
          <w:szCs w:val="20"/>
        </w:rPr>
      </w:pPr>
      <w:r>
        <w:rPr>
          <w:rFonts w:eastAsia="Arial" w:cs="Arial"/>
          <w:b/>
          <w:i/>
          <w:sz w:val="20"/>
          <w:szCs w:val="20"/>
          <w:u w:val="single"/>
        </w:rPr>
        <w:t>Co-Author</w:t>
      </w:r>
    </w:p>
    <w:p w14:paraId="3A576CA5" w14:textId="77777777" w:rsidR="007C6854" w:rsidRDefault="007C6854">
      <w:pPr>
        <w:spacing w:after="0" w:line="240" w:lineRule="auto"/>
        <w:rPr>
          <w:rFonts w:eastAsia="Arial" w:cs="Arial"/>
          <w:sz w:val="20"/>
          <w:szCs w:val="20"/>
        </w:rPr>
      </w:pPr>
    </w:p>
    <w:p w14:paraId="46EFCCC8" w14:textId="77777777" w:rsidR="007C6854" w:rsidRDefault="00E0219E">
      <w:pPr>
        <w:numPr>
          <w:ilvl w:val="0"/>
          <w:numId w:val="10"/>
        </w:numPr>
        <w:tabs>
          <w:tab w:val="left" w:pos="720"/>
        </w:tabs>
        <w:spacing w:after="0" w:line="240" w:lineRule="auto"/>
        <w:ind w:left="720" w:right="1220" w:hanging="360"/>
        <w:rPr>
          <w:rFonts w:eastAsia="Arial" w:cs="Arial"/>
          <w:sz w:val="20"/>
          <w:szCs w:val="20"/>
        </w:rPr>
      </w:pPr>
      <w:r>
        <w:rPr>
          <w:rFonts w:eastAsia="Arial" w:cs="Arial"/>
          <w:sz w:val="20"/>
          <w:szCs w:val="20"/>
        </w:rPr>
        <w:t xml:space="preserve">Vibrio Cholerae Outbreak: Case control Study, </w:t>
      </w:r>
      <w:proofErr w:type="spellStart"/>
      <w:r>
        <w:rPr>
          <w:rFonts w:eastAsia="Arial" w:cs="Arial"/>
          <w:sz w:val="20"/>
          <w:szCs w:val="20"/>
        </w:rPr>
        <w:t>Palimbang</w:t>
      </w:r>
      <w:proofErr w:type="spellEnd"/>
      <w:r>
        <w:rPr>
          <w:rFonts w:eastAsia="Arial" w:cs="Arial"/>
          <w:sz w:val="20"/>
          <w:szCs w:val="20"/>
        </w:rPr>
        <w:t xml:space="preserve">, Sultan Kudarat. 2008 </w:t>
      </w:r>
    </w:p>
    <w:p w14:paraId="7890027F" w14:textId="77777777" w:rsidR="007C6854" w:rsidRDefault="00E0219E">
      <w:pPr>
        <w:numPr>
          <w:ilvl w:val="0"/>
          <w:numId w:val="10"/>
        </w:numPr>
        <w:tabs>
          <w:tab w:val="left" w:pos="720"/>
        </w:tabs>
        <w:spacing w:after="0" w:line="240" w:lineRule="auto"/>
        <w:ind w:left="720" w:hanging="360"/>
        <w:rPr>
          <w:rFonts w:eastAsia="Arial" w:cs="Arial"/>
          <w:sz w:val="20"/>
          <w:szCs w:val="20"/>
        </w:rPr>
      </w:pPr>
      <w:r>
        <w:rPr>
          <w:rFonts w:eastAsia="Arial" w:cs="Arial"/>
          <w:sz w:val="20"/>
          <w:szCs w:val="20"/>
        </w:rPr>
        <w:t xml:space="preserve">Leptospirosis Outbreak in Iloilo City. 2008 </w:t>
      </w:r>
    </w:p>
    <w:p w14:paraId="1904208C" w14:textId="77777777" w:rsidR="007C6854" w:rsidRDefault="00E0219E">
      <w:pPr>
        <w:numPr>
          <w:ilvl w:val="0"/>
          <w:numId w:val="10"/>
        </w:numPr>
        <w:tabs>
          <w:tab w:val="left" w:pos="720"/>
        </w:tabs>
        <w:spacing w:after="0" w:line="240" w:lineRule="auto"/>
        <w:ind w:left="720" w:right="240" w:hanging="360"/>
        <w:rPr>
          <w:rFonts w:eastAsia="Arial" w:cs="Arial"/>
          <w:sz w:val="20"/>
          <w:szCs w:val="20"/>
        </w:rPr>
        <w:sectPr w:rsidR="007C6854">
          <w:headerReference w:type="default" r:id="rId222"/>
          <w:footerReference w:type="default" r:id="rId223"/>
          <w:pgSz w:w="11906" w:h="16838"/>
          <w:pgMar w:top="1440" w:right="1440" w:bottom="1440" w:left="1440" w:header="0" w:footer="0" w:gutter="0"/>
          <w:pgNumType w:start="1"/>
          <w:cols w:space="720"/>
        </w:sectPr>
      </w:pPr>
      <w:proofErr w:type="spellStart"/>
      <w:r>
        <w:rPr>
          <w:rFonts w:eastAsia="Arial" w:cs="Arial"/>
          <w:sz w:val="20"/>
          <w:szCs w:val="20"/>
        </w:rPr>
        <w:lastRenderedPageBreak/>
        <w:t>Psuedo</w:t>
      </w:r>
      <w:proofErr w:type="spellEnd"/>
      <w:r>
        <w:rPr>
          <w:rFonts w:eastAsia="Arial" w:cs="Arial"/>
          <w:sz w:val="20"/>
          <w:szCs w:val="20"/>
        </w:rPr>
        <w:t xml:space="preserve"> Outbreak of Typhoid Fever, Municipality of </w:t>
      </w:r>
      <w:proofErr w:type="spellStart"/>
      <w:r>
        <w:rPr>
          <w:rFonts w:eastAsia="Arial" w:cs="Arial"/>
          <w:sz w:val="20"/>
          <w:szCs w:val="20"/>
        </w:rPr>
        <w:t>Rapu-Rapu</w:t>
      </w:r>
      <w:proofErr w:type="spellEnd"/>
      <w:r>
        <w:rPr>
          <w:rFonts w:eastAsia="Arial" w:cs="Arial"/>
          <w:sz w:val="20"/>
          <w:szCs w:val="20"/>
        </w:rPr>
        <w:t>, Bicol. 2008</w:t>
      </w:r>
    </w:p>
    <w:p w14:paraId="4E61645D" w14:textId="77777777" w:rsidR="007C6854" w:rsidRDefault="00E0219E">
      <w:pPr>
        <w:rPr>
          <w:rFonts w:eastAsia="Arial" w:cs="Arial"/>
          <w:sz w:val="20"/>
          <w:szCs w:val="20"/>
        </w:rPr>
      </w:pPr>
      <w:r>
        <w:rPr>
          <w:rFonts w:eastAsia="Arial" w:cs="Arial"/>
          <w:b/>
          <w:i/>
          <w:sz w:val="20"/>
          <w:szCs w:val="20"/>
          <w:u w:val="single"/>
        </w:rPr>
        <w:t>Epidemiology and Disease Surveillance</w:t>
      </w:r>
    </w:p>
    <w:p w14:paraId="095424E5" w14:textId="77777777" w:rsidR="007C6854" w:rsidRDefault="00E0219E">
      <w:pPr>
        <w:numPr>
          <w:ilvl w:val="0"/>
          <w:numId w:val="17"/>
        </w:numPr>
        <w:tabs>
          <w:tab w:val="left" w:pos="720"/>
        </w:tabs>
        <w:spacing w:after="0" w:line="236" w:lineRule="auto"/>
        <w:ind w:left="720" w:hanging="360"/>
        <w:jc w:val="both"/>
        <w:rPr>
          <w:rFonts w:eastAsia="Arial" w:cs="Arial"/>
          <w:sz w:val="20"/>
          <w:szCs w:val="20"/>
        </w:rPr>
      </w:pPr>
      <w:r>
        <w:rPr>
          <w:rFonts w:eastAsia="Arial" w:cs="Arial"/>
          <w:b/>
          <w:sz w:val="20"/>
          <w:szCs w:val="20"/>
        </w:rPr>
        <w:t>Pateros Epidemiology and Surveillance Unit</w:t>
      </w:r>
      <w:r>
        <w:rPr>
          <w:rFonts w:eastAsia="Arial" w:cs="Arial"/>
          <w:sz w:val="20"/>
          <w:szCs w:val="20"/>
        </w:rPr>
        <w:t>: Analyzed and produced weekly morbidity</w:t>
      </w:r>
      <w:r>
        <w:rPr>
          <w:rFonts w:eastAsia="Arial" w:cs="Arial"/>
          <w:b/>
          <w:sz w:val="20"/>
          <w:szCs w:val="20"/>
        </w:rPr>
        <w:t xml:space="preserve"> </w:t>
      </w:r>
      <w:r>
        <w:rPr>
          <w:rFonts w:eastAsia="Arial" w:cs="Arial"/>
          <w:sz w:val="20"/>
          <w:szCs w:val="20"/>
        </w:rPr>
        <w:t>report; Epidemic Response; Facilitate and conduct Surveys; and Monitor and evaluate Health Programs</w:t>
      </w:r>
    </w:p>
    <w:p w14:paraId="7C182840" w14:textId="77777777" w:rsidR="007C6854" w:rsidRDefault="00E0219E">
      <w:pPr>
        <w:numPr>
          <w:ilvl w:val="0"/>
          <w:numId w:val="17"/>
        </w:numPr>
        <w:tabs>
          <w:tab w:val="left" w:pos="720"/>
        </w:tabs>
        <w:spacing w:after="0" w:line="235" w:lineRule="auto"/>
        <w:ind w:left="720" w:hanging="360"/>
        <w:rPr>
          <w:rFonts w:eastAsia="Arial" w:cs="Arial"/>
          <w:sz w:val="20"/>
          <w:szCs w:val="20"/>
        </w:rPr>
      </w:pPr>
      <w:r>
        <w:rPr>
          <w:rFonts w:eastAsia="Arial" w:cs="Arial"/>
          <w:b/>
          <w:sz w:val="20"/>
          <w:szCs w:val="20"/>
        </w:rPr>
        <w:t>National Epidemic Sentinel Surveillance System Rotation</w:t>
      </w:r>
      <w:r>
        <w:rPr>
          <w:rFonts w:eastAsia="Arial" w:cs="Arial"/>
          <w:sz w:val="20"/>
          <w:szCs w:val="20"/>
        </w:rPr>
        <w:t>: Analyzed and produced Weekly</w:t>
      </w:r>
      <w:r>
        <w:rPr>
          <w:rFonts w:eastAsia="Arial" w:cs="Arial"/>
          <w:b/>
          <w:sz w:val="20"/>
          <w:szCs w:val="20"/>
        </w:rPr>
        <w:t xml:space="preserve"> </w:t>
      </w:r>
      <w:r>
        <w:rPr>
          <w:rFonts w:eastAsia="Arial" w:cs="Arial"/>
          <w:sz w:val="20"/>
          <w:szCs w:val="20"/>
        </w:rPr>
        <w:t>Morbidity Report</w:t>
      </w:r>
    </w:p>
    <w:p w14:paraId="45CD0EE5" w14:textId="77777777" w:rsidR="007C6854" w:rsidRDefault="00E0219E">
      <w:pPr>
        <w:numPr>
          <w:ilvl w:val="0"/>
          <w:numId w:val="17"/>
        </w:numPr>
        <w:tabs>
          <w:tab w:val="left" w:pos="720"/>
        </w:tabs>
        <w:spacing w:after="0" w:line="237" w:lineRule="auto"/>
        <w:ind w:left="720" w:hanging="360"/>
        <w:jc w:val="both"/>
        <w:rPr>
          <w:rFonts w:eastAsia="Arial" w:cs="Arial"/>
          <w:sz w:val="20"/>
          <w:szCs w:val="20"/>
        </w:rPr>
      </w:pPr>
      <w:r>
        <w:rPr>
          <w:rFonts w:eastAsia="Arial" w:cs="Arial"/>
          <w:b/>
          <w:sz w:val="20"/>
          <w:szCs w:val="20"/>
        </w:rPr>
        <w:t>Provincial and Municipal Epidemic and Surveillance Unit Rotation</w:t>
      </w:r>
      <w:r>
        <w:rPr>
          <w:rFonts w:eastAsia="Arial" w:cs="Arial"/>
          <w:sz w:val="20"/>
          <w:szCs w:val="20"/>
        </w:rPr>
        <w:t>: Analyzed and produced</w:t>
      </w:r>
      <w:r>
        <w:rPr>
          <w:rFonts w:eastAsia="Arial" w:cs="Arial"/>
          <w:b/>
          <w:sz w:val="20"/>
          <w:szCs w:val="20"/>
        </w:rPr>
        <w:t xml:space="preserve"> </w:t>
      </w:r>
      <w:r>
        <w:rPr>
          <w:rFonts w:eastAsia="Arial" w:cs="Arial"/>
          <w:sz w:val="20"/>
          <w:szCs w:val="20"/>
        </w:rPr>
        <w:t xml:space="preserve">Weekly Morbidity Report and Responded to Outbreaks (Typhoid Fever in </w:t>
      </w:r>
      <w:proofErr w:type="spellStart"/>
      <w:r>
        <w:rPr>
          <w:rFonts w:eastAsia="Arial" w:cs="Arial"/>
          <w:sz w:val="20"/>
          <w:szCs w:val="20"/>
        </w:rPr>
        <w:t>Iraya</w:t>
      </w:r>
      <w:proofErr w:type="spellEnd"/>
      <w:r>
        <w:rPr>
          <w:rFonts w:eastAsia="Arial" w:cs="Arial"/>
          <w:sz w:val="20"/>
          <w:szCs w:val="20"/>
        </w:rPr>
        <w:t xml:space="preserve">, </w:t>
      </w:r>
      <w:proofErr w:type="spellStart"/>
      <w:r>
        <w:rPr>
          <w:rFonts w:eastAsia="Arial" w:cs="Arial"/>
          <w:sz w:val="20"/>
          <w:szCs w:val="20"/>
        </w:rPr>
        <w:t>Buhi</w:t>
      </w:r>
      <w:proofErr w:type="spellEnd"/>
      <w:r>
        <w:rPr>
          <w:rFonts w:eastAsia="Arial" w:cs="Arial"/>
          <w:sz w:val="20"/>
          <w:szCs w:val="20"/>
        </w:rPr>
        <w:t xml:space="preserve">, Camarines Sur. Bicol. Philippines and Increase in Diarrheal Cases in </w:t>
      </w:r>
      <w:proofErr w:type="spellStart"/>
      <w:r>
        <w:rPr>
          <w:rFonts w:eastAsia="Arial" w:cs="Arial"/>
          <w:sz w:val="20"/>
          <w:szCs w:val="20"/>
        </w:rPr>
        <w:t>Poblacion</w:t>
      </w:r>
      <w:proofErr w:type="spellEnd"/>
      <w:r>
        <w:rPr>
          <w:rFonts w:eastAsia="Arial" w:cs="Arial"/>
          <w:sz w:val="20"/>
          <w:szCs w:val="20"/>
        </w:rPr>
        <w:t xml:space="preserve">, </w:t>
      </w:r>
      <w:proofErr w:type="spellStart"/>
      <w:r>
        <w:rPr>
          <w:rFonts w:eastAsia="Arial" w:cs="Arial"/>
          <w:sz w:val="20"/>
          <w:szCs w:val="20"/>
        </w:rPr>
        <w:t>Buhi</w:t>
      </w:r>
      <w:proofErr w:type="spellEnd"/>
      <w:r>
        <w:rPr>
          <w:rFonts w:eastAsia="Arial" w:cs="Arial"/>
          <w:sz w:val="20"/>
          <w:szCs w:val="20"/>
        </w:rPr>
        <w:t>, Camarines Sur. Bicol. Philippines. 2008)</w:t>
      </w:r>
    </w:p>
    <w:p w14:paraId="66C1338B" w14:textId="77777777" w:rsidR="007C6854" w:rsidRDefault="007C6854">
      <w:pPr>
        <w:spacing w:line="304" w:lineRule="auto"/>
        <w:rPr>
          <w:rFonts w:eastAsia="Arial" w:cs="Arial"/>
          <w:sz w:val="20"/>
          <w:szCs w:val="20"/>
        </w:rPr>
      </w:pPr>
    </w:p>
    <w:p w14:paraId="1CE338DC" w14:textId="77777777" w:rsidR="007C6854" w:rsidRDefault="00E0219E">
      <w:pPr>
        <w:rPr>
          <w:rFonts w:eastAsia="Arial" w:cs="Arial"/>
          <w:sz w:val="20"/>
          <w:szCs w:val="20"/>
        </w:rPr>
      </w:pPr>
      <w:r>
        <w:rPr>
          <w:rFonts w:eastAsia="Arial" w:cs="Arial"/>
          <w:b/>
          <w:i/>
          <w:sz w:val="20"/>
          <w:szCs w:val="20"/>
          <w:u w:val="single"/>
        </w:rPr>
        <w:t>OTHER RELEVANT INFORMATION</w:t>
      </w:r>
    </w:p>
    <w:p w14:paraId="54090FD6" w14:textId="77777777" w:rsidR="007C6854" w:rsidRDefault="00E0219E">
      <w:pPr>
        <w:rPr>
          <w:rFonts w:eastAsia="Arial" w:cs="Arial"/>
          <w:sz w:val="20"/>
          <w:szCs w:val="20"/>
        </w:rPr>
      </w:pPr>
      <w:r>
        <w:rPr>
          <w:rFonts w:eastAsia="Arial" w:cs="Arial"/>
          <w:b/>
          <w:sz w:val="20"/>
          <w:szCs w:val="20"/>
          <w:u w:val="single"/>
        </w:rPr>
        <w:t>International Presentation</w:t>
      </w:r>
    </w:p>
    <w:p w14:paraId="7AB15C41" w14:textId="77777777" w:rsidR="007C6854" w:rsidRDefault="00E0219E">
      <w:pPr>
        <w:numPr>
          <w:ilvl w:val="0"/>
          <w:numId w:val="25"/>
        </w:numPr>
        <w:tabs>
          <w:tab w:val="left" w:pos="720"/>
        </w:tabs>
        <w:spacing w:after="0" w:line="220" w:lineRule="auto"/>
        <w:ind w:left="720" w:right="40" w:hanging="360"/>
        <w:rPr>
          <w:rFonts w:eastAsia="Arial" w:cs="Arial"/>
          <w:sz w:val="20"/>
          <w:szCs w:val="20"/>
        </w:rPr>
      </w:pPr>
      <w:r>
        <w:rPr>
          <w:rFonts w:eastAsia="Arial" w:cs="Arial"/>
          <w:sz w:val="20"/>
          <w:szCs w:val="20"/>
        </w:rPr>
        <w:t xml:space="preserve">Oral Presentation – </w:t>
      </w:r>
      <w:r>
        <w:rPr>
          <w:rFonts w:eastAsia="Arial" w:cs="Arial"/>
          <w:i/>
          <w:sz w:val="20"/>
          <w:szCs w:val="20"/>
        </w:rPr>
        <w:t>Staphylococcus aureus</w:t>
      </w:r>
      <w:r>
        <w:rPr>
          <w:rFonts w:eastAsia="Arial" w:cs="Arial"/>
          <w:sz w:val="20"/>
          <w:szCs w:val="20"/>
        </w:rPr>
        <w:t xml:space="preserve"> outbreak: Case control Study (2009); Seoul, South Korea</w:t>
      </w:r>
    </w:p>
    <w:p w14:paraId="012D2FD0" w14:textId="77777777" w:rsidR="007C6854" w:rsidRDefault="00E0219E">
      <w:pPr>
        <w:numPr>
          <w:ilvl w:val="0"/>
          <w:numId w:val="25"/>
        </w:numPr>
        <w:tabs>
          <w:tab w:val="left" w:pos="720"/>
        </w:tabs>
        <w:spacing w:after="0" w:line="240" w:lineRule="auto"/>
        <w:ind w:left="720" w:hanging="360"/>
        <w:rPr>
          <w:rFonts w:eastAsia="Arial" w:cs="Arial"/>
          <w:sz w:val="20"/>
          <w:szCs w:val="20"/>
        </w:rPr>
      </w:pPr>
      <w:r>
        <w:rPr>
          <w:rFonts w:eastAsia="Arial" w:cs="Arial"/>
          <w:sz w:val="20"/>
          <w:szCs w:val="20"/>
        </w:rPr>
        <w:t xml:space="preserve">Poster Presentation – </w:t>
      </w:r>
      <w:r>
        <w:rPr>
          <w:rFonts w:eastAsia="Arial" w:cs="Arial"/>
          <w:i/>
          <w:sz w:val="20"/>
          <w:szCs w:val="20"/>
        </w:rPr>
        <w:t>Salmonella Typhi</w:t>
      </w:r>
      <w:r>
        <w:rPr>
          <w:rFonts w:eastAsia="Arial" w:cs="Arial"/>
          <w:sz w:val="20"/>
          <w:szCs w:val="20"/>
        </w:rPr>
        <w:t xml:space="preserve"> outbreak (2009); Seoul, South Korea</w:t>
      </w:r>
    </w:p>
    <w:p w14:paraId="3D8FFE54" w14:textId="77777777" w:rsidR="007C6854" w:rsidRDefault="00E0219E">
      <w:pPr>
        <w:numPr>
          <w:ilvl w:val="0"/>
          <w:numId w:val="25"/>
        </w:numPr>
        <w:tabs>
          <w:tab w:val="left" w:pos="720"/>
        </w:tabs>
        <w:spacing w:after="0" w:line="218" w:lineRule="auto"/>
        <w:ind w:left="720" w:hanging="360"/>
        <w:rPr>
          <w:rFonts w:eastAsia="Arial" w:cs="Arial"/>
          <w:sz w:val="20"/>
          <w:szCs w:val="20"/>
        </w:rPr>
      </w:pPr>
      <w:r>
        <w:rPr>
          <w:rFonts w:eastAsia="Arial" w:cs="Arial"/>
          <w:sz w:val="20"/>
          <w:szCs w:val="20"/>
        </w:rPr>
        <w:t>Poster Presentation – Foodborne Disease outbreak: Retrospective Cohort Study (2008); Kuala Lumpur, Malaysia</w:t>
      </w:r>
    </w:p>
    <w:p w14:paraId="581CA618" w14:textId="77777777" w:rsidR="007C6854" w:rsidRDefault="007C6854">
      <w:pPr>
        <w:spacing w:line="246" w:lineRule="auto"/>
        <w:rPr>
          <w:rFonts w:eastAsia="Arial" w:cs="Arial"/>
          <w:sz w:val="20"/>
          <w:szCs w:val="20"/>
        </w:rPr>
      </w:pPr>
    </w:p>
    <w:p w14:paraId="5E1CDA42" w14:textId="77777777" w:rsidR="007C6854" w:rsidRDefault="00E0219E">
      <w:pPr>
        <w:rPr>
          <w:rFonts w:eastAsia="Arial" w:cs="Arial"/>
          <w:sz w:val="20"/>
          <w:szCs w:val="20"/>
        </w:rPr>
      </w:pPr>
      <w:r>
        <w:rPr>
          <w:rFonts w:eastAsia="Arial" w:cs="Arial"/>
          <w:b/>
          <w:sz w:val="20"/>
          <w:szCs w:val="20"/>
          <w:u w:val="single"/>
        </w:rPr>
        <w:t>Local Presentation</w:t>
      </w:r>
    </w:p>
    <w:p w14:paraId="13EDF344" w14:textId="77777777" w:rsidR="007C6854" w:rsidRDefault="00E0219E">
      <w:pPr>
        <w:numPr>
          <w:ilvl w:val="0"/>
          <w:numId w:val="3"/>
        </w:numPr>
        <w:tabs>
          <w:tab w:val="left" w:pos="720"/>
        </w:tabs>
        <w:spacing w:after="0" w:line="219" w:lineRule="auto"/>
        <w:ind w:left="720" w:right="1120" w:hanging="360"/>
        <w:rPr>
          <w:rFonts w:eastAsia="Arial" w:cs="Arial"/>
          <w:i/>
          <w:sz w:val="20"/>
          <w:szCs w:val="20"/>
        </w:rPr>
      </w:pPr>
      <w:r>
        <w:rPr>
          <w:rFonts w:eastAsia="Arial" w:cs="Arial"/>
          <w:i/>
          <w:sz w:val="20"/>
          <w:szCs w:val="20"/>
        </w:rPr>
        <w:t xml:space="preserve">Capture-Recapture Study along C5 Road (2009) </w:t>
      </w:r>
      <w:r>
        <w:rPr>
          <w:rFonts w:eastAsia="Arial" w:cs="Arial"/>
          <w:sz w:val="20"/>
          <w:szCs w:val="20"/>
        </w:rPr>
        <w:t>during the Workshop meeting on</w:t>
      </w:r>
      <w:r>
        <w:rPr>
          <w:rFonts w:eastAsia="Arial" w:cs="Arial"/>
          <w:i/>
          <w:sz w:val="20"/>
          <w:szCs w:val="20"/>
        </w:rPr>
        <w:t xml:space="preserve"> </w:t>
      </w:r>
      <w:r>
        <w:rPr>
          <w:rFonts w:eastAsia="Arial" w:cs="Arial"/>
          <w:sz w:val="20"/>
          <w:szCs w:val="20"/>
        </w:rPr>
        <w:t>Enhancing Road Safety Data in the Philippines. 2011.</w:t>
      </w:r>
    </w:p>
    <w:p w14:paraId="2A9A30A6" w14:textId="77777777" w:rsidR="007C6854" w:rsidRDefault="007C6854">
      <w:pPr>
        <w:spacing w:line="238" w:lineRule="auto"/>
        <w:rPr>
          <w:rFonts w:eastAsia="Arial" w:cs="Arial"/>
          <w:sz w:val="20"/>
          <w:szCs w:val="20"/>
        </w:rPr>
      </w:pPr>
    </w:p>
    <w:p w14:paraId="78492BF0" w14:textId="77777777" w:rsidR="007C6854" w:rsidRDefault="00E0219E">
      <w:pPr>
        <w:rPr>
          <w:rFonts w:eastAsia="Arial" w:cs="Arial"/>
          <w:sz w:val="20"/>
          <w:szCs w:val="20"/>
        </w:rPr>
      </w:pPr>
      <w:r>
        <w:rPr>
          <w:rFonts w:eastAsia="Arial" w:cs="Arial"/>
          <w:b/>
          <w:sz w:val="20"/>
          <w:szCs w:val="20"/>
          <w:u w:val="single"/>
        </w:rPr>
        <w:t>Engagement as Resource Speaker or Facilitator (In the past 5 years)</w:t>
      </w:r>
    </w:p>
    <w:p w14:paraId="2A279C03"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Resource Speaker during the training of Contact Tracer in Central Visayas. Cebu City Health Department and DILG. June - July, 2020</w:t>
      </w:r>
    </w:p>
    <w:p w14:paraId="4C98E273"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 xml:space="preserve">Resource Speaker during the roll-out training of Contact Tracing Module in the region, May to July 2020 </w:t>
      </w:r>
    </w:p>
    <w:p w14:paraId="20343AEF"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Resource Speaker and Facilitator in the training of Valenzuela City Health Department staff on Basic Epidemiology and Disease Surveillance (BEDS), March 2020</w:t>
      </w:r>
    </w:p>
    <w:p w14:paraId="0EC59E8C"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 xml:space="preserve">Resource Speaker during the </w:t>
      </w:r>
      <w:proofErr w:type="spellStart"/>
      <w:r>
        <w:rPr>
          <w:rFonts w:eastAsia="Arial" w:cs="Arial"/>
          <w:sz w:val="20"/>
          <w:szCs w:val="20"/>
        </w:rPr>
        <w:t>Navotas</w:t>
      </w:r>
      <w:proofErr w:type="spellEnd"/>
      <w:r>
        <w:rPr>
          <w:rFonts w:eastAsia="Arial" w:cs="Arial"/>
          <w:sz w:val="20"/>
          <w:szCs w:val="20"/>
        </w:rPr>
        <w:t xml:space="preserve"> Health Summit. July 26, 2019</w:t>
      </w:r>
    </w:p>
    <w:p w14:paraId="4E600B6B"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Facilitator and Resource Speaker on Basic Epidemiology and Disease Surveillance &amp; Basic Epidemiology and Event-based Surveillance for Hospital Personnel and Primary Health Care in NCR. May and July 2019.</w:t>
      </w:r>
    </w:p>
    <w:p w14:paraId="55A2E84E"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Planning Workshop Facilitator during the development of the Local Investment Plan for Health for City Government of Taguig. 2018</w:t>
      </w:r>
    </w:p>
    <w:p w14:paraId="65B6C968"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Facilitator and Resource Speaker in the development of Drowning Prevention and Road Safety Regional Plan for Davao Region, 2016-2017.</w:t>
      </w:r>
    </w:p>
    <w:p w14:paraId="30598927"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Forum/Workshop Speaker in Violence and Injury Prevention Alliance for the development of the regional action plan for drowning prevention and road safety in Region 11. 2017</w:t>
      </w:r>
    </w:p>
    <w:p w14:paraId="75EF65FF"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Forum Speaker in Violence and Injury Prevention Alliance in Region 6. 2016</w:t>
      </w:r>
    </w:p>
    <w:p w14:paraId="7C28D6C1"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Resources Speaker and Facilitator in the Roll-out of the Package of Noncommunicable Diseases Intervention in Region 8. 2014-2015</w:t>
      </w:r>
    </w:p>
    <w:p w14:paraId="45C39257" w14:textId="77777777" w:rsidR="007C6854" w:rsidRDefault="00E0219E">
      <w:pPr>
        <w:numPr>
          <w:ilvl w:val="0"/>
          <w:numId w:val="26"/>
        </w:numPr>
        <w:tabs>
          <w:tab w:val="left" w:pos="360"/>
        </w:tabs>
        <w:spacing w:after="0" w:line="240" w:lineRule="auto"/>
        <w:rPr>
          <w:rFonts w:eastAsia="Arial" w:cs="Arial"/>
          <w:sz w:val="20"/>
          <w:szCs w:val="20"/>
        </w:rPr>
      </w:pPr>
      <w:r>
        <w:rPr>
          <w:rFonts w:eastAsia="Arial" w:cs="Arial"/>
          <w:sz w:val="20"/>
          <w:szCs w:val="20"/>
        </w:rPr>
        <w:t>Workshop Facilitator during the Program Implementation Review and Development of the Annual Operational Plan for Health 2011 to 2015 – Pateros Health Department.</w:t>
      </w:r>
    </w:p>
    <w:p w14:paraId="7AD1E08E" w14:textId="77777777" w:rsidR="007C6854" w:rsidRDefault="007C6854">
      <w:pPr>
        <w:tabs>
          <w:tab w:val="left" w:pos="360"/>
        </w:tabs>
        <w:rPr>
          <w:rFonts w:eastAsia="Arial" w:cs="Arial"/>
          <w:sz w:val="20"/>
          <w:szCs w:val="20"/>
        </w:rPr>
      </w:pPr>
    </w:p>
    <w:p w14:paraId="60A09654" w14:textId="77777777" w:rsidR="007C6854" w:rsidRDefault="00E0219E">
      <w:pPr>
        <w:tabs>
          <w:tab w:val="left" w:pos="360"/>
        </w:tabs>
        <w:rPr>
          <w:rFonts w:eastAsia="Arial" w:cs="Arial"/>
          <w:b/>
          <w:sz w:val="20"/>
          <w:szCs w:val="20"/>
          <w:u w:val="single"/>
        </w:rPr>
      </w:pPr>
      <w:r>
        <w:rPr>
          <w:rFonts w:eastAsia="Arial" w:cs="Arial"/>
          <w:b/>
          <w:sz w:val="20"/>
          <w:szCs w:val="20"/>
          <w:u w:val="single"/>
        </w:rPr>
        <w:t>Engagement as Resource Speaker or Facilitator at the start of career up to 2013</w:t>
      </w:r>
    </w:p>
    <w:p w14:paraId="0BB40057"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lastRenderedPageBreak/>
        <w:t>Workshop Facilitator for the development of Standards for monitoring and supervising Health Programs in Pateros. 2013. – Pateros Health Department</w:t>
      </w:r>
    </w:p>
    <w:p w14:paraId="137DCBB2"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Facilitator on the Training on the Integrated Tuberculosis Information System. 2013. – Pateros Health Department</w:t>
      </w:r>
    </w:p>
    <w:p w14:paraId="5BFC2715"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Workshop Facilitator for the development of IEC materials for MNCHN, TB, STI/HIV/AIDS, Dengue and Healthy Lifestyle. 2013. – Pateros Health Department</w:t>
      </w:r>
    </w:p>
    <w:p w14:paraId="73742C0A"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on the Philippine Integrated Disease Surveillance and Response (PIDSR) System among Hospital Personnel in Quezon City, Contemporary Hotel, Quezon City</w:t>
      </w:r>
    </w:p>
    <w:p w14:paraId="4ACA6C8D"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Facilitator on the Training of Health Personnel on the use of the Wireless Access for Health Electronic Medical Records. 2012. – Pateros Health Department.</w:t>
      </w:r>
    </w:p>
    <w:p w14:paraId="52B32CDF"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PIDSR: Data Analysis and Interpretation for Health Center Physician, Nurses, Midwives and Sanitary Inspectors, City of Makati</w:t>
      </w:r>
    </w:p>
    <w:p w14:paraId="3ECD4413"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of Community Health Team in Pateros, Pateros Health Department, Pateros, Metro Manila.</w:t>
      </w:r>
    </w:p>
    <w:p w14:paraId="63B9574E"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on the Philippine Disease Surveillance and Response System and the Field Health Service Information System, Candelaria, Zambales. – Pateros Health Office</w:t>
      </w:r>
    </w:p>
    <w:p w14:paraId="58573356"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on Basic Epidemiology and Disease Surveillance, Sunview Hotel, Alfonso, Tagaytay City – Center for Health Development in Metro Manila</w:t>
      </w:r>
    </w:p>
    <w:p w14:paraId="24594894"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of Trainers on the Promotion of Health Lifestyle, Center for Health Development – Metro Manila.</w:t>
      </w:r>
    </w:p>
    <w:p w14:paraId="1042238B"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Epidemiology Perspective for Nurses, Trinity University of Asia, Quezon City</w:t>
      </w:r>
    </w:p>
    <w:p w14:paraId="545A53CD"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on Basic Epidemiology and Disease Surveillance, Department of Health - Center for Health Development in Metro Manila</w:t>
      </w:r>
    </w:p>
    <w:p w14:paraId="284DC42E"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of National Core Trainers on the Promotion of Healthy Lifestyle World Health Organization, Department of Health, University of the Philippines College of Nursing</w:t>
      </w:r>
    </w:p>
    <w:p w14:paraId="4A6BD0FB"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of Pateros Health Workers on Integrated Community-Based Prevention and Control of Non-communicable diseases World Health Organization, Department of Health, University of the Philippines College of Nursing</w:t>
      </w:r>
    </w:p>
    <w:p w14:paraId="253D16D6" w14:textId="77777777" w:rsidR="007C6854" w:rsidRDefault="00E0219E">
      <w:pPr>
        <w:numPr>
          <w:ilvl w:val="0"/>
          <w:numId w:val="11"/>
        </w:numPr>
        <w:tabs>
          <w:tab w:val="left" w:pos="360"/>
        </w:tabs>
        <w:spacing w:after="0" w:line="240" w:lineRule="auto"/>
        <w:rPr>
          <w:rFonts w:eastAsia="Arial" w:cs="Arial"/>
          <w:sz w:val="20"/>
          <w:szCs w:val="20"/>
        </w:rPr>
      </w:pPr>
      <w:r>
        <w:rPr>
          <w:rFonts w:eastAsia="Arial" w:cs="Arial"/>
          <w:sz w:val="20"/>
          <w:szCs w:val="20"/>
        </w:rPr>
        <w:t>Training on Community-Based Planning and Management of Nutrition Program (CBPM-NP) – Urban Health and Nutrition Project.</w:t>
      </w:r>
    </w:p>
    <w:p w14:paraId="33A1C791" w14:textId="77777777" w:rsidR="007C6854" w:rsidRDefault="007C6854">
      <w:pPr>
        <w:spacing w:line="300" w:lineRule="auto"/>
        <w:rPr>
          <w:rFonts w:eastAsia="Arial" w:cs="Arial"/>
          <w:sz w:val="20"/>
          <w:szCs w:val="20"/>
        </w:rPr>
      </w:pPr>
    </w:p>
    <w:p w14:paraId="6071C583" w14:textId="77777777" w:rsidR="007C6854" w:rsidRDefault="00E0219E">
      <w:pPr>
        <w:rPr>
          <w:rFonts w:eastAsia="Arial" w:cs="Arial"/>
          <w:sz w:val="20"/>
          <w:szCs w:val="20"/>
        </w:rPr>
      </w:pPr>
      <w:r>
        <w:rPr>
          <w:rFonts w:eastAsia="Arial" w:cs="Arial"/>
          <w:b/>
          <w:i/>
          <w:sz w:val="20"/>
          <w:szCs w:val="20"/>
          <w:u w:val="single"/>
        </w:rPr>
        <w:t>PRESENT EMPLOYMENT AND OFFICE POSITION</w:t>
      </w:r>
    </w:p>
    <w:p w14:paraId="07B32981" w14:textId="77777777" w:rsidR="007C6854" w:rsidRDefault="00E0219E">
      <w:pPr>
        <w:spacing w:line="259" w:lineRule="auto"/>
        <w:rPr>
          <w:rFonts w:eastAsia="Arial" w:cs="Arial"/>
          <w:b/>
          <w:sz w:val="20"/>
          <w:szCs w:val="20"/>
        </w:rPr>
      </w:pPr>
      <w:r>
        <w:rPr>
          <w:rFonts w:eastAsia="Arial" w:cs="Arial"/>
          <w:b/>
          <w:sz w:val="20"/>
          <w:szCs w:val="20"/>
        </w:rPr>
        <w:t>Department of Health Epidemiology Bureau (1 October 2021 to Present)</w:t>
      </w:r>
    </w:p>
    <w:p w14:paraId="7F4BF773" w14:textId="77777777" w:rsidR="007C6854" w:rsidRDefault="00E0219E">
      <w:pPr>
        <w:numPr>
          <w:ilvl w:val="0"/>
          <w:numId w:val="32"/>
        </w:numPr>
        <w:pBdr>
          <w:top w:val="nil"/>
          <w:left w:val="nil"/>
          <w:bottom w:val="nil"/>
          <w:right w:val="nil"/>
          <w:between w:val="nil"/>
        </w:pBdr>
        <w:spacing w:after="0" w:line="259" w:lineRule="auto"/>
        <w:rPr>
          <w:rFonts w:eastAsia="Arial" w:cs="Arial"/>
          <w:color w:val="000000"/>
          <w:sz w:val="20"/>
          <w:szCs w:val="20"/>
        </w:rPr>
      </w:pPr>
      <w:r>
        <w:rPr>
          <w:rFonts w:eastAsia="Arial" w:cs="Arial"/>
          <w:color w:val="000000"/>
          <w:sz w:val="20"/>
          <w:szCs w:val="20"/>
        </w:rPr>
        <w:t>Senior Health Program Officer (Permanent) tasked to supervise the Field Epidemiology Training Program</w:t>
      </w:r>
    </w:p>
    <w:p w14:paraId="206102D2" w14:textId="77777777" w:rsidR="007C6854" w:rsidRDefault="00E0219E">
      <w:pPr>
        <w:spacing w:line="259" w:lineRule="auto"/>
        <w:rPr>
          <w:rFonts w:eastAsia="Arial" w:cs="Arial"/>
          <w:b/>
          <w:sz w:val="20"/>
          <w:szCs w:val="20"/>
        </w:rPr>
      </w:pPr>
      <w:r>
        <w:rPr>
          <w:rFonts w:eastAsia="Arial" w:cs="Arial"/>
          <w:b/>
          <w:sz w:val="20"/>
          <w:szCs w:val="20"/>
        </w:rPr>
        <w:t>Department of Health Epidemiology Bureau (1 October 2021 to Present)</w:t>
      </w:r>
    </w:p>
    <w:p w14:paraId="44B5F87F" w14:textId="77777777" w:rsidR="007C6854" w:rsidRDefault="00E0219E">
      <w:pPr>
        <w:numPr>
          <w:ilvl w:val="0"/>
          <w:numId w:val="32"/>
        </w:numPr>
        <w:pBdr>
          <w:top w:val="nil"/>
          <w:left w:val="nil"/>
          <w:bottom w:val="nil"/>
          <w:right w:val="nil"/>
          <w:between w:val="nil"/>
        </w:pBdr>
        <w:spacing w:after="0" w:line="259" w:lineRule="auto"/>
        <w:rPr>
          <w:rFonts w:eastAsia="Arial" w:cs="Arial"/>
          <w:color w:val="000000"/>
          <w:sz w:val="20"/>
          <w:szCs w:val="20"/>
        </w:rPr>
      </w:pPr>
      <w:r>
        <w:rPr>
          <w:rFonts w:eastAsia="Arial" w:cs="Arial"/>
          <w:color w:val="000000"/>
          <w:sz w:val="20"/>
          <w:szCs w:val="20"/>
        </w:rPr>
        <w:t>Training Specialist IV (Contract of Service) tasked to supervise the Field Epidemiology Training Program</w:t>
      </w:r>
    </w:p>
    <w:p w14:paraId="140B018C" w14:textId="77777777" w:rsidR="007C6854" w:rsidRDefault="00E0219E">
      <w:pPr>
        <w:spacing w:line="259" w:lineRule="auto"/>
        <w:rPr>
          <w:rFonts w:eastAsia="Arial" w:cs="Arial"/>
          <w:b/>
          <w:sz w:val="20"/>
          <w:szCs w:val="20"/>
        </w:rPr>
      </w:pPr>
      <w:r>
        <w:rPr>
          <w:rFonts w:eastAsia="Arial" w:cs="Arial"/>
          <w:b/>
          <w:sz w:val="20"/>
          <w:szCs w:val="20"/>
        </w:rPr>
        <w:t>Metro Manila Center for Health Development (22 February 2021 to 20 September 2021)</w:t>
      </w:r>
    </w:p>
    <w:p w14:paraId="0547106F" w14:textId="77777777" w:rsidR="007C6854" w:rsidRDefault="00E0219E">
      <w:pPr>
        <w:numPr>
          <w:ilvl w:val="0"/>
          <w:numId w:val="29"/>
        </w:numPr>
        <w:spacing w:after="0" w:line="259" w:lineRule="auto"/>
        <w:rPr>
          <w:rFonts w:eastAsia="Arial" w:cs="Arial"/>
          <w:sz w:val="20"/>
          <w:szCs w:val="20"/>
        </w:rPr>
      </w:pPr>
      <w:r>
        <w:rPr>
          <w:rFonts w:eastAsia="Arial" w:cs="Arial"/>
          <w:sz w:val="20"/>
          <w:szCs w:val="20"/>
        </w:rPr>
        <w:t>Senior Health Program Officer (Job Order) assigned in the Regional Epidemiology and Surveillance Unit</w:t>
      </w:r>
    </w:p>
    <w:p w14:paraId="124E2B1F" w14:textId="77777777" w:rsidR="007C6854" w:rsidRDefault="00E0219E">
      <w:pPr>
        <w:numPr>
          <w:ilvl w:val="0"/>
          <w:numId w:val="29"/>
        </w:numPr>
        <w:spacing w:after="0" w:line="259" w:lineRule="auto"/>
        <w:rPr>
          <w:rFonts w:eastAsia="Arial" w:cs="Arial"/>
          <w:sz w:val="20"/>
          <w:szCs w:val="20"/>
        </w:rPr>
      </w:pPr>
      <w:r>
        <w:rPr>
          <w:rFonts w:eastAsia="Arial" w:cs="Arial"/>
          <w:sz w:val="20"/>
          <w:szCs w:val="20"/>
        </w:rPr>
        <w:t>RESU-Response Team Supervisor</w:t>
      </w:r>
    </w:p>
    <w:p w14:paraId="5BD911F6" w14:textId="77777777" w:rsidR="007C6854" w:rsidRDefault="007C6854">
      <w:pPr>
        <w:spacing w:line="237" w:lineRule="auto"/>
        <w:rPr>
          <w:rFonts w:eastAsia="Arial" w:cs="Arial"/>
          <w:b/>
          <w:sz w:val="20"/>
          <w:szCs w:val="20"/>
        </w:rPr>
      </w:pPr>
    </w:p>
    <w:p w14:paraId="3192F212" w14:textId="77777777" w:rsidR="007C6854" w:rsidRDefault="00E0219E">
      <w:pPr>
        <w:spacing w:line="237" w:lineRule="auto"/>
        <w:rPr>
          <w:rFonts w:eastAsia="Arial" w:cs="Arial"/>
          <w:sz w:val="20"/>
          <w:szCs w:val="20"/>
        </w:rPr>
      </w:pPr>
      <w:r>
        <w:rPr>
          <w:rFonts w:eastAsia="Arial" w:cs="Arial"/>
          <w:b/>
          <w:sz w:val="20"/>
          <w:szCs w:val="20"/>
        </w:rPr>
        <w:t xml:space="preserve">World Health Organization Office of the WHO Representative to the Philippines (10 September, 2018 to 30 November 2020) - </w:t>
      </w:r>
      <w:r>
        <w:rPr>
          <w:rFonts w:eastAsia="Arial" w:cs="Arial"/>
          <w:sz w:val="20"/>
          <w:szCs w:val="20"/>
        </w:rPr>
        <w:t>Technical Coordinator of the Urban Health Project in Metro Manila under the Special Service Agreement (SSA)</w:t>
      </w:r>
      <w:r>
        <w:rPr>
          <w:rFonts w:eastAsia="Arial" w:cs="Arial"/>
          <w:b/>
          <w:sz w:val="20"/>
          <w:szCs w:val="20"/>
        </w:rPr>
        <w:t xml:space="preserve">; Re-purpose Scope of Work (April 2020) for COVID-19 Response </w:t>
      </w:r>
      <w:r>
        <w:rPr>
          <w:rFonts w:eastAsia="Arial" w:cs="Arial"/>
          <w:sz w:val="20"/>
          <w:szCs w:val="20"/>
        </w:rPr>
        <w:t>(Deployment Region 7: Central Visayas; the NCR (</w:t>
      </w:r>
      <w:proofErr w:type="spellStart"/>
      <w:r>
        <w:rPr>
          <w:rFonts w:eastAsia="Arial" w:cs="Arial"/>
          <w:sz w:val="20"/>
          <w:szCs w:val="20"/>
        </w:rPr>
        <w:t>Navotas</w:t>
      </w:r>
      <w:proofErr w:type="spellEnd"/>
      <w:r>
        <w:rPr>
          <w:rFonts w:eastAsia="Arial" w:cs="Arial"/>
          <w:sz w:val="20"/>
          <w:szCs w:val="20"/>
        </w:rPr>
        <w:t xml:space="preserve"> City); Technical Support: 1) Drafting of the Contact Tracing Module and 2) One Hospital Command (OCS) - Data Analytics and Roll-out of One Hospital Command System)</w:t>
      </w:r>
    </w:p>
    <w:p w14:paraId="6D5D5EFF" w14:textId="77777777" w:rsidR="007C6854" w:rsidRDefault="00E0219E">
      <w:pPr>
        <w:spacing w:after="0"/>
        <w:rPr>
          <w:rFonts w:eastAsia="Arial" w:cs="Arial"/>
          <w:sz w:val="20"/>
          <w:szCs w:val="20"/>
        </w:rPr>
      </w:pPr>
      <w:r>
        <w:rPr>
          <w:rFonts w:eastAsia="Arial" w:cs="Arial"/>
          <w:b/>
          <w:sz w:val="20"/>
          <w:szCs w:val="20"/>
        </w:rPr>
        <w:lastRenderedPageBreak/>
        <w:t>City Government of Taguig (1 October, 2017 to 15 September, 2018)</w:t>
      </w:r>
    </w:p>
    <w:p w14:paraId="32126143" w14:textId="77777777" w:rsidR="007C6854" w:rsidRDefault="00E0219E">
      <w:pPr>
        <w:numPr>
          <w:ilvl w:val="0"/>
          <w:numId w:val="19"/>
        </w:numPr>
        <w:spacing w:after="0" w:line="240" w:lineRule="auto"/>
        <w:rPr>
          <w:rFonts w:eastAsia="Arial" w:cs="Arial"/>
          <w:sz w:val="20"/>
          <w:szCs w:val="20"/>
        </w:rPr>
      </w:pPr>
      <w:r>
        <w:rPr>
          <w:rFonts w:eastAsia="Arial" w:cs="Arial"/>
          <w:sz w:val="20"/>
          <w:szCs w:val="20"/>
        </w:rPr>
        <w:t>Contractual Contract - Nurse III, Head of the City Epidemiology and Surveillance Unit</w:t>
      </w:r>
    </w:p>
    <w:p w14:paraId="062A0E4D" w14:textId="77777777" w:rsidR="007C6854" w:rsidRDefault="007C6854">
      <w:pPr>
        <w:spacing w:line="261" w:lineRule="auto"/>
        <w:rPr>
          <w:rFonts w:eastAsia="Arial" w:cs="Arial"/>
          <w:sz w:val="20"/>
          <w:szCs w:val="20"/>
        </w:rPr>
      </w:pPr>
    </w:p>
    <w:p w14:paraId="167353FA" w14:textId="77777777" w:rsidR="007C6854" w:rsidRDefault="00E0219E">
      <w:pPr>
        <w:spacing w:line="235" w:lineRule="auto"/>
        <w:ind w:right="80"/>
        <w:rPr>
          <w:rFonts w:eastAsia="Arial" w:cs="Arial"/>
          <w:sz w:val="20"/>
          <w:szCs w:val="20"/>
        </w:rPr>
      </w:pPr>
      <w:r>
        <w:rPr>
          <w:rFonts w:eastAsia="Arial" w:cs="Arial"/>
          <w:b/>
          <w:sz w:val="20"/>
          <w:szCs w:val="20"/>
        </w:rPr>
        <w:t>WORLD HEALTH ORGANIZATION Office of the WHO Representative to the Philippines (March 2014 to 31 July 2017)</w:t>
      </w:r>
    </w:p>
    <w:p w14:paraId="6169538B" w14:textId="77777777" w:rsidR="007C6854" w:rsidRDefault="00E0219E">
      <w:pPr>
        <w:numPr>
          <w:ilvl w:val="0"/>
          <w:numId w:val="27"/>
        </w:numPr>
        <w:tabs>
          <w:tab w:val="left" w:pos="720"/>
        </w:tabs>
        <w:spacing w:after="0" w:line="240" w:lineRule="auto"/>
        <w:ind w:left="720" w:hanging="360"/>
        <w:rPr>
          <w:rFonts w:eastAsia="Arial" w:cs="Arial"/>
          <w:sz w:val="20"/>
          <w:szCs w:val="20"/>
        </w:rPr>
      </w:pPr>
      <w:r>
        <w:rPr>
          <w:rFonts w:eastAsia="Arial" w:cs="Arial"/>
          <w:sz w:val="20"/>
          <w:szCs w:val="20"/>
        </w:rPr>
        <w:t>Special Service Agreement on NCD, Violence and Injury Prevention, Drowning Prevention Project (1 August 2016 to 31 July 2017)</w:t>
      </w:r>
    </w:p>
    <w:p w14:paraId="20B6DE67" w14:textId="77777777" w:rsidR="007C6854" w:rsidRDefault="00E0219E">
      <w:pPr>
        <w:numPr>
          <w:ilvl w:val="0"/>
          <w:numId w:val="27"/>
        </w:numPr>
        <w:tabs>
          <w:tab w:val="left" w:pos="720"/>
        </w:tabs>
        <w:spacing w:after="0" w:line="240" w:lineRule="auto"/>
        <w:ind w:left="720" w:hanging="360"/>
        <w:rPr>
          <w:rFonts w:eastAsia="Arial" w:cs="Arial"/>
          <w:sz w:val="20"/>
          <w:szCs w:val="20"/>
        </w:rPr>
      </w:pPr>
      <w:r>
        <w:rPr>
          <w:rFonts w:eastAsia="Arial" w:cs="Arial"/>
          <w:sz w:val="20"/>
          <w:szCs w:val="20"/>
        </w:rPr>
        <w:t>Short-term Consultant on WHO-Package of Essential NCD implementation (July 2014 to July 2016)</w:t>
      </w:r>
    </w:p>
    <w:p w14:paraId="227EE645" w14:textId="77777777" w:rsidR="007C6854" w:rsidRDefault="007C6854">
      <w:pPr>
        <w:rPr>
          <w:rFonts w:eastAsia="Arial" w:cs="Arial"/>
          <w:sz w:val="20"/>
          <w:szCs w:val="20"/>
        </w:rPr>
      </w:pPr>
    </w:p>
    <w:p w14:paraId="7954982A" w14:textId="77777777" w:rsidR="007C6854" w:rsidRDefault="00E0219E">
      <w:pPr>
        <w:rPr>
          <w:rFonts w:eastAsia="Arial" w:cs="Arial"/>
          <w:sz w:val="20"/>
          <w:szCs w:val="20"/>
        </w:rPr>
      </w:pPr>
      <w:r>
        <w:rPr>
          <w:rFonts w:eastAsia="Arial" w:cs="Arial"/>
          <w:b/>
          <w:sz w:val="20"/>
          <w:szCs w:val="20"/>
        </w:rPr>
        <w:t>MUNICIPAL GOVERNMENT OF PATEROS (February 1998 – June 2015 [Retired])</w:t>
      </w:r>
    </w:p>
    <w:p w14:paraId="3D5E7ED1" w14:textId="77777777" w:rsidR="007C6854" w:rsidRDefault="00E0219E">
      <w:pPr>
        <w:numPr>
          <w:ilvl w:val="0"/>
          <w:numId w:val="28"/>
        </w:numPr>
        <w:tabs>
          <w:tab w:val="left" w:pos="720"/>
        </w:tabs>
        <w:spacing w:after="0" w:line="240" w:lineRule="auto"/>
        <w:ind w:left="720" w:hanging="360"/>
        <w:rPr>
          <w:rFonts w:eastAsia="Arial" w:cs="Arial"/>
          <w:sz w:val="20"/>
          <w:szCs w:val="20"/>
        </w:rPr>
      </w:pPr>
      <w:r>
        <w:rPr>
          <w:rFonts w:eastAsia="Arial" w:cs="Arial"/>
          <w:sz w:val="20"/>
          <w:szCs w:val="20"/>
        </w:rPr>
        <w:t>Public Health Nurse (Nurse II) – Pateros Health Department (2000 – 2015)</w:t>
      </w:r>
    </w:p>
    <w:p w14:paraId="6D33DFA1" w14:textId="77777777" w:rsidR="007C6854" w:rsidRDefault="00E0219E">
      <w:pPr>
        <w:numPr>
          <w:ilvl w:val="1"/>
          <w:numId w:val="28"/>
        </w:numPr>
        <w:tabs>
          <w:tab w:val="left" w:pos="1440"/>
        </w:tabs>
        <w:spacing w:after="0" w:line="240" w:lineRule="auto"/>
        <w:ind w:left="1440" w:hanging="360"/>
        <w:rPr>
          <w:rFonts w:eastAsia="Arial" w:cs="Arial"/>
          <w:sz w:val="20"/>
          <w:szCs w:val="20"/>
        </w:rPr>
      </w:pPr>
      <w:r>
        <w:rPr>
          <w:rFonts w:eastAsia="Arial" w:cs="Arial"/>
          <w:sz w:val="20"/>
          <w:szCs w:val="20"/>
        </w:rPr>
        <w:t>Act as the Coordinator of the Health Management Information System</w:t>
      </w:r>
    </w:p>
    <w:p w14:paraId="7A171D2B" w14:textId="77777777" w:rsidR="007C6854" w:rsidRDefault="00E0219E">
      <w:pPr>
        <w:numPr>
          <w:ilvl w:val="1"/>
          <w:numId w:val="28"/>
        </w:numPr>
        <w:tabs>
          <w:tab w:val="left" w:pos="1440"/>
        </w:tabs>
        <w:spacing w:after="0" w:line="240" w:lineRule="auto"/>
        <w:ind w:left="1440" w:hanging="360"/>
        <w:rPr>
          <w:rFonts w:eastAsia="Arial" w:cs="Arial"/>
          <w:sz w:val="20"/>
          <w:szCs w:val="20"/>
        </w:rPr>
      </w:pPr>
      <w:r>
        <w:rPr>
          <w:rFonts w:eastAsia="Arial" w:cs="Arial"/>
          <w:sz w:val="20"/>
          <w:szCs w:val="20"/>
        </w:rPr>
        <w:t>Pateros Wireless Access for Health - Health Information System Administrator</w:t>
      </w:r>
    </w:p>
    <w:p w14:paraId="63C6FA39" w14:textId="77777777" w:rsidR="007C6854" w:rsidRDefault="00E0219E">
      <w:pPr>
        <w:numPr>
          <w:ilvl w:val="1"/>
          <w:numId w:val="28"/>
        </w:numPr>
        <w:tabs>
          <w:tab w:val="left" w:pos="1440"/>
        </w:tabs>
        <w:spacing w:after="0" w:line="240" w:lineRule="auto"/>
        <w:ind w:left="1440" w:hanging="360"/>
        <w:rPr>
          <w:rFonts w:eastAsia="Arial" w:cs="Arial"/>
          <w:sz w:val="20"/>
          <w:szCs w:val="20"/>
        </w:rPr>
      </w:pPr>
      <w:r>
        <w:rPr>
          <w:rFonts w:eastAsia="Arial" w:cs="Arial"/>
          <w:sz w:val="20"/>
          <w:szCs w:val="20"/>
        </w:rPr>
        <w:t>Act as the Nurse Coordinator for Community Health Team Strategy</w:t>
      </w:r>
    </w:p>
    <w:p w14:paraId="637A436F" w14:textId="77777777" w:rsidR="007C6854" w:rsidRDefault="00E0219E">
      <w:pPr>
        <w:numPr>
          <w:ilvl w:val="1"/>
          <w:numId w:val="28"/>
        </w:numPr>
        <w:tabs>
          <w:tab w:val="left" w:pos="1440"/>
        </w:tabs>
        <w:spacing w:after="0" w:line="240" w:lineRule="auto"/>
        <w:ind w:left="1440" w:hanging="360"/>
        <w:rPr>
          <w:rFonts w:eastAsia="Arial" w:cs="Arial"/>
          <w:sz w:val="20"/>
          <w:szCs w:val="20"/>
        </w:rPr>
      </w:pPr>
      <w:r>
        <w:rPr>
          <w:rFonts w:eastAsia="Arial" w:cs="Arial"/>
          <w:sz w:val="20"/>
          <w:szCs w:val="20"/>
        </w:rPr>
        <w:t>Act as the Nurse Coordinator for the Non-Communicable Diseases Prevention and Control Program; WHO-PEN</w:t>
      </w:r>
    </w:p>
    <w:p w14:paraId="6479D449"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Act as a Planning Officer for Health</w:t>
      </w:r>
    </w:p>
    <w:p w14:paraId="30D1E1FE" w14:textId="77777777" w:rsidR="007C6854" w:rsidRDefault="00E0219E">
      <w:pPr>
        <w:numPr>
          <w:ilvl w:val="0"/>
          <w:numId w:val="21"/>
        </w:numPr>
        <w:tabs>
          <w:tab w:val="left" w:pos="1440"/>
        </w:tabs>
        <w:spacing w:after="0" w:line="240" w:lineRule="auto"/>
        <w:ind w:left="1440" w:right="140" w:hanging="360"/>
        <w:rPr>
          <w:rFonts w:eastAsia="Arial" w:cs="Arial"/>
          <w:sz w:val="20"/>
          <w:szCs w:val="20"/>
        </w:rPr>
      </w:pPr>
      <w:r>
        <w:rPr>
          <w:rFonts w:eastAsia="Arial" w:cs="Arial"/>
          <w:sz w:val="20"/>
          <w:szCs w:val="20"/>
        </w:rPr>
        <w:t>Involve and Facilitate in developing the municipal health plan (WFP, AOP, CIPH, etc.)</w:t>
      </w:r>
    </w:p>
    <w:p w14:paraId="7ED78F35"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Technical Writer AOP 2012, AOP 2013, AOP 2014 and CIPH 2014-2016</w:t>
      </w:r>
    </w:p>
    <w:p w14:paraId="2E9DDE77" w14:textId="77777777" w:rsidR="007C6854" w:rsidRDefault="00E0219E">
      <w:pPr>
        <w:numPr>
          <w:ilvl w:val="0"/>
          <w:numId w:val="21"/>
        </w:numPr>
        <w:tabs>
          <w:tab w:val="left" w:pos="1480"/>
        </w:tabs>
        <w:spacing w:after="0" w:line="240" w:lineRule="auto"/>
        <w:ind w:left="1480" w:right="1180" w:hanging="400"/>
        <w:rPr>
          <w:rFonts w:eastAsia="Arial" w:cs="Arial"/>
          <w:sz w:val="20"/>
          <w:szCs w:val="20"/>
        </w:rPr>
      </w:pPr>
      <w:r>
        <w:rPr>
          <w:rFonts w:eastAsia="Arial" w:cs="Arial"/>
          <w:sz w:val="20"/>
          <w:szCs w:val="20"/>
        </w:rPr>
        <w:t>Involve in the writing and editing of written materials (e.g. Annual Report, Surveillance Report, and other Technical Reports of Projects/Programs)</w:t>
      </w:r>
    </w:p>
    <w:p w14:paraId="796C3898"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Act as the Municipal Epidemiologist and Surveillance Officer</w:t>
      </w:r>
    </w:p>
    <w:p w14:paraId="47C4165B"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Performs the task of a Health Facility Supervisor</w:t>
      </w:r>
    </w:p>
    <w:p w14:paraId="489A73B4"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Performs the task of a Health Educator/ Advocate</w:t>
      </w:r>
    </w:p>
    <w:p w14:paraId="6855A7A4" w14:textId="77777777" w:rsidR="007C6854" w:rsidRDefault="00E0219E">
      <w:pPr>
        <w:numPr>
          <w:ilvl w:val="0"/>
          <w:numId w:val="21"/>
        </w:numPr>
        <w:tabs>
          <w:tab w:val="left" w:pos="1440"/>
        </w:tabs>
        <w:spacing w:after="0" w:line="240" w:lineRule="auto"/>
        <w:ind w:left="1440" w:hanging="360"/>
        <w:rPr>
          <w:rFonts w:eastAsia="Arial" w:cs="Arial"/>
          <w:sz w:val="20"/>
          <w:szCs w:val="20"/>
        </w:rPr>
      </w:pPr>
      <w:r>
        <w:rPr>
          <w:rFonts w:eastAsia="Arial" w:cs="Arial"/>
          <w:sz w:val="20"/>
          <w:szCs w:val="20"/>
        </w:rPr>
        <w:t>Performs the task of a Health Facility Nurse</w:t>
      </w:r>
    </w:p>
    <w:p w14:paraId="390D23F5" w14:textId="77777777" w:rsidR="007C6854" w:rsidRDefault="007C6854">
      <w:pPr>
        <w:ind w:left="180"/>
        <w:rPr>
          <w:rFonts w:eastAsia="Arial" w:cs="Arial"/>
          <w:b/>
          <w:i/>
          <w:sz w:val="20"/>
          <w:szCs w:val="20"/>
          <w:u w:val="single"/>
        </w:rPr>
      </w:pPr>
    </w:p>
    <w:p w14:paraId="48293EA0" w14:textId="77777777" w:rsidR="007C6854" w:rsidRDefault="00E0219E">
      <w:pPr>
        <w:ind w:left="180"/>
        <w:rPr>
          <w:rFonts w:eastAsia="Arial" w:cs="Arial"/>
          <w:sz w:val="20"/>
          <w:szCs w:val="20"/>
        </w:rPr>
      </w:pPr>
      <w:r>
        <w:rPr>
          <w:rFonts w:eastAsia="Arial" w:cs="Arial"/>
          <w:b/>
          <w:i/>
          <w:sz w:val="20"/>
          <w:szCs w:val="20"/>
          <w:u w:val="single"/>
        </w:rPr>
        <w:t>EDUCATIONAL BACKGROUND</w:t>
      </w:r>
    </w:p>
    <w:tbl>
      <w:tblPr>
        <w:tblStyle w:val="afffc"/>
        <w:tblW w:w="82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7"/>
        <w:gridCol w:w="5217"/>
      </w:tblGrid>
      <w:tr w:rsidR="007C6854" w14:paraId="1DAE2366" w14:textId="77777777">
        <w:trPr>
          <w:trHeight w:val="276"/>
        </w:trPr>
        <w:tc>
          <w:tcPr>
            <w:tcW w:w="3017" w:type="dxa"/>
            <w:vMerge w:val="restart"/>
            <w:tcBorders>
              <w:top w:val="single" w:sz="8" w:space="0" w:color="000000"/>
              <w:left w:val="single" w:sz="8" w:space="0" w:color="000000"/>
              <w:right w:val="single" w:sz="8" w:space="0" w:color="000000"/>
            </w:tcBorders>
            <w:vAlign w:val="center"/>
          </w:tcPr>
          <w:p w14:paraId="71546B0C" w14:textId="77777777" w:rsidR="007C6854" w:rsidRDefault="00E0219E">
            <w:pPr>
              <w:ind w:left="80"/>
              <w:rPr>
                <w:rFonts w:eastAsia="Arial" w:cs="Arial"/>
              </w:rPr>
            </w:pPr>
            <w:r>
              <w:rPr>
                <w:rFonts w:eastAsia="Arial" w:cs="Arial"/>
              </w:rPr>
              <w:t>2018 - Present</w:t>
            </w:r>
          </w:p>
        </w:tc>
        <w:tc>
          <w:tcPr>
            <w:tcW w:w="5217" w:type="dxa"/>
            <w:vMerge w:val="restart"/>
            <w:tcBorders>
              <w:top w:val="single" w:sz="8" w:space="0" w:color="000000"/>
              <w:left w:val="single" w:sz="8" w:space="0" w:color="000000"/>
              <w:right w:val="single" w:sz="8" w:space="0" w:color="000000"/>
            </w:tcBorders>
            <w:vAlign w:val="center"/>
          </w:tcPr>
          <w:p w14:paraId="4E9B8CEA" w14:textId="77777777" w:rsidR="007C6854" w:rsidRDefault="00E0219E">
            <w:pPr>
              <w:ind w:left="160"/>
              <w:rPr>
                <w:rFonts w:eastAsia="Arial" w:cs="Arial"/>
              </w:rPr>
            </w:pPr>
            <w:r>
              <w:rPr>
                <w:rFonts w:eastAsia="Arial" w:cs="Arial"/>
              </w:rPr>
              <w:t>Master of International Health (Thesis Level) -Ongoing</w:t>
            </w:r>
          </w:p>
          <w:p w14:paraId="4079DA07" w14:textId="77777777" w:rsidR="007C6854" w:rsidRDefault="00E0219E">
            <w:pPr>
              <w:ind w:left="160"/>
              <w:rPr>
                <w:rFonts w:eastAsia="Arial" w:cs="Arial"/>
              </w:rPr>
            </w:pPr>
            <w:r>
              <w:rPr>
                <w:rFonts w:eastAsia="Arial" w:cs="Arial"/>
              </w:rPr>
              <w:t xml:space="preserve">University of the Philippines Open University </w:t>
            </w:r>
          </w:p>
        </w:tc>
      </w:tr>
      <w:tr w:rsidR="007C6854" w14:paraId="03385353" w14:textId="77777777">
        <w:trPr>
          <w:trHeight w:val="317"/>
        </w:trPr>
        <w:tc>
          <w:tcPr>
            <w:tcW w:w="3017" w:type="dxa"/>
            <w:vMerge/>
            <w:tcBorders>
              <w:top w:val="single" w:sz="8" w:space="0" w:color="000000"/>
              <w:left w:val="single" w:sz="8" w:space="0" w:color="000000"/>
              <w:right w:val="single" w:sz="8" w:space="0" w:color="000000"/>
            </w:tcBorders>
            <w:vAlign w:val="center"/>
          </w:tcPr>
          <w:p w14:paraId="3C90C643"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top w:val="single" w:sz="8" w:space="0" w:color="000000"/>
              <w:left w:val="single" w:sz="8" w:space="0" w:color="000000"/>
              <w:right w:val="single" w:sz="8" w:space="0" w:color="000000"/>
            </w:tcBorders>
            <w:vAlign w:val="center"/>
          </w:tcPr>
          <w:p w14:paraId="1912D9C0"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75777785" w14:textId="77777777">
        <w:trPr>
          <w:trHeight w:val="317"/>
        </w:trPr>
        <w:tc>
          <w:tcPr>
            <w:tcW w:w="3017" w:type="dxa"/>
            <w:vMerge/>
            <w:tcBorders>
              <w:top w:val="single" w:sz="8" w:space="0" w:color="000000"/>
              <w:left w:val="single" w:sz="8" w:space="0" w:color="000000"/>
              <w:right w:val="single" w:sz="8" w:space="0" w:color="000000"/>
            </w:tcBorders>
            <w:vAlign w:val="center"/>
          </w:tcPr>
          <w:p w14:paraId="22E14FF3"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top w:val="single" w:sz="8" w:space="0" w:color="000000"/>
              <w:left w:val="single" w:sz="8" w:space="0" w:color="000000"/>
              <w:right w:val="single" w:sz="8" w:space="0" w:color="000000"/>
            </w:tcBorders>
            <w:vAlign w:val="center"/>
          </w:tcPr>
          <w:p w14:paraId="38C4EAFB"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3E10C468" w14:textId="77777777">
        <w:trPr>
          <w:trHeight w:val="317"/>
        </w:trPr>
        <w:tc>
          <w:tcPr>
            <w:tcW w:w="3017" w:type="dxa"/>
            <w:vMerge/>
            <w:tcBorders>
              <w:top w:val="single" w:sz="8" w:space="0" w:color="000000"/>
              <w:left w:val="single" w:sz="8" w:space="0" w:color="000000"/>
              <w:right w:val="single" w:sz="8" w:space="0" w:color="000000"/>
            </w:tcBorders>
            <w:vAlign w:val="center"/>
          </w:tcPr>
          <w:p w14:paraId="03312F71"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top w:val="single" w:sz="8" w:space="0" w:color="000000"/>
              <w:left w:val="single" w:sz="8" w:space="0" w:color="000000"/>
              <w:right w:val="single" w:sz="8" w:space="0" w:color="000000"/>
            </w:tcBorders>
            <w:vAlign w:val="center"/>
          </w:tcPr>
          <w:p w14:paraId="10F5BAED"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0D0461EB" w14:textId="77777777">
        <w:trPr>
          <w:trHeight w:val="317"/>
        </w:trPr>
        <w:tc>
          <w:tcPr>
            <w:tcW w:w="3017" w:type="dxa"/>
            <w:vMerge/>
            <w:tcBorders>
              <w:top w:val="single" w:sz="8" w:space="0" w:color="000000"/>
              <w:left w:val="single" w:sz="8" w:space="0" w:color="000000"/>
              <w:right w:val="single" w:sz="8" w:space="0" w:color="000000"/>
            </w:tcBorders>
            <w:vAlign w:val="center"/>
          </w:tcPr>
          <w:p w14:paraId="244B9E01"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top w:val="single" w:sz="8" w:space="0" w:color="000000"/>
              <w:left w:val="single" w:sz="8" w:space="0" w:color="000000"/>
              <w:right w:val="single" w:sz="8" w:space="0" w:color="000000"/>
            </w:tcBorders>
            <w:vAlign w:val="center"/>
          </w:tcPr>
          <w:p w14:paraId="03F94623"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52ADE743" w14:textId="77777777">
        <w:trPr>
          <w:trHeight w:val="373"/>
        </w:trPr>
        <w:tc>
          <w:tcPr>
            <w:tcW w:w="3017" w:type="dxa"/>
            <w:vMerge w:val="restart"/>
            <w:tcBorders>
              <w:left w:val="single" w:sz="8" w:space="0" w:color="000000"/>
              <w:right w:val="single" w:sz="8" w:space="0" w:color="000000"/>
            </w:tcBorders>
            <w:vAlign w:val="center"/>
          </w:tcPr>
          <w:p w14:paraId="7C2D267F" w14:textId="77777777" w:rsidR="007C6854" w:rsidRDefault="00E0219E">
            <w:pPr>
              <w:ind w:left="80"/>
              <w:rPr>
                <w:rFonts w:eastAsia="Arial" w:cs="Arial"/>
              </w:rPr>
            </w:pPr>
            <w:r>
              <w:rPr>
                <w:rFonts w:eastAsia="Arial" w:cs="Arial"/>
              </w:rPr>
              <w:t>2016-2018</w:t>
            </w:r>
          </w:p>
        </w:tc>
        <w:tc>
          <w:tcPr>
            <w:tcW w:w="5217" w:type="dxa"/>
            <w:vMerge w:val="restart"/>
            <w:tcBorders>
              <w:right w:val="single" w:sz="8" w:space="0" w:color="000000"/>
            </w:tcBorders>
            <w:vAlign w:val="center"/>
          </w:tcPr>
          <w:p w14:paraId="6B2AC3D4" w14:textId="77777777" w:rsidR="007C6854" w:rsidRDefault="00E0219E">
            <w:pPr>
              <w:ind w:left="160"/>
              <w:rPr>
                <w:rFonts w:eastAsia="Arial" w:cs="Arial"/>
              </w:rPr>
            </w:pPr>
            <w:r>
              <w:rPr>
                <w:rFonts w:eastAsia="Arial" w:cs="Arial"/>
              </w:rPr>
              <w:t>Diploma in International Health</w:t>
            </w:r>
          </w:p>
          <w:p w14:paraId="62A79938" w14:textId="77777777" w:rsidR="007C6854" w:rsidRDefault="00E0219E">
            <w:pPr>
              <w:ind w:left="160"/>
              <w:rPr>
                <w:rFonts w:eastAsia="Arial" w:cs="Arial"/>
              </w:rPr>
            </w:pPr>
            <w:r>
              <w:rPr>
                <w:rFonts w:eastAsia="Arial" w:cs="Arial"/>
              </w:rPr>
              <w:t>University of the Philippines Open University</w:t>
            </w:r>
          </w:p>
        </w:tc>
      </w:tr>
      <w:tr w:rsidR="007C6854" w14:paraId="783009EE" w14:textId="77777777">
        <w:trPr>
          <w:trHeight w:val="317"/>
        </w:trPr>
        <w:tc>
          <w:tcPr>
            <w:tcW w:w="3017" w:type="dxa"/>
            <w:vMerge/>
            <w:tcBorders>
              <w:left w:val="single" w:sz="8" w:space="0" w:color="000000"/>
              <w:right w:val="single" w:sz="8" w:space="0" w:color="000000"/>
            </w:tcBorders>
            <w:vAlign w:val="center"/>
          </w:tcPr>
          <w:p w14:paraId="748DE115"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right w:val="single" w:sz="8" w:space="0" w:color="000000"/>
            </w:tcBorders>
            <w:vAlign w:val="center"/>
          </w:tcPr>
          <w:p w14:paraId="0200EA7A"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0648A99B" w14:textId="77777777">
        <w:trPr>
          <w:trHeight w:val="317"/>
        </w:trPr>
        <w:tc>
          <w:tcPr>
            <w:tcW w:w="3017" w:type="dxa"/>
            <w:vMerge/>
            <w:tcBorders>
              <w:left w:val="single" w:sz="8" w:space="0" w:color="000000"/>
              <w:right w:val="single" w:sz="8" w:space="0" w:color="000000"/>
            </w:tcBorders>
            <w:vAlign w:val="center"/>
          </w:tcPr>
          <w:p w14:paraId="65F9F7D5"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right w:val="single" w:sz="8" w:space="0" w:color="000000"/>
            </w:tcBorders>
            <w:vAlign w:val="center"/>
          </w:tcPr>
          <w:p w14:paraId="41A58769"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2E5947D7" w14:textId="77777777">
        <w:trPr>
          <w:trHeight w:val="317"/>
        </w:trPr>
        <w:tc>
          <w:tcPr>
            <w:tcW w:w="3017" w:type="dxa"/>
            <w:vMerge/>
            <w:tcBorders>
              <w:left w:val="single" w:sz="8" w:space="0" w:color="000000"/>
              <w:right w:val="single" w:sz="8" w:space="0" w:color="000000"/>
            </w:tcBorders>
            <w:vAlign w:val="center"/>
          </w:tcPr>
          <w:p w14:paraId="2C9F4659"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right w:val="single" w:sz="8" w:space="0" w:color="000000"/>
            </w:tcBorders>
            <w:vAlign w:val="center"/>
          </w:tcPr>
          <w:p w14:paraId="755A9028"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2394FC27" w14:textId="77777777">
        <w:trPr>
          <w:trHeight w:val="339"/>
        </w:trPr>
        <w:tc>
          <w:tcPr>
            <w:tcW w:w="3017" w:type="dxa"/>
            <w:vMerge w:val="restart"/>
            <w:tcBorders>
              <w:left w:val="single" w:sz="8" w:space="0" w:color="000000"/>
              <w:right w:val="single" w:sz="8" w:space="0" w:color="000000"/>
            </w:tcBorders>
            <w:vAlign w:val="center"/>
          </w:tcPr>
          <w:p w14:paraId="3225DFF1" w14:textId="77777777" w:rsidR="007C6854" w:rsidRDefault="00E0219E">
            <w:pPr>
              <w:ind w:left="80"/>
              <w:rPr>
                <w:rFonts w:eastAsia="Arial" w:cs="Arial"/>
              </w:rPr>
            </w:pPr>
            <w:r>
              <w:rPr>
                <w:rFonts w:eastAsia="Arial" w:cs="Arial"/>
              </w:rPr>
              <w:t>2007 – 2009</w:t>
            </w:r>
          </w:p>
        </w:tc>
        <w:tc>
          <w:tcPr>
            <w:tcW w:w="5217" w:type="dxa"/>
            <w:vMerge w:val="restart"/>
            <w:tcBorders>
              <w:left w:val="single" w:sz="8" w:space="0" w:color="000000"/>
              <w:right w:val="single" w:sz="8" w:space="0" w:color="000000"/>
            </w:tcBorders>
            <w:vAlign w:val="center"/>
          </w:tcPr>
          <w:p w14:paraId="720CFC69" w14:textId="77777777" w:rsidR="007C6854" w:rsidRDefault="00E0219E">
            <w:pPr>
              <w:ind w:left="220"/>
              <w:rPr>
                <w:rFonts w:eastAsia="Arial" w:cs="Arial"/>
              </w:rPr>
            </w:pPr>
            <w:r>
              <w:rPr>
                <w:rFonts w:eastAsia="Arial" w:cs="Arial"/>
              </w:rPr>
              <w:t>Public Health Specialist on Applied Epidemiology</w:t>
            </w:r>
          </w:p>
          <w:p w14:paraId="773C3C81" w14:textId="77777777" w:rsidR="007C6854" w:rsidRDefault="00E0219E">
            <w:pPr>
              <w:ind w:left="220"/>
              <w:rPr>
                <w:rFonts w:eastAsia="Arial" w:cs="Arial"/>
              </w:rPr>
            </w:pPr>
            <w:r>
              <w:rPr>
                <w:rFonts w:eastAsia="Arial" w:cs="Arial"/>
              </w:rPr>
              <w:t>Department of Health – National Epidemiology</w:t>
            </w:r>
          </w:p>
          <w:p w14:paraId="5CEA2483" w14:textId="77777777" w:rsidR="007C6854" w:rsidRDefault="00E0219E">
            <w:pPr>
              <w:ind w:left="220"/>
              <w:rPr>
                <w:rFonts w:eastAsia="Arial" w:cs="Arial"/>
              </w:rPr>
            </w:pPr>
            <w:r>
              <w:rPr>
                <w:rFonts w:eastAsia="Arial" w:cs="Arial"/>
              </w:rPr>
              <w:t>Center</w:t>
            </w:r>
          </w:p>
          <w:p w14:paraId="1D8794FA" w14:textId="77777777" w:rsidR="007C6854" w:rsidRDefault="00E0219E">
            <w:pPr>
              <w:ind w:left="220"/>
              <w:rPr>
                <w:rFonts w:eastAsia="Arial" w:cs="Arial"/>
              </w:rPr>
            </w:pPr>
            <w:r>
              <w:rPr>
                <w:rFonts w:eastAsia="Arial" w:cs="Arial"/>
              </w:rPr>
              <w:t>Field Epidemiology Training Program</w:t>
            </w:r>
          </w:p>
          <w:p w14:paraId="756AF70F" w14:textId="77777777" w:rsidR="007C6854" w:rsidRDefault="00E0219E">
            <w:pPr>
              <w:ind w:left="220"/>
              <w:rPr>
                <w:rFonts w:eastAsia="Arial" w:cs="Arial"/>
              </w:rPr>
            </w:pPr>
            <w:proofErr w:type="spellStart"/>
            <w:r>
              <w:rPr>
                <w:rFonts w:eastAsia="Arial" w:cs="Arial"/>
              </w:rPr>
              <w:t>Tayuman</w:t>
            </w:r>
            <w:proofErr w:type="spellEnd"/>
            <w:r>
              <w:rPr>
                <w:rFonts w:eastAsia="Arial" w:cs="Arial"/>
              </w:rPr>
              <w:t>, Sta. Cruz, Manila. Philippines</w:t>
            </w:r>
          </w:p>
        </w:tc>
      </w:tr>
      <w:tr w:rsidR="007C6854" w14:paraId="07CA46D0" w14:textId="77777777">
        <w:trPr>
          <w:trHeight w:val="317"/>
        </w:trPr>
        <w:tc>
          <w:tcPr>
            <w:tcW w:w="3017" w:type="dxa"/>
            <w:vMerge/>
            <w:tcBorders>
              <w:left w:val="single" w:sz="8" w:space="0" w:color="000000"/>
              <w:right w:val="single" w:sz="8" w:space="0" w:color="000000"/>
            </w:tcBorders>
            <w:vAlign w:val="center"/>
          </w:tcPr>
          <w:p w14:paraId="259A27D5"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25F6CAAE"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63CF789F" w14:textId="77777777">
        <w:trPr>
          <w:trHeight w:val="317"/>
        </w:trPr>
        <w:tc>
          <w:tcPr>
            <w:tcW w:w="3017" w:type="dxa"/>
            <w:vMerge/>
            <w:tcBorders>
              <w:left w:val="single" w:sz="8" w:space="0" w:color="000000"/>
              <w:right w:val="single" w:sz="8" w:space="0" w:color="000000"/>
            </w:tcBorders>
            <w:vAlign w:val="center"/>
          </w:tcPr>
          <w:p w14:paraId="760B459E"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297AB71C"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5CF20FBA" w14:textId="77777777">
        <w:trPr>
          <w:trHeight w:val="317"/>
        </w:trPr>
        <w:tc>
          <w:tcPr>
            <w:tcW w:w="3017" w:type="dxa"/>
            <w:vMerge/>
            <w:tcBorders>
              <w:left w:val="single" w:sz="8" w:space="0" w:color="000000"/>
              <w:right w:val="single" w:sz="8" w:space="0" w:color="000000"/>
            </w:tcBorders>
            <w:vAlign w:val="center"/>
          </w:tcPr>
          <w:p w14:paraId="29536898"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7FE05A38"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41C889E2" w14:textId="77777777">
        <w:trPr>
          <w:trHeight w:val="317"/>
        </w:trPr>
        <w:tc>
          <w:tcPr>
            <w:tcW w:w="3017" w:type="dxa"/>
            <w:vMerge/>
            <w:tcBorders>
              <w:left w:val="single" w:sz="8" w:space="0" w:color="000000"/>
              <w:right w:val="single" w:sz="8" w:space="0" w:color="000000"/>
            </w:tcBorders>
            <w:vAlign w:val="center"/>
          </w:tcPr>
          <w:p w14:paraId="4D52364D"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65F9F8BE"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7824ADDC" w14:textId="77777777">
        <w:trPr>
          <w:trHeight w:val="317"/>
        </w:trPr>
        <w:tc>
          <w:tcPr>
            <w:tcW w:w="3017" w:type="dxa"/>
            <w:vMerge/>
            <w:tcBorders>
              <w:left w:val="single" w:sz="8" w:space="0" w:color="000000"/>
              <w:right w:val="single" w:sz="8" w:space="0" w:color="000000"/>
            </w:tcBorders>
            <w:vAlign w:val="center"/>
          </w:tcPr>
          <w:p w14:paraId="455E7C6B"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54D7DC21"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1B9BA7A5" w14:textId="77777777">
        <w:trPr>
          <w:trHeight w:val="317"/>
        </w:trPr>
        <w:tc>
          <w:tcPr>
            <w:tcW w:w="3017" w:type="dxa"/>
            <w:vMerge/>
            <w:tcBorders>
              <w:left w:val="single" w:sz="8" w:space="0" w:color="000000"/>
              <w:right w:val="single" w:sz="8" w:space="0" w:color="000000"/>
            </w:tcBorders>
            <w:vAlign w:val="center"/>
          </w:tcPr>
          <w:p w14:paraId="322EC2E4"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46F762F2"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42C23EC6" w14:textId="77777777">
        <w:trPr>
          <w:trHeight w:val="317"/>
        </w:trPr>
        <w:tc>
          <w:tcPr>
            <w:tcW w:w="3017" w:type="dxa"/>
            <w:vMerge/>
            <w:tcBorders>
              <w:left w:val="single" w:sz="8" w:space="0" w:color="000000"/>
              <w:right w:val="single" w:sz="8" w:space="0" w:color="000000"/>
            </w:tcBorders>
            <w:vAlign w:val="center"/>
          </w:tcPr>
          <w:p w14:paraId="3D7B3497"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3A9D61EB"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6AC094C5" w14:textId="77777777">
        <w:trPr>
          <w:trHeight w:val="339"/>
        </w:trPr>
        <w:tc>
          <w:tcPr>
            <w:tcW w:w="3017" w:type="dxa"/>
            <w:vMerge w:val="restart"/>
            <w:tcBorders>
              <w:left w:val="single" w:sz="8" w:space="0" w:color="000000"/>
              <w:right w:val="single" w:sz="8" w:space="0" w:color="000000"/>
            </w:tcBorders>
            <w:vAlign w:val="center"/>
          </w:tcPr>
          <w:p w14:paraId="30EF19EE" w14:textId="77777777" w:rsidR="007C6854" w:rsidRDefault="00E0219E">
            <w:pPr>
              <w:ind w:left="80"/>
              <w:rPr>
                <w:rFonts w:eastAsia="Arial" w:cs="Arial"/>
              </w:rPr>
            </w:pPr>
            <w:r>
              <w:rPr>
                <w:rFonts w:eastAsia="Arial" w:cs="Arial"/>
              </w:rPr>
              <w:t>1990 – 1994</w:t>
            </w:r>
          </w:p>
        </w:tc>
        <w:tc>
          <w:tcPr>
            <w:tcW w:w="5217" w:type="dxa"/>
            <w:vMerge w:val="restart"/>
            <w:tcBorders>
              <w:left w:val="single" w:sz="8" w:space="0" w:color="000000"/>
              <w:right w:val="single" w:sz="8" w:space="0" w:color="000000"/>
            </w:tcBorders>
            <w:vAlign w:val="center"/>
          </w:tcPr>
          <w:p w14:paraId="5FC29DCB" w14:textId="77777777" w:rsidR="007C6854" w:rsidRDefault="00E0219E">
            <w:pPr>
              <w:ind w:left="220"/>
              <w:rPr>
                <w:rFonts w:eastAsia="Arial" w:cs="Arial"/>
              </w:rPr>
            </w:pPr>
            <w:r>
              <w:rPr>
                <w:rFonts w:eastAsia="Arial" w:cs="Arial"/>
              </w:rPr>
              <w:t>Bachelor of Science in Nursing</w:t>
            </w:r>
          </w:p>
          <w:p w14:paraId="482C68E3" w14:textId="77777777" w:rsidR="007C6854" w:rsidRDefault="00E0219E">
            <w:pPr>
              <w:ind w:left="220"/>
              <w:rPr>
                <w:rFonts w:eastAsia="Arial" w:cs="Arial"/>
              </w:rPr>
            </w:pPr>
            <w:r>
              <w:rPr>
                <w:rFonts w:eastAsia="Arial" w:cs="Arial"/>
              </w:rPr>
              <w:t xml:space="preserve">Olivarez College – </w:t>
            </w:r>
            <w:proofErr w:type="spellStart"/>
            <w:r>
              <w:rPr>
                <w:rFonts w:eastAsia="Arial" w:cs="Arial"/>
              </w:rPr>
              <w:t>Parañaque</w:t>
            </w:r>
            <w:proofErr w:type="spellEnd"/>
            <w:r>
              <w:rPr>
                <w:rFonts w:eastAsia="Arial" w:cs="Arial"/>
              </w:rPr>
              <w:t xml:space="preserve"> City</w:t>
            </w:r>
          </w:p>
        </w:tc>
      </w:tr>
      <w:tr w:rsidR="007C6854" w14:paraId="24661BC1" w14:textId="77777777">
        <w:trPr>
          <w:trHeight w:val="317"/>
        </w:trPr>
        <w:tc>
          <w:tcPr>
            <w:tcW w:w="3017" w:type="dxa"/>
            <w:vMerge/>
            <w:tcBorders>
              <w:left w:val="single" w:sz="8" w:space="0" w:color="000000"/>
              <w:right w:val="single" w:sz="8" w:space="0" w:color="000000"/>
            </w:tcBorders>
            <w:vAlign w:val="center"/>
          </w:tcPr>
          <w:p w14:paraId="79182E44"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2FB3EBB4"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309D5200" w14:textId="77777777">
        <w:trPr>
          <w:trHeight w:val="317"/>
        </w:trPr>
        <w:tc>
          <w:tcPr>
            <w:tcW w:w="3017" w:type="dxa"/>
            <w:vMerge/>
            <w:tcBorders>
              <w:left w:val="single" w:sz="8" w:space="0" w:color="000000"/>
              <w:right w:val="single" w:sz="8" w:space="0" w:color="000000"/>
            </w:tcBorders>
            <w:vAlign w:val="center"/>
          </w:tcPr>
          <w:p w14:paraId="7C4379E6"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43A87500"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264001E0" w14:textId="77777777">
        <w:trPr>
          <w:trHeight w:val="317"/>
        </w:trPr>
        <w:tc>
          <w:tcPr>
            <w:tcW w:w="3017" w:type="dxa"/>
            <w:vMerge/>
            <w:tcBorders>
              <w:left w:val="single" w:sz="8" w:space="0" w:color="000000"/>
              <w:right w:val="single" w:sz="8" w:space="0" w:color="000000"/>
            </w:tcBorders>
            <w:vAlign w:val="center"/>
          </w:tcPr>
          <w:p w14:paraId="1E5F8B0A"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5265CB95"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27275095" w14:textId="77777777">
        <w:trPr>
          <w:trHeight w:val="341"/>
        </w:trPr>
        <w:tc>
          <w:tcPr>
            <w:tcW w:w="3017" w:type="dxa"/>
            <w:vMerge w:val="restart"/>
            <w:tcBorders>
              <w:left w:val="single" w:sz="8" w:space="0" w:color="000000"/>
              <w:right w:val="single" w:sz="8" w:space="0" w:color="000000"/>
            </w:tcBorders>
            <w:vAlign w:val="center"/>
          </w:tcPr>
          <w:p w14:paraId="0094B3B0" w14:textId="77777777" w:rsidR="007C6854" w:rsidRDefault="00E0219E">
            <w:pPr>
              <w:ind w:left="80"/>
              <w:rPr>
                <w:rFonts w:eastAsia="Arial" w:cs="Arial"/>
              </w:rPr>
            </w:pPr>
            <w:r>
              <w:rPr>
                <w:rFonts w:eastAsia="Arial" w:cs="Arial"/>
              </w:rPr>
              <w:t>1986 – 1990</w:t>
            </w:r>
          </w:p>
        </w:tc>
        <w:tc>
          <w:tcPr>
            <w:tcW w:w="5217" w:type="dxa"/>
            <w:vMerge w:val="restart"/>
            <w:tcBorders>
              <w:left w:val="single" w:sz="8" w:space="0" w:color="000000"/>
              <w:right w:val="single" w:sz="8" w:space="0" w:color="000000"/>
            </w:tcBorders>
            <w:vAlign w:val="center"/>
          </w:tcPr>
          <w:p w14:paraId="63BE1B16" w14:textId="77777777" w:rsidR="007C6854" w:rsidRDefault="00E0219E">
            <w:pPr>
              <w:ind w:left="220"/>
              <w:rPr>
                <w:rFonts w:eastAsia="Arial" w:cs="Arial"/>
              </w:rPr>
            </w:pPr>
            <w:r>
              <w:rPr>
                <w:rFonts w:eastAsia="Arial" w:cs="Arial"/>
              </w:rPr>
              <w:t>Secondary Education</w:t>
            </w:r>
          </w:p>
          <w:p w14:paraId="0F220505" w14:textId="77777777" w:rsidR="007C6854" w:rsidRDefault="00E0219E">
            <w:pPr>
              <w:ind w:left="220"/>
              <w:rPr>
                <w:rFonts w:eastAsia="Arial" w:cs="Arial"/>
              </w:rPr>
            </w:pPr>
            <w:r>
              <w:rPr>
                <w:rFonts w:eastAsia="Arial" w:cs="Arial"/>
              </w:rPr>
              <w:t>Pasig Catholic College – Pasig City</w:t>
            </w:r>
          </w:p>
        </w:tc>
      </w:tr>
      <w:tr w:rsidR="007C6854" w14:paraId="32008A52" w14:textId="77777777">
        <w:trPr>
          <w:trHeight w:val="317"/>
        </w:trPr>
        <w:tc>
          <w:tcPr>
            <w:tcW w:w="3017" w:type="dxa"/>
            <w:vMerge/>
            <w:tcBorders>
              <w:left w:val="single" w:sz="8" w:space="0" w:color="000000"/>
              <w:right w:val="single" w:sz="8" w:space="0" w:color="000000"/>
            </w:tcBorders>
            <w:vAlign w:val="center"/>
          </w:tcPr>
          <w:p w14:paraId="2A4B2DB6"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212560D5"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7E67BCE6" w14:textId="77777777">
        <w:trPr>
          <w:trHeight w:val="317"/>
        </w:trPr>
        <w:tc>
          <w:tcPr>
            <w:tcW w:w="3017" w:type="dxa"/>
            <w:vMerge/>
            <w:tcBorders>
              <w:left w:val="single" w:sz="8" w:space="0" w:color="000000"/>
              <w:right w:val="single" w:sz="8" w:space="0" w:color="000000"/>
            </w:tcBorders>
            <w:vAlign w:val="center"/>
          </w:tcPr>
          <w:p w14:paraId="59C73571"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4A5A1F18"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701F3356" w14:textId="77777777">
        <w:trPr>
          <w:trHeight w:val="317"/>
        </w:trPr>
        <w:tc>
          <w:tcPr>
            <w:tcW w:w="3017" w:type="dxa"/>
            <w:vMerge/>
            <w:tcBorders>
              <w:left w:val="single" w:sz="8" w:space="0" w:color="000000"/>
              <w:right w:val="single" w:sz="8" w:space="0" w:color="000000"/>
            </w:tcBorders>
            <w:vAlign w:val="center"/>
          </w:tcPr>
          <w:p w14:paraId="6CC6B3F2"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1DF23670"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0729F0A0" w14:textId="77777777">
        <w:trPr>
          <w:trHeight w:val="341"/>
        </w:trPr>
        <w:tc>
          <w:tcPr>
            <w:tcW w:w="3017" w:type="dxa"/>
            <w:vMerge w:val="restart"/>
            <w:tcBorders>
              <w:left w:val="single" w:sz="8" w:space="0" w:color="000000"/>
              <w:right w:val="single" w:sz="8" w:space="0" w:color="000000"/>
            </w:tcBorders>
            <w:vAlign w:val="center"/>
          </w:tcPr>
          <w:p w14:paraId="78016379" w14:textId="77777777" w:rsidR="007C6854" w:rsidRDefault="00E0219E">
            <w:pPr>
              <w:ind w:left="80"/>
              <w:rPr>
                <w:rFonts w:eastAsia="Arial" w:cs="Arial"/>
              </w:rPr>
            </w:pPr>
            <w:r>
              <w:rPr>
                <w:rFonts w:eastAsia="Arial" w:cs="Arial"/>
              </w:rPr>
              <w:t>1980 – 1986</w:t>
            </w:r>
          </w:p>
        </w:tc>
        <w:tc>
          <w:tcPr>
            <w:tcW w:w="5217" w:type="dxa"/>
            <w:vMerge w:val="restart"/>
            <w:tcBorders>
              <w:left w:val="single" w:sz="8" w:space="0" w:color="000000"/>
              <w:right w:val="single" w:sz="8" w:space="0" w:color="000000"/>
            </w:tcBorders>
            <w:vAlign w:val="center"/>
          </w:tcPr>
          <w:p w14:paraId="68521543" w14:textId="77777777" w:rsidR="007C6854" w:rsidRDefault="00E0219E">
            <w:pPr>
              <w:ind w:left="220"/>
              <w:rPr>
                <w:rFonts w:eastAsia="Arial" w:cs="Arial"/>
              </w:rPr>
            </w:pPr>
            <w:r>
              <w:rPr>
                <w:rFonts w:eastAsia="Arial" w:cs="Arial"/>
              </w:rPr>
              <w:t>Primary Education</w:t>
            </w:r>
          </w:p>
          <w:p w14:paraId="3006925E" w14:textId="77777777" w:rsidR="007C6854" w:rsidRDefault="00E0219E">
            <w:pPr>
              <w:ind w:left="220"/>
              <w:rPr>
                <w:rFonts w:eastAsia="Arial" w:cs="Arial"/>
              </w:rPr>
            </w:pPr>
            <w:r>
              <w:rPr>
                <w:rFonts w:eastAsia="Arial" w:cs="Arial"/>
              </w:rPr>
              <w:t>Pasig Catholic College – Pasig City</w:t>
            </w:r>
          </w:p>
        </w:tc>
      </w:tr>
      <w:tr w:rsidR="007C6854" w14:paraId="10909C33" w14:textId="77777777">
        <w:trPr>
          <w:trHeight w:val="317"/>
        </w:trPr>
        <w:tc>
          <w:tcPr>
            <w:tcW w:w="3017" w:type="dxa"/>
            <w:vMerge/>
            <w:tcBorders>
              <w:left w:val="single" w:sz="8" w:space="0" w:color="000000"/>
              <w:right w:val="single" w:sz="8" w:space="0" w:color="000000"/>
            </w:tcBorders>
            <w:vAlign w:val="center"/>
          </w:tcPr>
          <w:p w14:paraId="6F00E0BF"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0FBAE930"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5D592EA5" w14:textId="77777777">
        <w:trPr>
          <w:trHeight w:val="317"/>
        </w:trPr>
        <w:tc>
          <w:tcPr>
            <w:tcW w:w="3017" w:type="dxa"/>
            <w:vMerge/>
            <w:tcBorders>
              <w:left w:val="single" w:sz="8" w:space="0" w:color="000000"/>
              <w:right w:val="single" w:sz="8" w:space="0" w:color="000000"/>
            </w:tcBorders>
            <w:vAlign w:val="center"/>
          </w:tcPr>
          <w:p w14:paraId="16C50821"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1FD584ED" w14:textId="77777777" w:rsidR="007C6854" w:rsidRDefault="007C6854">
            <w:pPr>
              <w:widowControl w:val="0"/>
              <w:pBdr>
                <w:top w:val="nil"/>
                <w:left w:val="nil"/>
                <w:bottom w:val="nil"/>
                <w:right w:val="nil"/>
                <w:between w:val="nil"/>
              </w:pBdr>
              <w:spacing w:line="276" w:lineRule="auto"/>
              <w:rPr>
                <w:rFonts w:eastAsia="Arial" w:cs="Arial"/>
              </w:rPr>
            </w:pPr>
          </w:p>
        </w:tc>
      </w:tr>
      <w:tr w:rsidR="007C6854" w14:paraId="2857C5C9" w14:textId="77777777">
        <w:trPr>
          <w:trHeight w:val="317"/>
        </w:trPr>
        <w:tc>
          <w:tcPr>
            <w:tcW w:w="3017" w:type="dxa"/>
            <w:vMerge/>
            <w:tcBorders>
              <w:left w:val="single" w:sz="8" w:space="0" w:color="000000"/>
              <w:right w:val="single" w:sz="8" w:space="0" w:color="000000"/>
            </w:tcBorders>
            <w:vAlign w:val="center"/>
          </w:tcPr>
          <w:p w14:paraId="415F52C6" w14:textId="77777777" w:rsidR="007C6854" w:rsidRDefault="007C6854">
            <w:pPr>
              <w:widowControl w:val="0"/>
              <w:pBdr>
                <w:top w:val="nil"/>
                <w:left w:val="nil"/>
                <w:bottom w:val="nil"/>
                <w:right w:val="nil"/>
                <w:between w:val="nil"/>
              </w:pBdr>
              <w:spacing w:line="276" w:lineRule="auto"/>
              <w:rPr>
                <w:rFonts w:eastAsia="Arial" w:cs="Arial"/>
              </w:rPr>
            </w:pPr>
          </w:p>
        </w:tc>
        <w:tc>
          <w:tcPr>
            <w:tcW w:w="5217" w:type="dxa"/>
            <w:vMerge/>
            <w:tcBorders>
              <w:left w:val="single" w:sz="8" w:space="0" w:color="000000"/>
              <w:right w:val="single" w:sz="8" w:space="0" w:color="000000"/>
            </w:tcBorders>
            <w:vAlign w:val="center"/>
          </w:tcPr>
          <w:p w14:paraId="00F73FD0" w14:textId="77777777" w:rsidR="007C6854" w:rsidRDefault="007C6854">
            <w:pPr>
              <w:widowControl w:val="0"/>
              <w:pBdr>
                <w:top w:val="nil"/>
                <w:left w:val="nil"/>
                <w:bottom w:val="nil"/>
                <w:right w:val="nil"/>
                <w:between w:val="nil"/>
              </w:pBdr>
              <w:spacing w:line="276" w:lineRule="auto"/>
              <w:rPr>
                <w:rFonts w:eastAsia="Arial" w:cs="Arial"/>
              </w:rPr>
            </w:pPr>
          </w:p>
        </w:tc>
      </w:tr>
    </w:tbl>
    <w:p w14:paraId="4A4B84D7" w14:textId="77777777" w:rsidR="007C6854" w:rsidRDefault="007C6854">
      <w:pPr>
        <w:spacing w:line="254" w:lineRule="auto"/>
        <w:rPr>
          <w:rFonts w:eastAsia="Arial" w:cs="Arial"/>
          <w:sz w:val="20"/>
          <w:szCs w:val="20"/>
        </w:rPr>
      </w:pPr>
    </w:p>
    <w:p w14:paraId="4E3402C2" w14:textId="77777777" w:rsidR="007C6854" w:rsidRDefault="007C6854">
      <w:pPr>
        <w:spacing w:line="254" w:lineRule="auto"/>
        <w:rPr>
          <w:rFonts w:eastAsia="Arial" w:cs="Arial"/>
          <w:sz w:val="20"/>
          <w:szCs w:val="20"/>
        </w:rPr>
      </w:pPr>
    </w:p>
    <w:p w14:paraId="3C5ABC1F" w14:textId="77777777" w:rsidR="007C6854" w:rsidRDefault="00E0219E">
      <w:pPr>
        <w:spacing w:after="0" w:line="240" w:lineRule="auto"/>
        <w:rPr>
          <w:rFonts w:eastAsia="Arial" w:cs="Arial"/>
          <w:sz w:val="20"/>
          <w:szCs w:val="20"/>
        </w:rPr>
      </w:pPr>
      <w:r>
        <w:rPr>
          <w:rFonts w:eastAsia="Arial" w:cs="Arial"/>
          <w:b/>
          <w:i/>
          <w:sz w:val="20"/>
          <w:szCs w:val="20"/>
          <w:u w:val="single"/>
        </w:rPr>
        <w:t>OTHERS</w:t>
      </w:r>
    </w:p>
    <w:p w14:paraId="7FEFBD76" w14:textId="77777777" w:rsidR="007C6854" w:rsidRDefault="007C6854">
      <w:pPr>
        <w:spacing w:after="0" w:line="240" w:lineRule="auto"/>
        <w:rPr>
          <w:rFonts w:eastAsia="Arial" w:cs="Arial"/>
          <w:sz w:val="20"/>
          <w:szCs w:val="20"/>
        </w:rPr>
      </w:pPr>
    </w:p>
    <w:p w14:paraId="2B444DA8" w14:textId="77777777" w:rsidR="007C6854" w:rsidRDefault="00E0219E">
      <w:pPr>
        <w:numPr>
          <w:ilvl w:val="0"/>
          <w:numId w:val="33"/>
        </w:numPr>
        <w:tabs>
          <w:tab w:val="left" w:pos="720"/>
        </w:tabs>
        <w:spacing w:after="0" w:line="240" w:lineRule="auto"/>
        <w:ind w:left="720" w:right="280" w:hanging="360"/>
        <w:rPr>
          <w:rFonts w:eastAsia="Arial" w:cs="Arial"/>
          <w:sz w:val="20"/>
          <w:szCs w:val="20"/>
        </w:rPr>
      </w:pPr>
      <w:r>
        <w:rPr>
          <w:rFonts w:eastAsia="Arial" w:cs="Arial"/>
          <w:sz w:val="20"/>
          <w:szCs w:val="20"/>
        </w:rPr>
        <w:t xml:space="preserve">Trainer’s Training on Wireless Access for Health – Electronic Medical Records Level 1 and Level 2; and Information Technology System Troubleshooting – </w:t>
      </w:r>
      <w:r>
        <w:rPr>
          <w:rFonts w:eastAsia="Arial" w:cs="Arial"/>
          <w:sz w:val="20"/>
          <w:szCs w:val="20"/>
        </w:rPr>
        <w:lastRenderedPageBreak/>
        <w:t>Sponsored by the Municipality of Pateros in collaboration with the Province of Tarlac. 2012.</w:t>
      </w:r>
    </w:p>
    <w:p w14:paraId="7663EE2F" w14:textId="77777777" w:rsidR="007C6854" w:rsidRDefault="007C6854">
      <w:pPr>
        <w:spacing w:after="0" w:line="240" w:lineRule="auto"/>
        <w:rPr>
          <w:rFonts w:eastAsia="Arial" w:cs="Arial"/>
          <w:sz w:val="20"/>
          <w:szCs w:val="20"/>
        </w:rPr>
      </w:pPr>
    </w:p>
    <w:p w14:paraId="72B57E34" w14:textId="77777777" w:rsidR="007C6854" w:rsidRDefault="00E0219E">
      <w:pPr>
        <w:numPr>
          <w:ilvl w:val="0"/>
          <w:numId w:val="33"/>
        </w:numPr>
        <w:tabs>
          <w:tab w:val="left" w:pos="720"/>
        </w:tabs>
        <w:spacing w:after="0" w:line="240" w:lineRule="auto"/>
        <w:ind w:left="720" w:hanging="360"/>
        <w:rPr>
          <w:rFonts w:eastAsia="Arial" w:cs="Arial"/>
          <w:sz w:val="20"/>
          <w:szCs w:val="20"/>
        </w:rPr>
      </w:pPr>
      <w:r>
        <w:rPr>
          <w:rFonts w:eastAsia="Arial" w:cs="Arial"/>
          <w:sz w:val="20"/>
          <w:szCs w:val="20"/>
        </w:rPr>
        <w:t>Training Course on the Strategies in Publishing Science and Excellence in Reporting Science</w:t>
      </w:r>
    </w:p>
    <w:p w14:paraId="37B777EB" w14:textId="77777777" w:rsidR="007C6854" w:rsidRDefault="00E0219E">
      <w:pPr>
        <w:spacing w:after="0" w:line="240" w:lineRule="auto"/>
        <w:ind w:left="720" w:right="380"/>
        <w:rPr>
          <w:rFonts w:eastAsia="Arial" w:cs="Arial"/>
          <w:sz w:val="20"/>
          <w:szCs w:val="20"/>
        </w:rPr>
      </w:pPr>
      <w:r>
        <w:rPr>
          <w:rFonts w:eastAsia="Arial" w:cs="Arial"/>
          <w:sz w:val="20"/>
          <w:szCs w:val="20"/>
        </w:rPr>
        <w:t>– Sponsored by the South Asia Field Epidemiology and Technology Network, Inc. in collaboration with US-Centers for Disease Control and Prevention and Philippine-National Epidemiology Center. 2011.</w:t>
      </w:r>
    </w:p>
    <w:p w14:paraId="148042EC" w14:textId="77777777" w:rsidR="007C6854" w:rsidRDefault="007C6854">
      <w:pPr>
        <w:spacing w:after="0" w:line="240" w:lineRule="auto"/>
        <w:rPr>
          <w:rFonts w:eastAsia="Arial" w:cs="Arial"/>
          <w:sz w:val="20"/>
          <w:szCs w:val="20"/>
        </w:rPr>
      </w:pPr>
    </w:p>
    <w:p w14:paraId="17941554" w14:textId="77777777" w:rsidR="007C6854" w:rsidRDefault="00E0219E">
      <w:pPr>
        <w:numPr>
          <w:ilvl w:val="0"/>
          <w:numId w:val="33"/>
        </w:numPr>
        <w:tabs>
          <w:tab w:val="left" w:pos="720"/>
        </w:tabs>
        <w:spacing w:after="0" w:line="240" w:lineRule="auto"/>
        <w:ind w:left="720" w:right="80" w:hanging="360"/>
        <w:jc w:val="both"/>
        <w:rPr>
          <w:rFonts w:eastAsia="Arial" w:cs="Arial"/>
          <w:sz w:val="20"/>
          <w:szCs w:val="20"/>
        </w:rPr>
      </w:pPr>
      <w:r>
        <w:rPr>
          <w:rFonts w:eastAsia="Arial" w:cs="Arial"/>
          <w:sz w:val="20"/>
          <w:szCs w:val="20"/>
        </w:rPr>
        <w:t>Training Course on the Asian Epidemic Model (AEM) HIV Surveillance – Sponsored by East-West Center and UNAIDS in collaboration with the Philippine-National Epidemiology Center. 2011.</w:t>
      </w:r>
    </w:p>
    <w:p w14:paraId="2702F6D5" w14:textId="77777777" w:rsidR="007C6854" w:rsidRDefault="007C6854">
      <w:pPr>
        <w:spacing w:after="0" w:line="240" w:lineRule="auto"/>
        <w:rPr>
          <w:rFonts w:eastAsia="Arial" w:cs="Arial"/>
          <w:sz w:val="20"/>
          <w:szCs w:val="20"/>
        </w:rPr>
      </w:pPr>
    </w:p>
    <w:p w14:paraId="37C40F83" w14:textId="77777777" w:rsidR="007C6854" w:rsidRDefault="00E0219E">
      <w:pPr>
        <w:numPr>
          <w:ilvl w:val="0"/>
          <w:numId w:val="33"/>
        </w:numPr>
        <w:tabs>
          <w:tab w:val="left" w:pos="720"/>
        </w:tabs>
        <w:spacing w:after="0" w:line="240" w:lineRule="auto"/>
        <w:ind w:left="720" w:right="900" w:hanging="360"/>
        <w:rPr>
          <w:rFonts w:eastAsia="Arial" w:cs="Arial"/>
          <w:sz w:val="20"/>
          <w:szCs w:val="20"/>
        </w:rPr>
      </w:pPr>
      <w:r>
        <w:rPr>
          <w:rFonts w:eastAsia="Arial" w:cs="Arial"/>
          <w:sz w:val="20"/>
          <w:szCs w:val="20"/>
        </w:rPr>
        <w:t>Group Training Course in Community-based Cancer Prevention for the Asian Pacific Countries (Epidemiologic Approach) – Sponsored by JICA. 2005.</w:t>
      </w:r>
    </w:p>
    <w:p w14:paraId="7793EF06" w14:textId="77777777" w:rsidR="007C6854" w:rsidRDefault="007C6854">
      <w:pPr>
        <w:spacing w:line="196" w:lineRule="auto"/>
        <w:rPr>
          <w:rFonts w:eastAsia="Arial" w:cs="Arial"/>
          <w:sz w:val="20"/>
          <w:szCs w:val="20"/>
        </w:rPr>
      </w:pPr>
    </w:p>
    <w:p w14:paraId="0145C29A" w14:textId="77777777" w:rsidR="007C6854" w:rsidRDefault="00E0219E">
      <w:pPr>
        <w:spacing w:after="0" w:line="240" w:lineRule="auto"/>
        <w:rPr>
          <w:rFonts w:eastAsia="Arial" w:cs="Arial"/>
          <w:sz w:val="20"/>
          <w:szCs w:val="20"/>
        </w:rPr>
      </w:pPr>
      <w:r>
        <w:rPr>
          <w:rFonts w:eastAsia="Arial" w:cs="Arial"/>
          <w:b/>
          <w:i/>
          <w:sz w:val="20"/>
          <w:szCs w:val="20"/>
          <w:u w:val="single"/>
        </w:rPr>
        <w:t>United Nations Department of Safety and Security Trainings</w:t>
      </w:r>
    </w:p>
    <w:p w14:paraId="6C474684" w14:textId="77777777" w:rsidR="007C6854" w:rsidRDefault="007C6854">
      <w:pPr>
        <w:spacing w:after="0" w:line="240" w:lineRule="auto"/>
        <w:rPr>
          <w:rFonts w:eastAsia="Arial" w:cs="Arial"/>
          <w:sz w:val="20"/>
          <w:szCs w:val="20"/>
        </w:rPr>
      </w:pPr>
    </w:p>
    <w:p w14:paraId="0569151E" w14:textId="77777777" w:rsidR="007C6854" w:rsidRDefault="00E0219E">
      <w:pPr>
        <w:numPr>
          <w:ilvl w:val="0"/>
          <w:numId w:val="18"/>
        </w:numPr>
        <w:tabs>
          <w:tab w:val="left" w:pos="700"/>
        </w:tabs>
        <w:spacing w:after="0" w:line="240" w:lineRule="auto"/>
        <w:rPr>
          <w:rFonts w:eastAsia="Arial" w:cs="Arial"/>
          <w:sz w:val="20"/>
          <w:szCs w:val="20"/>
        </w:rPr>
      </w:pPr>
      <w:r>
        <w:rPr>
          <w:rFonts w:eastAsia="Arial" w:cs="Arial"/>
          <w:sz w:val="20"/>
          <w:szCs w:val="20"/>
        </w:rPr>
        <w:t>BSAFE Training Course; November 2018</w:t>
      </w:r>
    </w:p>
    <w:p w14:paraId="2B5BD2C7" w14:textId="77777777" w:rsidR="007C6854" w:rsidRDefault="00E0219E">
      <w:pPr>
        <w:numPr>
          <w:ilvl w:val="0"/>
          <w:numId w:val="18"/>
        </w:numPr>
        <w:tabs>
          <w:tab w:val="left" w:pos="700"/>
        </w:tabs>
        <w:spacing w:after="0" w:line="240" w:lineRule="auto"/>
        <w:rPr>
          <w:rFonts w:eastAsia="Arial" w:cs="Arial"/>
          <w:sz w:val="20"/>
          <w:szCs w:val="20"/>
        </w:rPr>
      </w:pPr>
      <w:r>
        <w:rPr>
          <w:rFonts w:eastAsia="Arial" w:cs="Arial"/>
          <w:sz w:val="20"/>
          <w:szCs w:val="20"/>
        </w:rPr>
        <w:t xml:space="preserve">Advance Security </w:t>
      </w:r>
      <w:proofErr w:type="gramStart"/>
      <w:r>
        <w:rPr>
          <w:rFonts w:eastAsia="Arial" w:cs="Arial"/>
          <w:sz w:val="20"/>
          <w:szCs w:val="20"/>
        </w:rPr>
        <w:t>In</w:t>
      </w:r>
      <w:proofErr w:type="gramEnd"/>
      <w:r>
        <w:rPr>
          <w:rFonts w:eastAsia="Arial" w:cs="Arial"/>
          <w:sz w:val="20"/>
          <w:szCs w:val="20"/>
        </w:rPr>
        <w:t xml:space="preserve"> The Field (ASITF) Training Course; Certificate Date: 2 March, 2015; Expiration Date: 1 March 2018</w:t>
      </w:r>
    </w:p>
    <w:p w14:paraId="7CB1DC94" w14:textId="77777777" w:rsidR="007C6854" w:rsidRDefault="00E0219E">
      <w:pPr>
        <w:numPr>
          <w:ilvl w:val="0"/>
          <w:numId w:val="18"/>
        </w:numPr>
        <w:spacing w:after="0" w:line="240" w:lineRule="auto"/>
        <w:rPr>
          <w:rFonts w:eastAsia="Arial" w:cs="Arial"/>
          <w:sz w:val="20"/>
          <w:szCs w:val="20"/>
        </w:rPr>
      </w:pPr>
      <w:r>
        <w:rPr>
          <w:rFonts w:eastAsia="Arial" w:cs="Arial"/>
          <w:sz w:val="20"/>
          <w:szCs w:val="20"/>
        </w:rPr>
        <w:t xml:space="preserve">Basic Security </w:t>
      </w:r>
      <w:proofErr w:type="gramStart"/>
      <w:r>
        <w:rPr>
          <w:rFonts w:eastAsia="Arial" w:cs="Arial"/>
          <w:sz w:val="20"/>
          <w:szCs w:val="20"/>
        </w:rPr>
        <w:t>In</w:t>
      </w:r>
      <w:proofErr w:type="gramEnd"/>
      <w:r>
        <w:rPr>
          <w:rFonts w:eastAsia="Arial" w:cs="Arial"/>
          <w:sz w:val="20"/>
          <w:szCs w:val="20"/>
        </w:rPr>
        <w:t xml:space="preserve"> The Field II (BSITF II) Training Course; Certificate Date: 27 January 2015;</w:t>
      </w:r>
    </w:p>
    <w:p w14:paraId="4E68141F" w14:textId="77777777" w:rsidR="007C6854" w:rsidRDefault="00E0219E">
      <w:pPr>
        <w:spacing w:after="0" w:line="240" w:lineRule="auto"/>
        <w:ind w:left="720"/>
        <w:rPr>
          <w:rFonts w:eastAsia="Arial" w:cs="Arial"/>
          <w:sz w:val="20"/>
          <w:szCs w:val="20"/>
        </w:rPr>
      </w:pPr>
      <w:r>
        <w:rPr>
          <w:rFonts w:eastAsia="Arial" w:cs="Arial"/>
          <w:sz w:val="20"/>
          <w:szCs w:val="20"/>
        </w:rPr>
        <w:t>Expiration Date: 26 January 2018</w:t>
      </w:r>
    </w:p>
    <w:p w14:paraId="09D8DAEE" w14:textId="77777777" w:rsidR="007C6854" w:rsidRDefault="00E0219E">
      <w:pPr>
        <w:numPr>
          <w:ilvl w:val="0"/>
          <w:numId w:val="18"/>
        </w:numPr>
        <w:spacing w:after="0" w:line="240" w:lineRule="auto"/>
        <w:rPr>
          <w:rFonts w:eastAsia="Arial" w:cs="Arial"/>
          <w:sz w:val="20"/>
          <w:szCs w:val="20"/>
        </w:rPr>
      </w:pPr>
      <w:r>
        <w:rPr>
          <w:rFonts w:eastAsia="Arial" w:cs="Arial"/>
          <w:sz w:val="20"/>
          <w:szCs w:val="20"/>
        </w:rPr>
        <w:t>Information Security Awareness Foundational Assessment; Certificate Date: 17 March 2016</w:t>
      </w:r>
    </w:p>
    <w:p w14:paraId="5F53A4FD" w14:textId="77777777" w:rsidR="007C6854" w:rsidRDefault="00E0219E">
      <w:pPr>
        <w:numPr>
          <w:ilvl w:val="0"/>
          <w:numId w:val="18"/>
        </w:numPr>
        <w:tabs>
          <w:tab w:val="left" w:pos="720"/>
        </w:tabs>
        <w:spacing w:after="0" w:line="240" w:lineRule="auto"/>
        <w:rPr>
          <w:rFonts w:eastAsia="Arial" w:cs="Arial"/>
          <w:sz w:val="20"/>
          <w:szCs w:val="20"/>
        </w:rPr>
      </w:pPr>
      <w:r>
        <w:rPr>
          <w:rFonts w:eastAsia="Arial" w:cs="Arial"/>
          <w:sz w:val="20"/>
          <w:szCs w:val="20"/>
        </w:rPr>
        <w:t>Information Security Awareness Advanced; Certificate Date: 14 April 2016</w:t>
      </w:r>
    </w:p>
    <w:p w14:paraId="26ED7785" w14:textId="77777777" w:rsidR="007C6854" w:rsidRDefault="00E0219E">
      <w:pPr>
        <w:numPr>
          <w:ilvl w:val="0"/>
          <w:numId w:val="18"/>
        </w:numPr>
        <w:tabs>
          <w:tab w:val="left" w:pos="720"/>
        </w:tabs>
        <w:spacing w:after="0" w:line="240" w:lineRule="auto"/>
        <w:rPr>
          <w:rFonts w:eastAsia="Arial" w:cs="Arial"/>
          <w:sz w:val="20"/>
          <w:szCs w:val="20"/>
        </w:rPr>
      </w:pPr>
      <w:r>
        <w:rPr>
          <w:rFonts w:eastAsia="Arial" w:cs="Arial"/>
          <w:sz w:val="20"/>
          <w:szCs w:val="20"/>
        </w:rPr>
        <w:t>Information Security Awareness Additional; Certificate Date: 14 April 2016</w:t>
      </w:r>
    </w:p>
    <w:p w14:paraId="7F0EFB96" w14:textId="77777777" w:rsidR="007C6854" w:rsidRDefault="007C6854">
      <w:pPr>
        <w:spacing w:line="249" w:lineRule="auto"/>
        <w:rPr>
          <w:rFonts w:eastAsia="Arial" w:cs="Arial"/>
          <w:sz w:val="20"/>
          <w:szCs w:val="20"/>
        </w:rPr>
      </w:pPr>
    </w:p>
    <w:p w14:paraId="7CD69443" w14:textId="77777777" w:rsidR="007C6854" w:rsidRDefault="00E0219E">
      <w:pPr>
        <w:rPr>
          <w:rFonts w:eastAsia="Arial" w:cs="Arial"/>
          <w:sz w:val="20"/>
          <w:szCs w:val="20"/>
        </w:rPr>
      </w:pPr>
      <w:r>
        <w:rPr>
          <w:rFonts w:eastAsia="Arial" w:cs="Arial"/>
          <w:b/>
          <w:i/>
          <w:sz w:val="20"/>
          <w:szCs w:val="20"/>
          <w:u w:val="single"/>
        </w:rPr>
        <w:t>AFFILIATIONS AND INVOLVEMENT</w:t>
      </w:r>
    </w:p>
    <w:p w14:paraId="4F02C866" w14:textId="77777777" w:rsidR="007C6854" w:rsidRDefault="00E0219E">
      <w:pPr>
        <w:numPr>
          <w:ilvl w:val="0"/>
          <w:numId w:val="37"/>
        </w:numPr>
        <w:tabs>
          <w:tab w:val="left" w:pos="720"/>
        </w:tabs>
        <w:spacing w:after="0" w:line="240" w:lineRule="auto"/>
        <w:ind w:left="720" w:hanging="360"/>
        <w:rPr>
          <w:rFonts w:eastAsia="Arial" w:cs="Arial"/>
          <w:sz w:val="20"/>
          <w:szCs w:val="20"/>
        </w:rPr>
      </w:pPr>
      <w:r>
        <w:rPr>
          <w:rFonts w:eastAsia="Arial" w:cs="Arial"/>
          <w:sz w:val="20"/>
          <w:szCs w:val="20"/>
        </w:rPr>
        <w:t>Field Epidemiology Training Program Alumni Foundation Inc. (FETPAFI)</w:t>
      </w:r>
    </w:p>
    <w:p w14:paraId="38CEC6D9" w14:textId="77777777" w:rsidR="007C6854" w:rsidRDefault="00E0219E">
      <w:pPr>
        <w:numPr>
          <w:ilvl w:val="0"/>
          <w:numId w:val="37"/>
        </w:numPr>
        <w:tabs>
          <w:tab w:val="left" w:pos="720"/>
        </w:tabs>
        <w:spacing w:after="0" w:line="240" w:lineRule="auto"/>
        <w:ind w:left="720" w:hanging="360"/>
        <w:rPr>
          <w:rFonts w:eastAsia="Arial" w:cs="Arial"/>
          <w:sz w:val="20"/>
          <w:szCs w:val="20"/>
        </w:rPr>
      </w:pPr>
      <w:r>
        <w:rPr>
          <w:rFonts w:eastAsia="Arial" w:cs="Arial"/>
          <w:sz w:val="20"/>
          <w:szCs w:val="20"/>
        </w:rPr>
        <w:t>University of the Philippines Alumni Association, Inc (Lifetime)</w:t>
      </w:r>
    </w:p>
    <w:p w14:paraId="6FAF4BD8" w14:textId="77777777" w:rsidR="007C6854" w:rsidRDefault="00E0219E">
      <w:pPr>
        <w:numPr>
          <w:ilvl w:val="0"/>
          <w:numId w:val="37"/>
        </w:numPr>
        <w:tabs>
          <w:tab w:val="left" w:pos="720"/>
        </w:tabs>
        <w:spacing w:after="0" w:line="240" w:lineRule="auto"/>
        <w:ind w:left="720" w:hanging="360"/>
        <w:rPr>
          <w:rFonts w:eastAsia="Arial" w:cs="Arial"/>
          <w:sz w:val="20"/>
          <w:szCs w:val="20"/>
        </w:rPr>
      </w:pPr>
      <w:r>
        <w:rPr>
          <w:rFonts w:eastAsia="Arial" w:cs="Arial"/>
          <w:sz w:val="20"/>
          <w:szCs w:val="20"/>
        </w:rPr>
        <w:t xml:space="preserve">Freedom Christian Fellowship (Religious Sector) </w:t>
      </w:r>
      <w:r>
        <w:rPr>
          <w:rFonts w:eastAsia="Arial" w:cs="Arial"/>
          <w:b/>
          <w:sz w:val="20"/>
          <w:szCs w:val="20"/>
        </w:rPr>
        <w:t xml:space="preserve">- </w:t>
      </w:r>
      <w:r>
        <w:rPr>
          <w:rFonts w:eastAsia="Arial" w:cs="Arial"/>
          <w:sz w:val="20"/>
          <w:szCs w:val="20"/>
        </w:rPr>
        <w:t>Senior Pastor (2016 - Present)</w:t>
      </w:r>
    </w:p>
    <w:p w14:paraId="32FD9594" w14:textId="77777777" w:rsidR="007C6854" w:rsidRDefault="007C6854">
      <w:pPr>
        <w:spacing w:line="322" w:lineRule="auto"/>
        <w:rPr>
          <w:rFonts w:eastAsia="Arial" w:cs="Arial"/>
          <w:sz w:val="20"/>
          <w:szCs w:val="20"/>
        </w:rPr>
      </w:pPr>
    </w:p>
    <w:p w14:paraId="45602F33" w14:textId="77777777" w:rsidR="007C6854" w:rsidRDefault="00E0219E">
      <w:pPr>
        <w:rPr>
          <w:rFonts w:eastAsia="Arial" w:cs="Arial"/>
          <w:sz w:val="20"/>
          <w:szCs w:val="20"/>
        </w:rPr>
      </w:pPr>
      <w:r>
        <w:rPr>
          <w:rFonts w:eastAsia="Arial" w:cs="Arial"/>
          <w:b/>
          <w:i/>
          <w:sz w:val="20"/>
          <w:szCs w:val="20"/>
          <w:u w:val="single"/>
        </w:rPr>
        <w:t>LANGUAGE SKILLS</w:t>
      </w:r>
    </w:p>
    <w:tbl>
      <w:tblPr>
        <w:tblStyle w:val="afffd"/>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8"/>
        <w:gridCol w:w="1996"/>
        <w:gridCol w:w="1996"/>
        <w:gridCol w:w="1996"/>
      </w:tblGrid>
      <w:tr w:rsidR="007C6854" w14:paraId="0CB46045" w14:textId="77777777">
        <w:trPr>
          <w:trHeight w:val="364"/>
        </w:trPr>
        <w:tc>
          <w:tcPr>
            <w:tcW w:w="2058" w:type="dxa"/>
            <w:tcBorders>
              <w:top w:val="single" w:sz="8" w:space="0" w:color="000000"/>
              <w:left w:val="single" w:sz="8" w:space="0" w:color="000000"/>
              <w:bottom w:val="single" w:sz="4" w:space="0" w:color="000000"/>
              <w:right w:val="single" w:sz="8" w:space="0" w:color="000000"/>
            </w:tcBorders>
            <w:vAlign w:val="bottom"/>
          </w:tcPr>
          <w:p w14:paraId="15FF889A" w14:textId="77777777" w:rsidR="007C6854" w:rsidRDefault="00E0219E">
            <w:pPr>
              <w:ind w:left="380"/>
              <w:rPr>
                <w:rFonts w:eastAsia="Arial" w:cs="Arial"/>
              </w:rPr>
            </w:pPr>
            <w:r>
              <w:rPr>
                <w:rFonts w:eastAsia="Arial" w:cs="Arial"/>
              </w:rPr>
              <w:t>LANGUAGE</w:t>
            </w:r>
          </w:p>
        </w:tc>
        <w:tc>
          <w:tcPr>
            <w:tcW w:w="1996" w:type="dxa"/>
            <w:tcBorders>
              <w:top w:val="single" w:sz="8" w:space="0" w:color="000000"/>
              <w:bottom w:val="single" w:sz="4" w:space="0" w:color="000000"/>
              <w:right w:val="single" w:sz="8" w:space="0" w:color="000000"/>
            </w:tcBorders>
            <w:vAlign w:val="bottom"/>
          </w:tcPr>
          <w:p w14:paraId="072843F5" w14:textId="77777777" w:rsidR="007C6854" w:rsidRDefault="00E0219E">
            <w:pPr>
              <w:jc w:val="center"/>
              <w:rPr>
                <w:rFonts w:eastAsia="Arial" w:cs="Arial"/>
              </w:rPr>
            </w:pPr>
            <w:r>
              <w:rPr>
                <w:rFonts w:eastAsia="Arial" w:cs="Arial"/>
                <w:b/>
              </w:rPr>
              <w:t>READING</w:t>
            </w:r>
          </w:p>
        </w:tc>
        <w:tc>
          <w:tcPr>
            <w:tcW w:w="1996" w:type="dxa"/>
            <w:tcBorders>
              <w:top w:val="single" w:sz="8" w:space="0" w:color="000000"/>
              <w:bottom w:val="single" w:sz="4" w:space="0" w:color="000000"/>
              <w:right w:val="single" w:sz="8" w:space="0" w:color="000000"/>
            </w:tcBorders>
            <w:vAlign w:val="bottom"/>
          </w:tcPr>
          <w:p w14:paraId="2EC3B079" w14:textId="77777777" w:rsidR="007C6854" w:rsidRDefault="00E0219E">
            <w:pPr>
              <w:jc w:val="center"/>
              <w:rPr>
                <w:rFonts w:eastAsia="Arial" w:cs="Arial"/>
              </w:rPr>
            </w:pPr>
            <w:r>
              <w:rPr>
                <w:rFonts w:eastAsia="Arial" w:cs="Arial"/>
                <w:b/>
              </w:rPr>
              <w:t>SPEAKING</w:t>
            </w:r>
          </w:p>
        </w:tc>
        <w:tc>
          <w:tcPr>
            <w:tcW w:w="1996" w:type="dxa"/>
            <w:tcBorders>
              <w:top w:val="single" w:sz="8" w:space="0" w:color="000000"/>
              <w:bottom w:val="single" w:sz="4" w:space="0" w:color="000000"/>
              <w:right w:val="single" w:sz="8" w:space="0" w:color="000000"/>
            </w:tcBorders>
            <w:vAlign w:val="bottom"/>
          </w:tcPr>
          <w:p w14:paraId="2455DAB7" w14:textId="77777777" w:rsidR="007C6854" w:rsidRDefault="00E0219E">
            <w:pPr>
              <w:ind w:left="740"/>
              <w:rPr>
                <w:rFonts w:eastAsia="Arial" w:cs="Arial"/>
              </w:rPr>
            </w:pPr>
            <w:r>
              <w:rPr>
                <w:rFonts w:eastAsia="Arial" w:cs="Arial"/>
                <w:b/>
              </w:rPr>
              <w:t>WRITING</w:t>
            </w:r>
          </w:p>
        </w:tc>
      </w:tr>
      <w:tr w:rsidR="007C6854" w14:paraId="7A4DAC19" w14:textId="77777777">
        <w:trPr>
          <w:trHeight w:val="352"/>
        </w:trPr>
        <w:tc>
          <w:tcPr>
            <w:tcW w:w="2058" w:type="dxa"/>
            <w:tcBorders>
              <w:top w:val="single" w:sz="4" w:space="0" w:color="000000"/>
              <w:left w:val="single" w:sz="8" w:space="0" w:color="000000"/>
              <w:right w:val="single" w:sz="8" w:space="0" w:color="000000"/>
            </w:tcBorders>
            <w:vAlign w:val="bottom"/>
          </w:tcPr>
          <w:p w14:paraId="7EDDFCF9" w14:textId="77777777" w:rsidR="007C6854" w:rsidRDefault="00E0219E">
            <w:pPr>
              <w:ind w:left="380"/>
              <w:rPr>
                <w:rFonts w:eastAsia="Arial" w:cs="Arial"/>
              </w:rPr>
            </w:pPr>
            <w:r>
              <w:rPr>
                <w:rFonts w:eastAsia="Arial" w:cs="Arial"/>
              </w:rPr>
              <w:t>English</w:t>
            </w:r>
          </w:p>
        </w:tc>
        <w:tc>
          <w:tcPr>
            <w:tcW w:w="1996" w:type="dxa"/>
            <w:tcBorders>
              <w:top w:val="single" w:sz="4" w:space="0" w:color="000000"/>
              <w:right w:val="single" w:sz="8" w:space="0" w:color="000000"/>
            </w:tcBorders>
            <w:vAlign w:val="bottom"/>
          </w:tcPr>
          <w:p w14:paraId="253EC85B" w14:textId="77777777" w:rsidR="007C6854" w:rsidRDefault="00E0219E">
            <w:pPr>
              <w:jc w:val="center"/>
              <w:rPr>
                <w:rFonts w:eastAsia="Arial" w:cs="Arial"/>
              </w:rPr>
            </w:pPr>
            <w:r>
              <w:rPr>
                <w:rFonts w:eastAsia="Arial" w:cs="Arial"/>
              </w:rPr>
              <w:t>Very good</w:t>
            </w:r>
          </w:p>
        </w:tc>
        <w:tc>
          <w:tcPr>
            <w:tcW w:w="1996" w:type="dxa"/>
            <w:tcBorders>
              <w:top w:val="single" w:sz="4" w:space="0" w:color="000000"/>
              <w:right w:val="single" w:sz="8" w:space="0" w:color="000000"/>
            </w:tcBorders>
            <w:vAlign w:val="bottom"/>
          </w:tcPr>
          <w:p w14:paraId="7499141C" w14:textId="77777777" w:rsidR="007C6854" w:rsidRDefault="00E0219E">
            <w:pPr>
              <w:jc w:val="center"/>
              <w:rPr>
                <w:rFonts w:eastAsia="Arial" w:cs="Arial"/>
              </w:rPr>
            </w:pPr>
            <w:r>
              <w:rPr>
                <w:rFonts w:eastAsia="Arial" w:cs="Arial"/>
              </w:rPr>
              <w:t>Very good</w:t>
            </w:r>
          </w:p>
        </w:tc>
        <w:tc>
          <w:tcPr>
            <w:tcW w:w="1996" w:type="dxa"/>
            <w:tcBorders>
              <w:top w:val="single" w:sz="4" w:space="0" w:color="000000"/>
              <w:right w:val="single" w:sz="8" w:space="0" w:color="000000"/>
            </w:tcBorders>
            <w:vAlign w:val="bottom"/>
          </w:tcPr>
          <w:p w14:paraId="2FA57A32" w14:textId="77777777" w:rsidR="007C6854" w:rsidRDefault="00E0219E">
            <w:pPr>
              <w:ind w:left="740"/>
              <w:rPr>
                <w:rFonts w:eastAsia="Arial" w:cs="Arial"/>
              </w:rPr>
            </w:pPr>
            <w:r>
              <w:rPr>
                <w:rFonts w:eastAsia="Arial" w:cs="Arial"/>
              </w:rPr>
              <w:t>Very good</w:t>
            </w:r>
          </w:p>
        </w:tc>
      </w:tr>
      <w:tr w:rsidR="007C6854" w14:paraId="5F9105CA" w14:textId="77777777">
        <w:trPr>
          <w:trHeight w:val="349"/>
        </w:trPr>
        <w:tc>
          <w:tcPr>
            <w:tcW w:w="2058" w:type="dxa"/>
            <w:tcBorders>
              <w:top w:val="single" w:sz="8" w:space="0" w:color="000000"/>
              <w:left w:val="single" w:sz="8" w:space="0" w:color="000000"/>
              <w:bottom w:val="single" w:sz="4" w:space="0" w:color="000000"/>
              <w:right w:val="single" w:sz="8" w:space="0" w:color="000000"/>
            </w:tcBorders>
            <w:vAlign w:val="bottom"/>
          </w:tcPr>
          <w:p w14:paraId="10D0366B" w14:textId="77777777" w:rsidR="007C6854" w:rsidRDefault="00E0219E">
            <w:pPr>
              <w:ind w:left="380"/>
              <w:rPr>
                <w:rFonts w:eastAsia="Arial" w:cs="Arial"/>
              </w:rPr>
            </w:pPr>
            <w:r>
              <w:rPr>
                <w:rFonts w:eastAsia="Arial" w:cs="Arial"/>
              </w:rPr>
              <w:t>Tagalog (Mother Tongue)</w:t>
            </w:r>
          </w:p>
        </w:tc>
        <w:tc>
          <w:tcPr>
            <w:tcW w:w="1996" w:type="dxa"/>
            <w:tcBorders>
              <w:top w:val="single" w:sz="8" w:space="0" w:color="000000"/>
              <w:bottom w:val="single" w:sz="4" w:space="0" w:color="000000"/>
              <w:right w:val="single" w:sz="8" w:space="0" w:color="000000"/>
            </w:tcBorders>
            <w:vAlign w:val="bottom"/>
          </w:tcPr>
          <w:p w14:paraId="1EC459C0" w14:textId="77777777" w:rsidR="007C6854" w:rsidRDefault="00E0219E">
            <w:pPr>
              <w:jc w:val="center"/>
              <w:rPr>
                <w:rFonts w:eastAsia="Arial" w:cs="Arial"/>
              </w:rPr>
            </w:pPr>
            <w:r>
              <w:rPr>
                <w:rFonts w:eastAsia="Arial" w:cs="Arial"/>
              </w:rPr>
              <w:t>Excellent</w:t>
            </w:r>
          </w:p>
        </w:tc>
        <w:tc>
          <w:tcPr>
            <w:tcW w:w="1996" w:type="dxa"/>
            <w:tcBorders>
              <w:top w:val="single" w:sz="8" w:space="0" w:color="000000"/>
              <w:bottom w:val="single" w:sz="4" w:space="0" w:color="000000"/>
              <w:right w:val="single" w:sz="8" w:space="0" w:color="000000"/>
            </w:tcBorders>
            <w:vAlign w:val="bottom"/>
          </w:tcPr>
          <w:p w14:paraId="6DB3DB09" w14:textId="77777777" w:rsidR="007C6854" w:rsidRDefault="00E0219E">
            <w:pPr>
              <w:jc w:val="center"/>
              <w:rPr>
                <w:rFonts w:eastAsia="Arial" w:cs="Arial"/>
              </w:rPr>
            </w:pPr>
            <w:r>
              <w:rPr>
                <w:rFonts w:eastAsia="Arial" w:cs="Arial"/>
              </w:rPr>
              <w:t>Excellent</w:t>
            </w:r>
          </w:p>
        </w:tc>
        <w:tc>
          <w:tcPr>
            <w:tcW w:w="1996" w:type="dxa"/>
            <w:tcBorders>
              <w:top w:val="single" w:sz="8" w:space="0" w:color="000000"/>
              <w:bottom w:val="single" w:sz="4" w:space="0" w:color="000000"/>
              <w:right w:val="single" w:sz="8" w:space="0" w:color="000000"/>
            </w:tcBorders>
            <w:vAlign w:val="bottom"/>
          </w:tcPr>
          <w:p w14:paraId="27E6E2A1" w14:textId="77777777" w:rsidR="007C6854" w:rsidRDefault="00E0219E">
            <w:pPr>
              <w:ind w:left="800"/>
              <w:rPr>
                <w:rFonts w:eastAsia="Arial" w:cs="Arial"/>
              </w:rPr>
            </w:pPr>
            <w:r>
              <w:rPr>
                <w:rFonts w:eastAsia="Arial" w:cs="Arial"/>
              </w:rPr>
              <w:t>Excellent</w:t>
            </w:r>
          </w:p>
        </w:tc>
      </w:tr>
    </w:tbl>
    <w:p w14:paraId="59980547" w14:textId="77777777" w:rsidR="007C6854" w:rsidRDefault="007C6854">
      <w:pPr>
        <w:spacing w:line="20" w:lineRule="auto"/>
        <w:rPr>
          <w:rFonts w:eastAsia="Arial" w:cs="Arial"/>
          <w:sz w:val="20"/>
          <w:szCs w:val="20"/>
        </w:rPr>
      </w:pPr>
    </w:p>
    <w:p w14:paraId="380F480A" w14:textId="77777777" w:rsidR="007C6854" w:rsidRDefault="00E0219E">
      <w:pPr>
        <w:spacing w:after="0" w:line="240" w:lineRule="auto"/>
        <w:rPr>
          <w:rFonts w:eastAsia="Arial" w:cs="Arial"/>
          <w:sz w:val="20"/>
          <w:szCs w:val="20"/>
        </w:rPr>
      </w:pPr>
      <w:r>
        <w:rPr>
          <w:rFonts w:eastAsia="Arial" w:cs="Arial"/>
          <w:b/>
          <w:i/>
          <w:sz w:val="20"/>
          <w:szCs w:val="20"/>
          <w:u w:val="single"/>
        </w:rPr>
        <w:t>OTHER SKILLS</w:t>
      </w:r>
    </w:p>
    <w:p w14:paraId="3D4B79E8" w14:textId="77777777" w:rsidR="007C6854" w:rsidRDefault="007C6854">
      <w:pPr>
        <w:spacing w:after="0" w:line="240" w:lineRule="auto"/>
        <w:rPr>
          <w:rFonts w:eastAsia="Arial" w:cs="Arial"/>
          <w:sz w:val="20"/>
          <w:szCs w:val="20"/>
        </w:rPr>
      </w:pPr>
    </w:p>
    <w:p w14:paraId="13907DB2" w14:textId="77777777" w:rsidR="007C6854" w:rsidRDefault="00E0219E">
      <w:pPr>
        <w:numPr>
          <w:ilvl w:val="0"/>
          <w:numId w:val="14"/>
        </w:numPr>
        <w:tabs>
          <w:tab w:val="left" w:pos="720"/>
        </w:tabs>
        <w:spacing w:after="0" w:line="240" w:lineRule="auto"/>
        <w:ind w:left="720" w:right="800" w:hanging="360"/>
        <w:rPr>
          <w:rFonts w:eastAsia="Arial" w:cs="Arial"/>
          <w:sz w:val="20"/>
          <w:szCs w:val="20"/>
        </w:rPr>
      </w:pPr>
      <w:r>
        <w:rPr>
          <w:rFonts w:eastAsia="Arial" w:cs="Arial"/>
          <w:sz w:val="20"/>
          <w:szCs w:val="20"/>
        </w:rPr>
        <w:lastRenderedPageBreak/>
        <w:t xml:space="preserve">Epidemiology Software Competency: Competent in the use of statistical software such as: EPI version 6 (Very Good); EPI INFO version 3.5.4 (Very Good); EPI INFO version 7 (Very good); EPI Data version 3.1 (Very Good); STATA (Good); SPSS (Good); </w:t>
      </w:r>
      <w:proofErr w:type="spellStart"/>
      <w:r>
        <w:rPr>
          <w:rFonts w:eastAsia="Arial" w:cs="Arial"/>
          <w:sz w:val="20"/>
          <w:szCs w:val="20"/>
        </w:rPr>
        <w:t>Medcalc</w:t>
      </w:r>
      <w:proofErr w:type="spellEnd"/>
      <w:r>
        <w:rPr>
          <w:rFonts w:eastAsia="Arial" w:cs="Arial"/>
          <w:sz w:val="20"/>
          <w:szCs w:val="20"/>
        </w:rPr>
        <w:t xml:space="preserve"> (Fair); and SOFA statistic (good). </w:t>
      </w:r>
    </w:p>
    <w:p w14:paraId="2932C2EC" w14:textId="77777777" w:rsidR="007C6854" w:rsidRDefault="007C6854">
      <w:pPr>
        <w:tabs>
          <w:tab w:val="left" w:pos="720"/>
        </w:tabs>
        <w:spacing w:after="0" w:line="240" w:lineRule="auto"/>
        <w:ind w:right="800"/>
        <w:rPr>
          <w:rFonts w:eastAsia="Arial" w:cs="Arial"/>
          <w:sz w:val="20"/>
          <w:szCs w:val="20"/>
        </w:rPr>
      </w:pPr>
    </w:p>
    <w:p w14:paraId="1B6CA67D" w14:textId="77777777" w:rsidR="007C6854" w:rsidRDefault="00E0219E">
      <w:pPr>
        <w:numPr>
          <w:ilvl w:val="0"/>
          <w:numId w:val="14"/>
        </w:numPr>
        <w:tabs>
          <w:tab w:val="left" w:pos="720"/>
        </w:tabs>
        <w:spacing w:after="0" w:line="240" w:lineRule="auto"/>
        <w:ind w:left="720" w:right="800" w:hanging="360"/>
        <w:rPr>
          <w:rFonts w:eastAsia="Arial" w:cs="Arial"/>
          <w:sz w:val="20"/>
          <w:szCs w:val="20"/>
        </w:rPr>
      </w:pPr>
      <w:r>
        <w:rPr>
          <w:rFonts w:eastAsia="Arial" w:cs="Arial"/>
          <w:sz w:val="20"/>
          <w:szCs w:val="20"/>
        </w:rPr>
        <w:t xml:space="preserve">Web-based application: Knowledgeable in utilization and deployment of </w:t>
      </w:r>
      <w:proofErr w:type="spellStart"/>
      <w:r>
        <w:rPr>
          <w:rFonts w:eastAsia="Arial" w:cs="Arial"/>
          <w:sz w:val="20"/>
          <w:szCs w:val="20"/>
        </w:rPr>
        <w:t>KoboToolBox</w:t>
      </w:r>
      <w:proofErr w:type="spellEnd"/>
      <w:r>
        <w:rPr>
          <w:rFonts w:eastAsia="Arial" w:cs="Arial"/>
          <w:sz w:val="20"/>
          <w:szCs w:val="20"/>
        </w:rPr>
        <w:t xml:space="preserve"> Form; Google Document, Google Sheet, Google Slide</w:t>
      </w:r>
    </w:p>
    <w:p w14:paraId="323BB937" w14:textId="77777777" w:rsidR="007C6854" w:rsidRDefault="007C6854">
      <w:pPr>
        <w:spacing w:after="0" w:line="240" w:lineRule="auto"/>
        <w:rPr>
          <w:rFonts w:eastAsia="Arial" w:cs="Arial"/>
          <w:sz w:val="20"/>
          <w:szCs w:val="20"/>
        </w:rPr>
      </w:pPr>
    </w:p>
    <w:p w14:paraId="383D4879" w14:textId="77777777" w:rsidR="007C6854" w:rsidRDefault="00E0219E">
      <w:pPr>
        <w:numPr>
          <w:ilvl w:val="0"/>
          <w:numId w:val="14"/>
        </w:numPr>
        <w:tabs>
          <w:tab w:val="left" w:pos="720"/>
        </w:tabs>
        <w:spacing w:after="0" w:line="240" w:lineRule="auto"/>
        <w:ind w:left="720" w:right="1180" w:hanging="360"/>
        <w:jc w:val="both"/>
        <w:rPr>
          <w:rFonts w:eastAsia="Arial" w:cs="Arial"/>
          <w:sz w:val="20"/>
          <w:szCs w:val="20"/>
        </w:rPr>
      </w:pPr>
      <w:r>
        <w:rPr>
          <w:rFonts w:eastAsia="Arial" w:cs="Arial"/>
          <w:sz w:val="20"/>
          <w:szCs w:val="20"/>
        </w:rPr>
        <w:t xml:space="preserve">Computer literacy – Efficient in Microsoft Office especially on Microsoft Word (User), Excel (User and Developer) and </w:t>
      </w:r>
      <w:proofErr w:type="spellStart"/>
      <w:r>
        <w:rPr>
          <w:rFonts w:eastAsia="Arial" w:cs="Arial"/>
          <w:sz w:val="20"/>
          <w:szCs w:val="20"/>
        </w:rPr>
        <w:t>Powerpoint</w:t>
      </w:r>
      <w:proofErr w:type="spellEnd"/>
      <w:r>
        <w:rPr>
          <w:rFonts w:eastAsia="Arial" w:cs="Arial"/>
          <w:sz w:val="20"/>
          <w:szCs w:val="20"/>
        </w:rPr>
        <w:t xml:space="preserve"> (User); knowledgeable in Microsoft Publisher (User) and Access (User and Developer)</w:t>
      </w:r>
    </w:p>
    <w:p w14:paraId="22122D77" w14:textId="77777777" w:rsidR="007C6854" w:rsidRDefault="007C6854">
      <w:pPr>
        <w:spacing w:after="0" w:line="240" w:lineRule="auto"/>
        <w:rPr>
          <w:rFonts w:eastAsia="Arial" w:cs="Arial"/>
          <w:sz w:val="20"/>
          <w:szCs w:val="20"/>
        </w:rPr>
      </w:pPr>
    </w:p>
    <w:p w14:paraId="2E66EA19" w14:textId="77777777" w:rsidR="007C6854" w:rsidRDefault="007C6854">
      <w:pPr>
        <w:spacing w:line="253" w:lineRule="auto"/>
        <w:rPr>
          <w:rFonts w:eastAsia="Arial" w:cs="Arial"/>
          <w:sz w:val="20"/>
          <w:szCs w:val="20"/>
        </w:rPr>
      </w:pPr>
    </w:p>
    <w:p w14:paraId="3D2F9FF1" w14:textId="77777777" w:rsidR="007C6854" w:rsidRDefault="00E0219E">
      <w:pPr>
        <w:spacing w:after="0" w:line="240" w:lineRule="auto"/>
        <w:rPr>
          <w:rFonts w:eastAsia="Arial" w:cs="Arial"/>
          <w:sz w:val="20"/>
          <w:szCs w:val="20"/>
        </w:rPr>
      </w:pPr>
      <w:r>
        <w:rPr>
          <w:rFonts w:eastAsia="Arial" w:cs="Arial"/>
          <w:b/>
          <w:i/>
          <w:sz w:val="20"/>
          <w:szCs w:val="20"/>
          <w:u w:val="single"/>
        </w:rPr>
        <w:t>PERSONAL BACKGROUND:</w:t>
      </w:r>
    </w:p>
    <w:p w14:paraId="6717B8BD" w14:textId="77777777" w:rsidR="007C6854" w:rsidRDefault="007C6854">
      <w:pPr>
        <w:spacing w:after="0" w:line="240" w:lineRule="auto"/>
        <w:rPr>
          <w:rFonts w:eastAsia="Arial" w:cs="Arial"/>
          <w:sz w:val="20"/>
          <w:szCs w:val="20"/>
        </w:rPr>
      </w:pPr>
    </w:p>
    <w:p w14:paraId="141722D9" w14:textId="77777777" w:rsidR="007C6854" w:rsidRDefault="00E0219E">
      <w:pPr>
        <w:spacing w:after="0" w:line="240" w:lineRule="auto"/>
        <w:ind w:right="1060"/>
        <w:rPr>
          <w:rFonts w:eastAsia="Arial" w:cs="Arial"/>
          <w:sz w:val="20"/>
          <w:szCs w:val="20"/>
        </w:rPr>
      </w:pPr>
      <w:r>
        <w:rPr>
          <w:rFonts w:eastAsia="Arial" w:cs="Arial"/>
          <w:sz w:val="20"/>
          <w:szCs w:val="20"/>
        </w:rPr>
        <w:t xml:space="preserve">Born on March 16, 1974. Baptized and raised in Catholic faith and later on converted to a Bible believing Christian. Married to </w:t>
      </w:r>
      <w:proofErr w:type="spellStart"/>
      <w:r>
        <w:rPr>
          <w:rFonts w:eastAsia="Arial" w:cs="Arial"/>
          <w:sz w:val="20"/>
          <w:szCs w:val="20"/>
        </w:rPr>
        <w:t>Alona</w:t>
      </w:r>
      <w:proofErr w:type="spellEnd"/>
      <w:r>
        <w:rPr>
          <w:rFonts w:eastAsia="Arial" w:cs="Arial"/>
          <w:sz w:val="20"/>
          <w:szCs w:val="20"/>
        </w:rPr>
        <w:t xml:space="preserve"> Meneses Angeles-Martinez; with 2 children named Phoebe A. Martinez and Nathanael A. Martinez. Phoebe was born on May 3, 2001 and Nathan his nickname was born on December 9, 2003.</w:t>
      </w:r>
    </w:p>
    <w:p w14:paraId="56A09FCB" w14:textId="77777777" w:rsidR="007C6854" w:rsidRDefault="007C6854">
      <w:pPr>
        <w:spacing w:after="0" w:line="240" w:lineRule="auto"/>
        <w:rPr>
          <w:rFonts w:eastAsia="Arial" w:cs="Arial"/>
          <w:sz w:val="20"/>
          <w:szCs w:val="20"/>
        </w:rPr>
      </w:pPr>
    </w:p>
    <w:p w14:paraId="6B1F1B17" w14:textId="77777777" w:rsidR="007C6854" w:rsidRDefault="00E0219E">
      <w:pPr>
        <w:spacing w:after="0" w:line="240" w:lineRule="auto"/>
        <w:ind w:right="1000"/>
        <w:rPr>
          <w:rFonts w:eastAsia="Arial" w:cs="Arial"/>
          <w:sz w:val="20"/>
          <w:szCs w:val="20"/>
        </w:rPr>
      </w:pPr>
      <w:r>
        <w:rPr>
          <w:rFonts w:eastAsia="Arial" w:cs="Arial"/>
          <w:sz w:val="20"/>
          <w:szCs w:val="20"/>
        </w:rPr>
        <w:t xml:space="preserve">My parents were both public school teachers. My father’s name was Maximiano Mendoza Martinez, a native of Talisay, </w:t>
      </w:r>
      <w:proofErr w:type="spellStart"/>
      <w:r>
        <w:rPr>
          <w:rFonts w:eastAsia="Arial" w:cs="Arial"/>
          <w:sz w:val="20"/>
          <w:szCs w:val="20"/>
        </w:rPr>
        <w:t>Batangay</w:t>
      </w:r>
      <w:proofErr w:type="spellEnd"/>
      <w:r>
        <w:rPr>
          <w:rFonts w:eastAsia="Arial" w:cs="Arial"/>
          <w:sz w:val="20"/>
          <w:szCs w:val="20"/>
        </w:rPr>
        <w:t xml:space="preserve"> (Deceased; June 5, 2014). My mother’s name is Maxima Samson Capco-Martinez, a native of Pateros, Rizal. She’s in her 80’s and strong.</w:t>
      </w:r>
    </w:p>
    <w:p w14:paraId="235F3439" w14:textId="77777777" w:rsidR="007C6854" w:rsidRDefault="007C6854">
      <w:pPr>
        <w:spacing w:line="263" w:lineRule="auto"/>
        <w:rPr>
          <w:rFonts w:eastAsia="Arial" w:cs="Arial"/>
          <w:sz w:val="20"/>
          <w:szCs w:val="20"/>
        </w:rPr>
      </w:pPr>
    </w:p>
    <w:p w14:paraId="166333B8" w14:textId="77777777" w:rsidR="007C6854" w:rsidRDefault="007C6854">
      <w:pPr>
        <w:rPr>
          <w:rFonts w:eastAsia="Arial" w:cs="Arial"/>
          <w:b/>
          <w:i/>
          <w:sz w:val="20"/>
          <w:szCs w:val="20"/>
          <w:u w:val="single"/>
        </w:rPr>
      </w:pPr>
    </w:p>
    <w:p w14:paraId="76C3D87B" w14:textId="77777777" w:rsidR="007C6854" w:rsidRDefault="00E0219E">
      <w:pPr>
        <w:rPr>
          <w:rFonts w:eastAsia="Arial" w:cs="Arial"/>
          <w:b/>
          <w:i/>
          <w:sz w:val="20"/>
          <w:szCs w:val="20"/>
          <w:u w:val="single"/>
        </w:rPr>
      </w:pPr>
      <w:r>
        <w:br w:type="page"/>
      </w:r>
    </w:p>
    <w:p w14:paraId="5254E131" w14:textId="77777777" w:rsidR="007C6854" w:rsidRDefault="00E0219E">
      <w:pPr>
        <w:spacing w:after="0" w:line="240" w:lineRule="auto"/>
        <w:rPr>
          <w:rFonts w:eastAsia="Arial" w:cs="Arial"/>
          <w:sz w:val="20"/>
          <w:szCs w:val="20"/>
        </w:rPr>
      </w:pPr>
      <w:r>
        <w:rPr>
          <w:rFonts w:eastAsia="Arial" w:cs="Arial"/>
          <w:b/>
          <w:i/>
          <w:sz w:val="20"/>
          <w:szCs w:val="20"/>
          <w:u w:val="single"/>
        </w:rPr>
        <w:lastRenderedPageBreak/>
        <w:t>PROFESSIONAL REFERENCES</w:t>
      </w:r>
    </w:p>
    <w:p w14:paraId="1D4FEE0B" w14:textId="77777777" w:rsidR="007C6854" w:rsidRDefault="007C6854">
      <w:pPr>
        <w:spacing w:after="0" w:line="240" w:lineRule="auto"/>
        <w:rPr>
          <w:rFonts w:eastAsia="Arial" w:cs="Arial"/>
          <w:sz w:val="20"/>
          <w:szCs w:val="20"/>
        </w:rPr>
      </w:pPr>
    </w:p>
    <w:p w14:paraId="1E6BDC49" w14:textId="77777777" w:rsidR="007C6854" w:rsidRDefault="00E0219E">
      <w:pPr>
        <w:spacing w:after="0" w:line="240" w:lineRule="auto"/>
        <w:ind w:left="720"/>
        <w:rPr>
          <w:rFonts w:eastAsia="Arial" w:cs="Arial"/>
          <w:sz w:val="20"/>
          <w:szCs w:val="20"/>
        </w:rPr>
      </w:pPr>
      <w:r>
        <w:rPr>
          <w:rFonts w:eastAsia="Arial" w:cs="Arial"/>
          <w:b/>
          <w:sz w:val="20"/>
          <w:szCs w:val="20"/>
        </w:rPr>
        <w:t>Dr. Agnes Segarra, PHSAE</w:t>
      </w:r>
      <w:r>
        <w:rPr>
          <w:rFonts w:eastAsia="Arial" w:cs="Arial"/>
          <w:sz w:val="20"/>
          <w:szCs w:val="20"/>
        </w:rPr>
        <w:t xml:space="preserve"> – Division Chief, Applied Epidemiology Health Management Division, Department of Health Epidemiology Bureau. Cellphone #: +63 922 8252918</w:t>
      </w:r>
    </w:p>
    <w:p w14:paraId="2AEEB084" w14:textId="77777777" w:rsidR="007C6854" w:rsidRDefault="00E0219E">
      <w:pPr>
        <w:spacing w:after="0" w:line="240" w:lineRule="auto"/>
        <w:ind w:left="720"/>
        <w:rPr>
          <w:rFonts w:eastAsia="Arial" w:cs="Arial"/>
          <w:sz w:val="20"/>
          <w:szCs w:val="20"/>
        </w:rPr>
      </w:pPr>
      <w:r>
        <w:rPr>
          <w:rFonts w:eastAsia="Arial" w:cs="Arial"/>
          <w:sz w:val="20"/>
          <w:szCs w:val="20"/>
        </w:rPr>
        <w:t xml:space="preserve"> </w:t>
      </w:r>
    </w:p>
    <w:p w14:paraId="21F6832F" w14:textId="77777777" w:rsidR="007C6854" w:rsidRDefault="00E0219E">
      <w:pPr>
        <w:spacing w:after="0" w:line="240" w:lineRule="auto"/>
        <w:ind w:left="720"/>
        <w:rPr>
          <w:rFonts w:eastAsia="Arial" w:cs="Arial"/>
          <w:sz w:val="20"/>
          <w:szCs w:val="20"/>
        </w:rPr>
      </w:pPr>
      <w:r>
        <w:rPr>
          <w:rFonts w:eastAsia="Arial" w:cs="Arial"/>
          <w:b/>
          <w:sz w:val="20"/>
          <w:szCs w:val="20"/>
        </w:rPr>
        <w:t xml:space="preserve">Dr. John </w:t>
      </w:r>
      <w:proofErr w:type="spellStart"/>
      <w:r>
        <w:rPr>
          <w:rFonts w:eastAsia="Arial" w:cs="Arial"/>
          <w:b/>
          <w:sz w:val="20"/>
          <w:szCs w:val="20"/>
        </w:rPr>
        <w:t>Juliard</w:t>
      </w:r>
      <w:proofErr w:type="spellEnd"/>
      <w:r>
        <w:rPr>
          <w:rFonts w:eastAsia="Arial" w:cs="Arial"/>
          <w:b/>
          <w:sz w:val="20"/>
          <w:szCs w:val="20"/>
        </w:rPr>
        <w:t xml:space="preserve"> Go, MPH </w:t>
      </w:r>
      <w:r>
        <w:rPr>
          <w:rFonts w:eastAsia="Arial" w:cs="Arial"/>
          <w:sz w:val="20"/>
          <w:szCs w:val="20"/>
        </w:rPr>
        <w:t>–</w:t>
      </w:r>
      <w:r>
        <w:rPr>
          <w:rFonts w:eastAsia="Arial" w:cs="Arial"/>
          <w:b/>
          <w:sz w:val="20"/>
          <w:szCs w:val="20"/>
        </w:rPr>
        <w:t xml:space="preserve"> </w:t>
      </w:r>
      <w:r>
        <w:rPr>
          <w:rFonts w:eastAsia="Arial" w:cs="Arial"/>
          <w:sz w:val="20"/>
          <w:szCs w:val="20"/>
        </w:rPr>
        <w:t>National Professional Officer; World Health Organization.</w:t>
      </w:r>
    </w:p>
    <w:p w14:paraId="091363A4" w14:textId="77777777" w:rsidR="007C6854" w:rsidRDefault="00E0219E">
      <w:pPr>
        <w:spacing w:after="0" w:line="240" w:lineRule="auto"/>
        <w:ind w:left="720"/>
        <w:rPr>
          <w:rFonts w:eastAsia="Arial" w:cs="Arial"/>
          <w:sz w:val="20"/>
          <w:szCs w:val="20"/>
        </w:rPr>
      </w:pPr>
      <w:r>
        <w:rPr>
          <w:rFonts w:eastAsia="Arial" w:cs="Arial"/>
          <w:sz w:val="20"/>
          <w:szCs w:val="20"/>
        </w:rPr>
        <w:t>Cellphone #: +63 908 868 6379 Email add: goj@who.int</w:t>
      </w:r>
    </w:p>
    <w:p w14:paraId="47E23B95" w14:textId="77777777" w:rsidR="007C6854" w:rsidRDefault="007C6854">
      <w:pPr>
        <w:spacing w:after="0" w:line="240" w:lineRule="auto"/>
        <w:ind w:right="2480"/>
        <w:rPr>
          <w:rFonts w:eastAsia="Arial" w:cs="Arial"/>
          <w:sz w:val="20"/>
          <w:szCs w:val="20"/>
        </w:rPr>
      </w:pPr>
    </w:p>
    <w:p w14:paraId="4D149506" w14:textId="77777777" w:rsidR="007C6854" w:rsidRDefault="00E0219E">
      <w:pPr>
        <w:spacing w:after="0" w:line="240" w:lineRule="auto"/>
        <w:ind w:left="720" w:right="2480"/>
        <w:rPr>
          <w:rFonts w:eastAsia="Arial" w:cs="Arial"/>
          <w:sz w:val="20"/>
          <w:szCs w:val="20"/>
        </w:rPr>
      </w:pPr>
      <w:r>
        <w:rPr>
          <w:rFonts w:eastAsia="Arial" w:cs="Arial"/>
          <w:b/>
          <w:sz w:val="20"/>
          <w:szCs w:val="20"/>
        </w:rPr>
        <w:t xml:space="preserve">Dr Mary Elizabeth Miranda, PHSAE </w:t>
      </w:r>
      <w:r>
        <w:rPr>
          <w:rFonts w:eastAsia="Arial" w:cs="Arial"/>
          <w:sz w:val="20"/>
          <w:szCs w:val="20"/>
        </w:rPr>
        <w:t>- CEO, Field Epidemiology Training Program Alumni</w:t>
      </w:r>
      <w:r>
        <w:rPr>
          <w:rFonts w:eastAsia="Arial" w:cs="Arial"/>
          <w:b/>
          <w:sz w:val="20"/>
          <w:szCs w:val="20"/>
        </w:rPr>
        <w:t xml:space="preserve"> </w:t>
      </w:r>
      <w:r>
        <w:rPr>
          <w:rFonts w:eastAsia="Arial" w:cs="Arial"/>
          <w:sz w:val="20"/>
          <w:szCs w:val="20"/>
        </w:rPr>
        <w:t>Association, Inc. Contact Number: +63 22812465 Email add: megmiranda@fetpafi.org</w:t>
      </w:r>
    </w:p>
    <w:p w14:paraId="29A5F57A" w14:textId="77777777" w:rsidR="007C6854" w:rsidRDefault="007C6854">
      <w:pPr>
        <w:spacing w:after="0" w:line="240" w:lineRule="auto"/>
        <w:rPr>
          <w:rFonts w:eastAsia="Arial" w:cs="Arial"/>
          <w:sz w:val="20"/>
          <w:szCs w:val="20"/>
        </w:rPr>
      </w:pPr>
    </w:p>
    <w:p w14:paraId="5EC70B2E" w14:textId="77777777" w:rsidR="007C6854" w:rsidRDefault="00E0219E">
      <w:pPr>
        <w:spacing w:after="0" w:line="240" w:lineRule="auto"/>
        <w:ind w:left="720"/>
        <w:rPr>
          <w:rFonts w:eastAsia="Arial" w:cs="Arial"/>
          <w:b/>
          <w:sz w:val="20"/>
          <w:szCs w:val="20"/>
        </w:rPr>
      </w:pPr>
      <w:r>
        <w:rPr>
          <w:rFonts w:eastAsia="Arial" w:cs="Arial"/>
          <w:b/>
          <w:sz w:val="20"/>
          <w:szCs w:val="20"/>
        </w:rPr>
        <w:t xml:space="preserve">Dr. Manuel C. </w:t>
      </w:r>
      <w:proofErr w:type="spellStart"/>
      <w:r>
        <w:rPr>
          <w:rFonts w:eastAsia="Arial" w:cs="Arial"/>
          <w:b/>
          <w:sz w:val="20"/>
          <w:szCs w:val="20"/>
        </w:rPr>
        <w:t>Mapue</w:t>
      </w:r>
      <w:proofErr w:type="spellEnd"/>
      <w:r>
        <w:rPr>
          <w:rFonts w:eastAsia="Arial" w:cs="Arial"/>
          <w:b/>
          <w:sz w:val="20"/>
          <w:szCs w:val="20"/>
        </w:rPr>
        <w:t xml:space="preserve"> II, RMT, MD, CFP, PHSAE</w:t>
      </w:r>
    </w:p>
    <w:p w14:paraId="1504D6F4" w14:textId="77777777" w:rsidR="007C6854" w:rsidRDefault="00E0219E">
      <w:pPr>
        <w:spacing w:after="0" w:line="240" w:lineRule="auto"/>
        <w:ind w:left="720"/>
        <w:rPr>
          <w:rFonts w:eastAsia="Arial" w:cs="Arial"/>
          <w:sz w:val="20"/>
          <w:szCs w:val="20"/>
        </w:rPr>
      </w:pPr>
      <w:r>
        <w:rPr>
          <w:rFonts w:eastAsia="Arial" w:cs="Arial"/>
          <w:sz w:val="20"/>
          <w:szCs w:val="20"/>
        </w:rPr>
        <w:t>Head, Regional Epidemiology and Surveillance Unit</w:t>
      </w:r>
    </w:p>
    <w:p w14:paraId="75B7100D" w14:textId="77777777" w:rsidR="007C6854" w:rsidRDefault="00E0219E">
      <w:pPr>
        <w:spacing w:after="0" w:line="240" w:lineRule="auto"/>
        <w:ind w:left="720"/>
        <w:rPr>
          <w:rFonts w:eastAsia="Arial" w:cs="Arial"/>
          <w:sz w:val="20"/>
          <w:szCs w:val="20"/>
        </w:rPr>
      </w:pPr>
      <w:r>
        <w:rPr>
          <w:rFonts w:eastAsia="Arial" w:cs="Arial"/>
          <w:sz w:val="20"/>
          <w:szCs w:val="20"/>
        </w:rPr>
        <w:t>Metro Manila Center for Health Development</w:t>
      </w:r>
    </w:p>
    <w:p w14:paraId="0AEFB285" w14:textId="77777777" w:rsidR="007C6854" w:rsidRDefault="007C6854">
      <w:pPr>
        <w:spacing w:after="0" w:line="240" w:lineRule="auto"/>
        <w:ind w:left="720"/>
        <w:rPr>
          <w:rFonts w:eastAsia="Arial" w:cs="Arial"/>
          <w:sz w:val="20"/>
          <w:szCs w:val="20"/>
        </w:rPr>
      </w:pPr>
    </w:p>
    <w:p w14:paraId="28A04C18" w14:textId="77777777" w:rsidR="007C6854" w:rsidRDefault="00E0219E">
      <w:pPr>
        <w:spacing w:after="0" w:line="240" w:lineRule="auto"/>
        <w:ind w:left="720" w:right="1100"/>
        <w:rPr>
          <w:rFonts w:eastAsia="Arial" w:cs="Arial"/>
          <w:sz w:val="20"/>
          <w:szCs w:val="20"/>
        </w:rPr>
      </w:pPr>
      <w:r>
        <w:rPr>
          <w:rFonts w:eastAsia="Arial" w:cs="Arial"/>
          <w:b/>
          <w:sz w:val="20"/>
          <w:szCs w:val="20"/>
        </w:rPr>
        <w:t xml:space="preserve">Dr. Rolando V. Cruz, PHSAE </w:t>
      </w:r>
      <w:r>
        <w:rPr>
          <w:rFonts w:eastAsia="Arial" w:cs="Arial"/>
          <w:sz w:val="20"/>
          <w:szCs w:val="20"/>
        </w:rPr>
        <w:t>- City Epidemiologist</w:t>
      </w:r>
      <w:r>
        <w:rPr>
          <w:rFonts w:eastAsia="Arial" w:cs="Arial"/>
          <w:b/>
          <w:sz w:val="20"/>
          <w:szCs w:val="20"/>
        </w:rPr>
        <w:t xml:space="preserve">; </w:t>
      </w:r>
      <w:r>
        <w:rPr>
          <w:rFonts w:eastAsia="Arial" w:cs="Arial"/>
          <w:sz w:val="20"/>
          <w:szCs w:val="20"/>
        </w:rPr>
        <w:t>Local Government of Quezon</w:t>
      </w:r>
      <w:r>
        <w:rPr>
          <w:rFonts w:eastAsia="Arial" w:cs="Arial"/>
          <w:b/>
          <w:sz w:val="20"/>
          <w:szCs w:val="20"/>
        </w:rPr>
        <w:t xml:space="preserve"> </w:t>
      </w:r>
      <w:r>
        <w:rPr>
          <w:rFonts w:eastAsia="Arial" w:cs="Arial"/>
          <w:sz w:val="20"/>
          <w:szCs w:val="20"/>
        </w:rPr>
        <w:t>City; Mobile #: +63 917 773 1563</w:t>
      </w:r>
    </w:p>
    <w:p w14:paraId="2893FBE7" w14:textId="77777777" w:rsidR="007C6854" w:rsidRDefault="007C6854">
      <w:pPr>
        <w:spacing w:line="200" w:lineRule="auto"/>
        <w:rPr>
          <w:rFonts w:eastAsia="Arial" w:cs="Arial"/>
          <w:sz w:val="20"/>
          <w:szCs w:val="20"/>
        </w:rPr>
      </w:pPr>
    </w:p>
    <w:p w14:paraId="503395D3" w14:textId="77777777" w:rsidR="007C6854" w:rsidRDefault="007C6854">
      <w:pPr>
        <w:spacing w:line="200" w:lineRule="auto"/>
        <w:rPr>
          <w:rFonts w:eastAsia="Arial" w:cs="Arial"/>
          <w:sz w:val="20"/>
          <w:szCs w:val="20"/>
        </w:rPr>
      </w:pPr>
    </w:p>
    <w:p w14:paraId="66078F60" w14:textId="77777777" w:rsidR="007C6854" w:rsidRDefault="007C6854">
      <w:pPr>
        <w:spacing w:line="398" w:lineRule="auto"/>
        <w:rPr>
          <w:rFonts w:eastAsia="Arial" w:cs="Arial"/>
          <w:sz w:val="20"/>
          <w:szCs w:val="20"/>
        </w:rPr>
      </w:pPr>
    </w:p>
    <w:p w14:paraId="4B1439E7" w14:textId="77777777" w:rsidR="007C6854" w:rsidRDefault="00E0219E">
      <w:pPr>
        <w:rPr>
          <w:rFonts w:eastAsia="Arial" w:cs="Arial"/>
          <w:sz w:val="20"/>
          <w:szCs w:val="20"/>
        </w:rPr>
      </w:pPr>
      <w:r>
        <w:rPr>
          <w:rFonts w:eastAsia="Arial" w:cs="Arial"/>
          <w:sz w:val="16"/>
          <w:szCs w:val="16"/>
        </w:rPr>
        <w:t>resume//Rammell.doc</w:t>
      </w:r>
    </w:p>
    <w:p w14:paraId="61FE3F90" w14:textId="77777777" w:rsidR="007C6854" w:rsidRDefault="00E0219E">
      <w:pPr>
        <w:spacing w:after="160" w:line="259" w:lineRule="auto"/>
        <w:rPr>
          <w:rFonts w:eastAsia="Arial" w:cs="Arial"/>
          <w:szCs w:val="24"/>
        </w:rPr>
      </w:pPr>
      <w:r>
        <w:br w:type="page"/>
      </w:r>
    </w:p>
    <w:p w14:paraId="71D95FAF" w14:textId="77777777" w:rsidR="007C6854" w:rsidRDefault="00E0219E">
      <w:pPr>
        <w:pStyle w:val="Heading2"/>
        <w:jc w:val="center"/>
        <w:rPr>
          <w:rFonts w:eastAsia="Arial" w:cs="Arial"/>
          <w:sz w:val="24"/>
          <w:szCs w:val="24"/>
        </w:rPr>
      </w:pPr>
      <w:bookmarkStart w:id="73" w:name="_heading=h.34g0dwd" w:colFirst="0" w:colLast="0"/>
      <w:bookmarkEnd w:id="73"/>
      <w:r>
        <w:rPr>
          <w:rFonts w:eastAsia="Arial" w:cs="Arial"/>
          <w:color w:val="000000"/>
          <w:sz w:val="24"/>
          <w:szCs w:val="24"/>
        </w:rPr>
        <w:lastRenderedPageBreak/>
        <w:t xml:space="preserve">Appendix B: </w:t>
      </w:r>
      <w:r>
        <w:rPr>
          <w:rFonts w:eastAsia="Arial" w:cs="Arial"/>
          <w:sz w:val="24"/>
          <w:szCs w:val="24"/>
        </w:rPr>
        <w:t>UPOU-IREC Certificate of Approval</w:t>
      </w:r>
    </w:p>
    <w:p w14:paraId="3B38BDC0" w14:textId="77777777" w:rsidR="007C6854" w:rsidRDefault="007C6854"/>
    <w:p w14:paraId="0AD44E4A" w14:textId="77777777" w:rsidR="007C6854" w:rsidRDefault="00E0219E">
      <w:pPr>
        <w:pBdr>
          <w:top w:val="nil"/>
          <w:left w:val="nil"/>
          <w:bottom w:val="nil"/>
          <w:right w:val="nil"/>
          <w:between w:val="nil"/>
        </w:pBdr>
        <w:spacing w:after="160" w:line="360" w:lineRule="auto"/>
        <w:jc w:val="center"/>
        <w:rPr>
          <w:rFonts w:eastAsia="Arial" w:cs="Arial"/>
          <w:b/>
          <w:szCs w:val="24"/>
        </w:rPr>
      </w:pPr>
      <w:r>
        <w:rPr>
          <w:rFonts w:eastAsia="Arial" w:cs="Arial"/>
          <w:b/>
          <w:noProof/>
          <w:szCs w:val="24"/>
        </w:rPr>
        <w:drawing>
          <wp:inline distT="114300" distB="114300" distL="114300" distR="114300" wp14:anchorId="739DE1EF" wp14:editId="0AF18A95">
            <wp:extent cx="2905125" cy="3769382"/>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4"/>
                    <a:srcRect b="50619"/>
                    <a:stretch>
                      <a:fillRect/>
                    </a:stretch>
                  </pic:blipFill>
                  <pic:spPr>
                    <a:xfrm>
                      <a:off x="0" y="0"/>
                      <a:ext cx="2905125" cy="3769382"/>
                    </a:xfrm>
                    <a:prstGeom prst="rect">
                      <a:avLst/>
                    </a:prstGeom>
                    <a:ln/>
                  </pic:spPr>
                </pic:pic>
              </a:graphicData>
            </a:graphic>
          </wp:inline>
        </w:drawing>
      </w:r>
      <w:r>
        <w:rPr>
          <w:rFonts w:eastAsia="Arial" w:cs="Arial"/>
          <w:b/>
          <w:noProof/>
          <w:szCs w:val="24"/>
        </w:rPr>
        <w:drawing>
          <wp:inline distT="114300" distB="114300" distL="114300" distR="114300" wp14:anchorId="6F5E3A3C" wp14:editId="0CED1446">
            <wp:extent cx="3316102" cy="3635177"/>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4"/>
                    <a:srcRect t="58359"/>
                    <a:stretch>
                      <a:fillRect/>
                    </a:stretch>
                  </pic:blipFill>
                  <pic:spPr>
                    <a:xfrm>
                      <a:off x="0" y="0"/>
                      <a:ext cx="3316102" cy="3635177"/>
                    </a:xfrm>
                    <a:prstGeom prst="rect">
                      <a:avLst/>
                    </a:prstGeom>
                    <a:ln/>
                  </pic:spPr>
                </pic:pic>
              </a:graphicData>
            </a:graphic>
          </wp:inline>
        </w:drawing>
      </w:r>
      <w:r>
        <w:rPr>
          <w:rFonts w:eastAsia="Arial" w:cs="Arial"/>
          <w:b/>
          <w:szCs w:val="24"/>
        </w:rPr>
        <w:t>*</w:t>
      </w:r>
    </w:p>
    <w:p w14:paraId="0DCC10B4" w14:textId="77777777" w:rsidR="007C6854" w:rsidRDefault="00E0219E">
      <w:pPr>
        <w:pStyle w:val="Heading2"/>
        <w:jc w:val="center"/>
        <w:rPr>
          <w:rFonts w:eastAsia="Arial" w:cs="Arial"/>
          <w:sz w:val="24"/>
          <w:szCs w:val="24"/>
        </w:rPr>
      </w:pPr>
      <w:bookmarkStart w:id="74" w:name="_heading=h.1jlao46" w:colFirst="0" w:colLast="0"/>
      <w:bookmarkEnd w:id="74"/>
      <w:r>
        <w:rPr>
          <w:rFonts w:eastAsia="Arial" w:cs="Arial"/>
          <w:sz w:val="24"/>
          <w:szCs w:val="24"/>
        </w:rPr>
        <w:lastRenderedPageBreak/>
        <w:t>Appendix C. Memorandum of Understanding between the researcher and the Barangay Health Center</w:t>
      </w:r>
    </w:p>
    <w:p w14:paraId="68A9761F" w14:textId="77777777" w:rsidR="007C6854" w:rsidRDefault="00E0219E">
      <w:pPr>
        <w:pBdr>
          <w:top w:val="nil"/>
          <w:left w:val="nil"/>
          <w:bottom w:val="nil"/>
          <w:right w:val="nil"/>
          <w:between w:val="nil"/>
        </w:pBdr>
        <w:spacing w:after="160" w:line="360" w:lineRule="auto"/>
        <w:rPr>
          <w:rFonts w:eastAsia="Arial" w:cs="Arial"/>
          <w:color w:val="000000"/>
          <w:szCs w:val="24"/>
        </w:rPr>
      </w:pPr>
      <w:r>
        <w:rPr>
          <w:rFonts w:eastAsia="Arial" w:cs="Arial"/>
          <w:noProof/>
        </w:rPr>
        <w:drawing>
          <wp:inline distT="0" distB="0" distL="0" distR="0" wp14:anchorId="7E2F7A4C" wp14:editId="7E73B0A3">
            <wp:extent cx="5274310" cy="7526655"/>
            <wp:effectExtent l="0" t="0" r="0" b="0"/>
            <wp:docPr id="70" name="image9.jpg" descr="No description available."/>
            <wp:cNvGraphicFramePr/>
            <a:graphic xmlns:a="http://schemas.openxmlformats.org/drawingml/2006/main">
              <a:graphicData uri="http://schemas.openxmlformats.org/drawingml/2006/picture">
                <pic:pic xmlns:pic="http://schemas.openxmlformats.org/drawingml/2006/picture">
                  <pic:nvPicPr>
                    <pic:cNvPr id="0" name="image9.jpg" descr="No description available."/>
                    <pic:cNvPicPr preferRelativeResize="0"/>
                  </pic:nvPicPr>
                  <pic:blipFill>
                    <a:blip r:embed="rId225"/>
                    <a:srcRect/>
                    <a:stretch>
                      <a:fillRect/>
                    </a:stretch>
                  </pic:blipFill>
                  <pic:spPr>
                    <a:xfrm>
                      <a:off x="0" y="0"/>
                      <a:ext cx="5274310" cy="7526655"/>
                    </a:xfrm>
                    <a:prstGeom prst="rect">
                      <a:avLst/>
                    </a:prstGeom>
                    <a:ln/>
                  </pic:spPr>
                </pic:pic>
              </a:graphicData>
            </a:graphic>
          </wp:inline>
        </w:drawing>
      </w:r>
    </w:p>
    <w:p w14:paraId="48256DF6" w14:textId="77777777" w:rsidR="007C6854" w:rsidRDefault="00E0219E">
      <w:pPr>
        <w:spacing w:after="160" w:line="259" w:lineRule="auto"/>
        <w:rPr>
          <w:rFonts w:eastAsia="Arial" w:cs="Arial"/>
          <w:b/>
          <w:color w:val="000000"/>
          <w:szCs w:val="24"/>
        </w:rPr>
      </w:pPr>
      <w:r>
        <w:rPr>
          <w:rFonts w:eastAsia="Arial" w:cs="Arial"/>
          <w:noProof/>
        </w:rPr>
        <w:lastRenderedPageBreak/>
        <w:drawing>
          <wp:inline distT="0" distB="0" distL="0" distR="0" wp14:anchorId="374C674F" wp14:editId="0924128D">
            <wp:extent cx="5274310" cy="7456805"/>
            <wp:effectExtent l="0" t="0" r="0" b="0"/>
            <wp:docPr id="74" name="image11.jpg" descr="No description available."/>
            <wp:cNvGraphicFramePr/>
            <a:graphic xmlns:a="http://schemas.openxmlformats.org/drawingml/2006/main">
              <a:graphicData uri="http://schemas.openxmlformats.org/drawingml/2006/picture">
                <pic:pic xmlns:pic="http://schemas.openxmlformats.org/drawingml/2006/picture">
                  <pic:nvPicPr>
                    <pic:cNvPr id="0" name="image11.jpg" descr="No description available."/>
                    <pic:cNvPicPr preferRelativeResize="0"/>
                  </pic:nvPicPr>
                  <pic:blipFill>
                    <a:blip r:embed="rId226"/>
                    <a:srcRect/>
                    <a:stretch>
                      <a:fillRect/>
                    </a:stretch>
                  </pic:blipFill>
                  <pic:spPr>
                    <a:xfrm>
                      <a:off x="0" y="0"/>
                      <a:ext cx="5274310" cy="7456805"/>
                    </a:xfrm>
                    <a:prstGeom prst="rect">
                      <a:avLst/>
                    </a:prstGeom>
                    <a:ln/>
                  </pic:spPr>
                </pic:pic>
              </a:graphicData>
            </a:graphic>
          </wp:inline>
        </w:drawing>
      </w:r>
    </w:p>
    <w:p w14:paraId="5EF84304" w14:textId="77777777" w:rsidR="007C6854" w:rsidRDefault="00E0219E">
      <w:pPr>
        <w:spacing w:after="160" w:line="259" w:lineRule="auto"/>
        <w:rPr>
          <w:rFonts w:eastAsia="Arial" w:cs="Arial"/>
          <w:b/>
          <w:color w:val="000000"/>
          <w:szCs w:val="24"/>
        </w:rPr>
      </w:pPr>
      <w:r>
        <w:rPr>
          <w:rFonts w:eastAsia="Arial" w:cs="Arial"/>
          <w:noProof/>
        </w:rPr>
        <w:lastRenderedPageBreak/>
        <w:drawing>
          <wp:inline distT="0" distB="0" distL="0" distR="0" wp14:anchorId="47E85E53" wp14:editId="38776B59">
            <wp:extent cx="5274310" cy="7110095"/>
            <wp:effectExtent l="0" t="0" r="0" b="0"/>
            <wp:docPr id="72" name="image4.jpg" descr="No description available."/>
            <wp:cNvGraphicFramePr/>
            <a:graphic xmlns:a="http://schemas.openxmlformats.org/drawingml/2006/main">
              <a:graphicData uri="http://schemas.openxmlformats.org/drawingml/2006/picture">
                <pic:pic xmlns:pic="http://schemas.openxmlformats.org/drawingml/2006/picture">
                  <pic:nvPicPr>
                    <pic:cNvPr id="0" name="image4.jpg" descr="No description available."/>
                    <pic:cNvPicPr preferRelativeResize="0"/>
                  </pic:nvPicPr>
                  <pic:blipFill>
                    <a:blip r:embed="rId227"/>
                    <a:srcRect/>
                    <a:stretch>
                      <a:fillRect/>
                    </a:stretch>
                  </pic:blipFill>
                  <pic:spPr>
                    <a:xfrm>
                      <a:off x="0" y="0"/>
                      <a:ext cx="5274310" cy="7110095"/>
                    </a:xfrm>
                    <a:prstGeom prst="rect">
                      <a:avLst/>
                    </a:prstGeom>
                    <a:ln/>
                  </pic:spPr>
                </pic:pic>
              </a:graphicData>
            </a:graphic>
          </wp:inline>
        </w:drawing>
      </w:r>
    </w:p>
    <w:p w14:paraId="752FE9AF" w14:textId="77777777" w:rsidR="007C6854" w:rsidRDefault="00E0219E">
      <w:pPr>
        <w:spacing w:after="160" w:line="259" w:lineRule="auto"/>
        <w:rPr>
          <w:rFonts w:eastAsia="Arial" w:cs="Arial"/>
          <w:b/>
          <w:color w:val="000000"/>
          <w:szCs w:val="24"/>
        </w:rPr>
      </w:pPr>
      <w:r>
        <w:rPr>
          <w:rFonts w:eastAsia="Arial" w:cs="Arial"/>
          <w:noProof/>
        </w:rPr>
        <w:lastRenderedPageBreak/>
        <w:drawing>
          <wp:inline distT="0" distB="0" distL="0" distR="0" wp14:anchorId="585DFCF6" wp14:editId="28BE5C16">
            <wp:extent cx="5274310" cy="7041515"/>
            <wp:effectExtent l="0" t="0" r="0" b="0"/>
            <wp:docPr id="73" name="image10.jpg" descr="No description available."/>
            <wp:cNvGraphicFramePr/>
            <a:graphic xmlns:a="http://schemas.openxmlformats.org/drawingml/2006/main">
              <a:graphicData uri="http://schemas.openxmlformats.org/drawingml/2006/picture">
                <pic:pic xmlns:pic="http://schemas.openxmlformats.org/drawingml/2006/picture">
                  <pic:nvPicPr>
                    <pic:cNvPr id="0" name="image10.jpg" descr="No description available."/>
                    <pic:cNvPicPr preferRelativeResize="0"/>
                  </pic:nvPicPr>
                  <pic:blipFill>
                    <a:blip r:embed="rId228"/>
                    <a:srcRect/>
                    <a:stretch>
                      <a:fillRect/>
                    </a:stretch>
                  </pic:blipFill>
                  <pic:spPr>
                    <a:xfrm>
                      <a:off x="0" y="0"/>
                      <a:ext cx="5274310" cy="7041515"/>
                    </a:xfrm>
                    <a:prstGeom prst="rect">
                      <a:avLst/>
                    </a:prstGeom>
                    <a:ln/>
                  </pic:spPr>
                </pic:pic>
              </a:graphicData>
            </a:graphic>
          </wp:inline>
        </w:drawing>
      </w:r>
    </w:p>
    <w:p w14:paraId="4A24DABB" w14:textId="77777777" w:rsidR="007C6854" w:rsidRDefault="00E0219E">
      <w:pPr>
        <w:spacing w:after="160" w:line="259" w:lineRule="auto"/>
        <w:rPr>
          <w:rFonts w:eastAsia="Arial" w:cs="Arial"/>
          <w:b/>
          <w:color w:val="000000"/>
          <w:szCs w:val="24"/>
        </w:rPr>
      </w:pPr>
      <w:r>
        <w:br w:type="page"/>
      </w:r>
    </w:p>
    <w:p w14:paraId="02E81107" w14:textId="77777777" w:rsidR="007C6854" w:rsidRDefault="00E0219E">
      <w:pPr>
        <w:pStyle w:val="Heading2"/>
        <w:jc w:val="center"/>
        <w:rPr>
          <w:rFonts w:eastAsia="Arial" w:cs="Arial"/>
          <w:sz w:val="24"/>
          <w:szCs w:val="24"/>
        </w:rPr>
      </w:pPr>
      <w:bookmarkStart w:id="75" w:name="_heading=h.43ky6rz" w:colFirst="0" w:colLast="0"/>
      <w:bookmarkEnd w:id="75"/>
      <w:r>
        <w:rPr>
          <w:rFonts w:eastAsia="Arial" w:cs="Arial"/>
          <w:sz w:val="24"/>
          <w:szCs w:val="24"/>
        </w:rPr>
        <w:lastRenderedPageBreak/>
        <w:t>Appendix D: Assessment and ICF Agreement</w:t>
      </w:r>
    </w:p>
    <w:p w14:paraId="1BE1EBE6" w14:textId="77777777" w:rsidR="007C6854" w:rsidRDefault="007C6854"/>
    <w:p w14:paraId="45238C6E" w14:textId="77777777" w:rsidR="007C6854" w:rsidRDefault="00E0219E">
      <w:pPr>
        <w:spacing w:after="160" w:line="360" w:lineRule="auto"/>
        <w:rPr>
          <w:rFonts w:eastAsia="Arial" w:cs="Arial"/>
          <w:b/>
          <w:szCs w:val="24"/>
        </w:rPr>
      </w:pPr>
      <w:r>
        <w:rPr>
          <w:rFonts w:eastAsia="Arial" w:cs="Arial"/>
          <w:b/>
          <w:szCs w:val="24"/>
        </w:rPr>
        <w:t xml:space="preserve">Informed Consent Form: </w:t>
      </w:r>
      <w:hyperlink r:id="rId229">
        <w:r>
          <w:rPr>
            <w:rFonts w:eastAsia="Arial" w:cs="Arial"/>
            <w:b/>
            <w:color w:val="1155CC"/>
            <w:szCs w:val="24"/>
            <w:u w:val="single"/>
          </w:rPr>
          <w:t>3-IH300_INFORMED CONSENT.docx</w:t>
        </w:r>
      </w:hyperlink>
    </w:p>
    <w:p w14:paraId="7FCF3970" w14:textId="77777777" w:rsidR="007C6854" w:rsidRDefault="00E0219E">
      <w:pPr>
        <w:spacing w:after="160" w:line="259" w:lineRule="auto"/>
        <w:ind w:firstLine="425"/>
        <w:rPr>
          <w:rFonts w:eastAsia="Arial" w:cs="Arial"/>
          <w:szCs w:val="24"/>
        </w:rPr>
      </w:pPr>
      <w:r>
        <w:rPr>
          <w:rFonts w:eastAsia="Arial" w:cs="Arial"/>
          <w:szCs w:val="24"/>
        </w:rPr>
        <w:t>The total number and percentage of participants assessed on COVID-19. More so, it showed how many participants were included in the survey and those who agreed voluntarily.</w:t>
      </w:r>
    </w:p>
    <w:p w14:paraId="4BDB89F4" w14:textId="77777777" w:rsidR="007C6854" w:rsidRDefault="00E0219E">
      <w:pPr>
        <w:spacing w:after="0" w:line="259" w:lineRule="auto"/>
        <w:rPr>
          <w:rFonts w:eastAsia="Arial" w:cs="Arial"/>
          <w:szCs w:val="24"/>
        </w:rPr>
      </w:pPr>
      <w:r>
        <w:rPr>
          <w:rFonts w:eastAsia="Arial" w:cs="Arial"/>
          <w:szCs w:val="24"/>
        </w:rPr>
        <w:t>COVID-19 Assessment and ICF Agreement between the Interviewer and the participants</w:t>
      </w:r>
    </w:p>
    <w:p w14:paraId="404830AE" w14:textId="77777777" w:rsidR="007C6854" w:rsidRDefault="007C6854">
      <w:pPr>
        <w:spacing w:after="0" w:line="259" w:lineRule="auto"/>
        <w:rPr>
          <w:rFonts w:eastAsia="Arial" w:cs="Arial"/>
          <w:szCs w:val="24"/>
        </w:rPr>
      </w:pPr>
    </w:p>
    <w:tbl>
      <w:tblPr>
        <w:tblStyle w:val="afffe"/>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2385"/>
        <w:gridCol w:w="2325"/>
      </w:tblGrid>
      <w:tr w:rsidR="007C6854" w14:paraId="454B0505" w14:textId="77777777">
        <w:tc>
          <w:tcPr>
            <w:tcW w:w="4245" w:type="dxa"/>
          </w:tcPr>
          <w:p w14:paraId="2C80514A" w14:textId="77777777" w:rsidR="007C6854" w:rsidRDefault="007C6854">
            <w:pPr>
              <w:spacing w:line="259" w:lineRule="auto"/>
              <w:jc w:val="center"/>
              <w:rPr>
                <w:rFonts w:eastAsia="Arial" w:cs="Arial"/>
                <w:b/>
                <w:szCs w:val="24"/>
              </w:rPr>
            </w:pPr>
          </w:p>
        </w:tc>
        <w:tc>
          <w:tcPr>
            <w:tcW w:w="2385" w:type="dxa"/>
          </w:tcPr>
          <w:p w14:paraId="51BB41B3" w14:textId="77777777" w:rsidR="007C6854" w:rsidRDefault="00E0219E">
            <w:pPr>
              <w:spacing w:line="259" w:lineRule="auto"/>
              <w:jc w:val="center"/>
              <w:rPr>
                <w:rFonts w:eastAsia="Arial" w:cs="Arial"/>
                <w:b/>
                <w:szCs w:val="24"/>
              </w:rPr>
            </w:pPr>
            <w:r>
              <w:rPr>
                <w:rFonts w:eastAsia="Arial" w:cs="Arial"/>
                <w:b/>
                <w:szCs w:val="24"/>
              </w:rPr>
              <w:t>Count (%)</w:t>
            </w:r>
          </w:p>
        </w:tc>
        <w:tc>
          <w:tcPr>
            <w:tcW w:w="2325" w:type="dxa"/>
          </w:tcPr>
          <w:p w14:paraId="17D44440" w14:textId="77777777" w:rsidR="007C6854" w:rsidRDefault="00E0219E">
            <w:pPr>
              <w:spacing w:line="259" w:lineRule="auto"/>
              <w:jc w:val="center"/>
              <w:rPr>
                <w:rFonts w:eastAsia="Arial" w:cs="Arial"/>
                <w:b/>
                <w:szCs w:val="24"/>
              </w:rPr>
            </w:pPr>
            <w:r>
              <w:rPr>
                <w:rFonts w:eastAsia="Arial" w:cs="Arial"/>
                <w:b/>
                <w:szCs w:val="24"/>
              </w:rPr>
              <w:t>Freq (%)</w:t>
            </w:r>
          </w:p>
        </w:tc>
      </w:tr>
      <w:tr w:rsidR="007C6854" w14:paraId="3011C58C" w14:textId="77777777">
        <w:tc>
          <w:tcPr>
            <w:tcW w:w="4245" w:type="dxa"/>
          </w:tcPr>
          <w:p w14:paraId="6A0C6C60" w14:textId="77777777" w:rsidR="007C6854" w:rsidRDefault="00E0219E">
            <w:pPr>
              <w:spacing w:line="259" w:lineRule="auto"/>
              <w:rPr>
                <w:rFonts w:eastAsia="Arial" w:cs="Arial"/>
                <w:szCs w:val="24"/>
              </w:rPr>
            </w:pPr>
            <w:r>
              <w:rPr>
                <w:rFonts w:eastAsia="Arial" w:cs="Arial"/>
                <w:szCs w:val="24"/>
              </w:rPr>
              <w:t xml:space="preserve">Number and Percentage of participants who were assessed on COVID and have no signs of COVID symptoms using the Health Declaration Form </w:t>
            </w:r>
            <w:r>
              <w:rPr>
                <w:rFonts w:eastAsia="Arial" w:cs="Arial"/>
                <w:i/>
                <w:szCs w:val="24"/>
              </w:rPr>
              <w:t>(N=153)</w:t>
            </w:r>
          </w:p>
        </w:tc>
        <w:tc>
          <w:tcPr>
            <w:tcW w:w="2385" w:type="dxa"/>
          </w:tcPr>
          <w:p w14:paraId="79A69DBA" w14:textId="77777777" w:rsidR="007C6854" w:rsidRDefault="00E0219E">
            <w:pPr>
              <w:spacing w:line="259" w:lineRule="auto"/>
              <w:jc w:val="center"/>
              <w:rPr>
                <w:rFonts w:eastAsia="Arial" w:cs="Arial"/>
                <w:szCs w:val="24"/>
              </w:rPr>
            </w:pPr>
            <w:r>
              <w:rPr>
                <w:rFonts w:eastAsia="Arial" w:cs="Arial"/>
                <w:szCs w:val="24"/>
              </w:rPr>
              <w:t>151/153</w:t>
            </w:r>
          </w:p>
        </w:tc>
        <w:tc>
          <w:tcPr>
            <w:tcW w:w="2325" w:type="dxa"/>
          </w:tcPr>
          <w:p w14:paraId="07FDD645" w14:textId="77777777" w:rsidR="007C6854" w:rsidRDefault="00E0219E">
            <w:pPr>
              <w:spacing w:line="259" w:lineRule="auto"/>
              <w:jc w:val="center"/>
              <w:rPr>
                <w:rFonts w:eastAsia="Arial" w:cs="Arial"/>
                <w:szCs w:val="24"/>
              </w:rPr>
            </w:pPr>
            <w:r>
              <w:rPr>
                <w:rFonts w:eastAsia="Arial" w:cs="Arial"/>
                <w:szCs w:val="24"/>
              </w:rPr>
              <w:t>98.7</w:t>
            </w:r>
          </w:p>
        </w:tc>
      </w:tr>
      <w:tr w:rsidR="007C6854" w14:paraId="5C474E6B" w14:textId="77777777">
        <w:tc>
          <w:tcPr>
            <w:tcW w:w="4245" w:type="dxa"/>
          </w:tcPr>
          <w:p w14:paraId="34D45358" w14:textId="77777777" w:rsidR="007C6854" w:rsidRDefault="00E0219E">
            <w:pPr>
              <w:spacing w:line="259" w:lineRule="auto"/>
              <w:rPr>
                <w:rFonts w:eastAsia="Arial" w:cs="Arial"/>
                <w:szCs w:val="24"/>
              </w:rPr>
            </w:pPr>
            <w:r>
              <w:rPr>
                <w:rFonts w:eastAsia="Arial" w:cs="Arial"/>
                <w:szCs w:val="24"/>
              </w:rPr>
              <w:t xml:space="preserve">Number and Percentage of Participants administered ICF and agreed to be included in the survey </w:t>
            </w:r>
            <w:r>
              <w:rPr>
                <w:rFonts w:eastAsia="Arial" w:cs="Arial"/>
                <w:i/>
                <w:szCs w:val="24"/>
              </w:rPr>
              <w:t>(N=151)</w:t>
            </w:r>
          </w:p>
        </w:tc>
        <w:tc>
          <w:tcPr>
            <w:tcW w:w="2385" w:type="dxa"/>
          </w:tcPr>
          <w:p w14:paraId="508E1562" w14:textId="77777777" w:rsidR="007C6854" w:rsidRDefault="00E0219E">
            <w:pPr>
              <w:spacing w:line="259" w:lineRule="auto"/>
              <w:jc w:val="center"/>
              <w:rPr>
                <w:rFonts w:eastAsia="Arial" w:cs="Arial"/>
                <w:szCs w:val="24"/>
              </w:rPr>
            </w:pPr>
            <w:r>
              <w:rPr>
                <w:rFonts w:eastAsia="Arial" w:cs="Arial"/>
                <w:szCs w:val="24"/>
              </w:rPr>
              <w:t>151</w:t>
            </w:r>
          </w:p>
        </w:tc>
        <w:tc>
          <w:tcPr>
            <w:tcW w:w="2325" w:type="dxa"/>
          </w:tcPr>
          <w:p w14:paraId="75D73634" w14:textId="77777777" w:rsidR="007C6854" w:rsidRDefault="00E0219E">
            <w:pPr>
              <w:spacing w:line="259" w:lineRule="auto"/>
              <w:jc w:val="center"/>
              <w:rPr>
                <w:rFonts w:eastAsia="Arial" w:cs="Arial"/>
                <w:szCs w:val="24"/>
              </w:rPr>
            </w:pPr>
            <w:r>
              <w:rPr>
                <w:rFonts w:eastAsia="Arial" w:cs="Arial"/>
                <w:szCs w:val="24"/>
              </w:rPr>
              <w:t>100</w:t>
            </w:r>
          </w:p>
        </w:tc>
      </w:tr>
    </w:tbl>
    <w:p w14:paraId="36983D82" w14:textId="77777777" w:rsidR="007C6854" w:rsidRDefault="007C6854">
      <w:pPr>
        <w:spacing w:after="160" w:line="259" w:lineRule="auto"/>
        <w:rPr>
          <w:rFonts w:eastAsia="Arial" w:cs="Arial"/>
          <w:b/>
          <w:szCs w:val="24"/>
        </w:rPr>
      </w:pPr>
    </w:p>
    <w:p w14:paraId="097C6784" w14:textId="77777777" w:rsidR="007C6854" w:rsidRDefault="00E0219E">
      <w:pPr>
        <w:pStyle w:val="Heading2"/>
        <w:jc w:val="center"/>
        <w:rPr>
          <w:rFonts w:eastAsia="Arial" w:cs="Arial"/>
          <w:sz w:val="24"/>
          <w:szCs w:val="24"/>
        </w:rPr>
      </w:pPr>
      <w:bookmarkStart w:id="76" w:name="_heading=h.2iq8gzs" w:colFirst="0" w:colLast="0"/>
      <w:bookmarkEnd w:id="76"/>
      <w:r>
        <w:rPr>
          <w:rFonts w:eastAsia="Arial" w:cs="Arial"/>
          <w:sz w:val="24"/>
          <w:szCs w:val="24"/>
        </w:rPr>
        <w:t>Appendix E: Survey Questionnaire</w:t>
      </w:r>
    </w:p>
    <w:p w14:paraId="049BEAC7" w14:textId="77777777" w:rsidR="007C6854" w:rsidRDefault="007C6854">
      <w:pPr>
        <w:pBdr>
          <w:top w:val="nil"/>
          <w:left w:val="nil"/>
          <w:bottom w:val="nil"/>
          <w:right w:val="nil"/>
          <w:between w:val="nil"/>
        </w:pBdr>
        <w:spacing w:after="160" w:line="360" w:lineRule="auto"/>
        <w:rPr>
          <w:rFonts w:eastAsia="Arial" w:cs="Arial"/>
          <w:color w:val="000000"/>
          <w:szCs w:val="24"/>
        </w:rPr>
      </w:pPr>
    </w:p>
    <w:p w14:paraId="6C8A9421" w14:textId="77777777" w:rsidR="007C6854" w:rsidRDefault="00E0219E">
      <w:pPr>
        <w:pBdr>
          <w:top w:val="nil"/>
          <w:left w:val="nil"/>
          <w:bottom w:val="nil"/>
          <w:right w:val="nil"/>
          <w:between w:val="nil"/>
        </w:pBdr>
        <w:spacing w:after="160" w:line="360" w:lineRule="auto"/>
        <w:rPr>
          <w:rFonts w:eastAsia="Arial" w:cs="Arial"/>
          <w:color w:val="000000"/>
          <w:szCs w:val="24"/>
        </w:rPr>
      </w:pPr>
      <w:r>
        <w:rPr>
          <w:rFonts w:eastAsia="Arial" w:cs="Arial"/>
          <w:color w:val="000000"/>
          <w:szCs w:val="24"/>
        </w:rPr>
        <w:t xml:space="preserve">Survey Questionnaire Format: </w:t>
      </w:r>
      <w:hyperlink r:id="rId230">
        <w:r>
          <w:rPr>
            <w:rFonts w:eastAsia="Arial" w:cs="Arial"/>
            <w:color w:val="0000FF"/>
            <w:szCs w:val="24"/>
            <w:u w:val="single"/>
          </w:rPr>
          <w:t>https://ee.kobotoolbox.org/x/IYbriDUP</w:t>
        </w:r>
      </w:hyperlink>
      <w:r>
        <w:rPr>
          <w:rFonts w:eastAsia="Arial" w:cs="Arial"/>
          <w:color w:val="000000"/>
          <w:szCs w:val="24"/>
        </w:rPr>
        <w:t xml:space="preserve"> </w:t>
      </w:r>
    </w:p>
    <w:p w14:paraId="1B61ACE7" w14:textId="77777777" w:rsidR="007C6854" w:rsidRDefault="00E0219E">
      <w:pPr>
        <w:spacing w:after="160" w:line="259" w:lineRule="auto"/>
        <w:rPr>
          <w:rFonts w:eastAsia="Arial" w:cs="Arial"/>
          <w:b/>
          <w:color w:val="000000"/>
          <w:szCs w:val="24"/>
        </w:rPr>
      </w:pPr>
      <w:r>
        <w:br w:type="page"/>
      </w:r>
    </w:p>
    <w:p w14:paraId="0D32D796" w14:textId="77777777" w:rsidR="007C6854" w:rsidRDefault="00E0219E">
      <w:pPr>
        <w:pStyle w:val="Heading2"/>
        <w:jc w:val="center"/>
        <w:rPr>
          <w:rFonts w:eastAsia="Arial" w:cs="Arial"/>
          <w:sz w:val="24"/>
          <w:szCs w:val="24"/>
        </w:rPr>
      </w:pPr>
      <w:bookmarkStart w:id="77" w:name="_heading=h.xvir7l" w:colFirst="0" w:colLast="0"/>
      <w:bookmarkEnd w:id="77"/>
      <w:r>
        <w:rPr>
          <w:rFonts w:eastAsia="Arial" w:cs="Arial"/>
          <w:sz w:val="24"/>
          <w:szCs w:val="24"/>
        </w:rPr>
        <w:lastRenderedPageBreak/>
        <w:t>Appendix F: International Society of Hypertension Guidelines</w:t>
      </w:r>
    </w:p>
    <w:p w14:paraId="72855BC6" w14:textId="77777777" w:rsidR="007C6854" w:rsidRDefault="007C6854"/>
    <w:p w14:paraId="011EA34F" w14:textId="77777777" w:rsidR="007C6854" w:rsidRDefault="00E0219E">
      <w:pPr>
        <w:pBdr>
          <w:top w:val="nil"/>
          <w:left w:val="nil"/>
          <w:bottom w:val="nil"/>
          <w:right w:val="nil"/>
          <w:between w:val="nil"/>
        </w:pBdr>
        <w:spacing w:after="160" w:line="360" w:lineRule="auto"/>
        <w:rPr>
          <w:rFonts w:eastAsia="Arial" w:cs="Arial"/>
          <w:szCs w:val="24"/>
        </w:rPr>
      </w:pPr>
      <w:r>
        <w:rPr>
          <w:rFonts w:eastAsia="Arial" w:cs="Arial"/>
          <w:szCs w:val="24"/>
        </w:rPr>
        <w:t>Classification of Hypertension based on Office Blood Pressure (BP) Measurement (Unger, T., 2020)</w:t>
      </w:r>
    </w:p>
    <w:tbl>
      <w:tblPr>
        <w:tblStyle w:val="affff"/>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325"/>
        <w:gridCol w:w="1140"/>
        <w:gridCol w:w="2340"/>
      </w:tblGrid>
      <w:tr w:rsidR="007C6854" w14:paraId="022A64D3" w14:textId="77777777">
        <w:trPr>
          <w:trHeight w:val="501"/>
          <w:jc w:val="center"/>
        </w:trPr>
        <w:tc>
          <w:tcPr>
            <w:tcW w:w="2835" w:type="dxa"/>
            <w:shd w:val="clear" w:color="auto" w:fill="auto"/>
            <w:tcMar>
              <w:top w:w="100" w:type="dxa"/>
              <w:left w:w="100" w:type="dxa"/>
              <w:bottom w:w="100" w:type="dxa"/>
              <w:right w:w="100" w:type="dxa"/>
            </w:tcMar>
            <w:vAlign w:val="center"/>
          </w:tcPr>
          <w:p w14:paraId="0F6BC23A" w14:textId="77777777" w:rsidR="007C6854" w:rsidRDefault="00E0219E">
            <w:pPr>
              <w:widowControl w:val="0"/>
              <w:pBdr>
                <w:top w:val="nil"/>
                <w:left w:val="nil"/>
                <w:bottom w:val="nil"/>
                <w:right w:val="nil"/>
                <w:between w:val="nil"/>
              </w:pBdr>
              <w:rPr>
                <w:rFonts w:eastAsia="Arial" w:cs="Arial"/>
                <w:b/>
                <w:szCs w:val="24"/>
              </w:rPr>
            </w:pPr>
            <w:r>
              <w:rPr>
                <w:rFonts w:eastAsia="Arial" w:cs="Arial"/>
                <w:b/>
                <w:szCs w:val="24"/>
              </w:rPr>
              <w:t>Category</w:t>
            </w:r>
          </w:p>
        </w:tc>
        <w:tc>
          <w:tcPr>
            <w:tcW w:w="2325" w:type="dxa"/>
            <w:shd w:val="clear" w:color="auto" w:fill="auto"/>
            <w:tcMar>
              <w:top w:w="100" w:type="dxa"/>
              <w:left w:w="100" w:type="dxa"/>
              <w:bottom w:w="100" w:type="dxa"/>
              <w:right w:w="100" w:type="dxa"/>
            </w:tcMar>
            <w:vAlign w:val="center"/>
          </w:tcPr>
          <w:p w14:paraId="3406EB36" w14:textId="77777777" w:rsidR="007C6854" w:rsidRDefault="00E0219E">
            <w:pPr>
              <w:widowControl w:val="0"/>
              <w:pBdr>
                <w:top w:val="nil"/>
                <w:left w:val="nil"/>
                <w:bottom w:val="nil"/>
                <w:right w:val="nil"/>
                <w:between w:val="nil"/>
              </w:pBdr>
              <w:jc w:val="center"/>
              <w:rPr>
                <w:rFonts w:eastAsia="Arial" w:cs="Arial"/>
                <w:b/>
                <w:szCs w:val="24"/>
              </w:rPr>
            </w:pPr>
            <w:r>
              <w:rPr>
                <w:rFonts w:eastAsia="Arial" w:cs="Arial"/>
                <w:b/>
                <w:szCs w:val="24"/>
              </w:rPr>
              <w:t>Systolic (mm Hg)</w:t>
            </w:r>
          </w:p>
        </w:tc>
        <w:tc>
          <w:tcPr>
            <w:tcW w:w="1140" w:type="dxa"/>
            <w:shd w:val="clear" w:color="auto" w:fill="auto"/>
            <w:tcMar>
              <w:top w:w="100" w:type="dxa"/>
              <w:left w:w="100" w:type="dxa"/>
              <w:bottom w:w="100" w:type="dxa"/>
              <w:right w:w="100" w:type="dxa"/>
            </w:tcMar>
            <w:vAlign w:val="center"/>
          </w:tcPr>
          <w:p w14:paraId="087A482E" w14:textId="77777777" w:rsidR="007C6854" w:rsidRDefault="007C6854">
            <w:pPr>
              <w:widowControl w:val="0"/>
              <w:pBdr>
                <w:top w:val="nil"/>
                <w:left w:val="nil"/>
                <w:bottom w:val="nil"/>
                <w:right w:val="nil"/>
                <w:between w:val="nil"/>
              </w:pBdr>
              <w:jc w:val="center"/>
              <w:rPr>
                <w:rFonts w:eastAsia="Arial" w:cs="Arial"/>
                <w:b/>
                <w:szCs w:val="24"/>
              </w:rPr>
            </w:pPr>
          </w:p>
        </w:tc>
        <w:tc>
          <w:tcPr>
            <w:tcW w:w="2340" w:type="dxa"/>
            <w:shd w:val="clear" w:color="auto" w:fill="auto"/>
            <w:tcMar>
              <w:top w:w="100" w:type="dxa"/>
              <w:left w:w="100" w:type="dxa"/>
              <w:bottom w:w="100" w:type="dxa"/>
              <w:right w:w="100" w:type="dxa"/>
            </w:tcMar>
            <w:vAlign w:val="center"/>
          </w:tcPr>
          <w:p w14:paraId="562FC877" w14:textId="77777777" w:rsidR="007C6854" w:rsidRDefault="00E0219E">
            <w:pPr>
              <w:widowControl w:val="0"/>
              <w:pBdr>
                <w:top w:val="nil"/>
                <w:left w:val="nil"/>
                <w:bottom w:val="nil"/>
                <w:right w:val="nil"/>
                <w:between w:val="nil"/>
              </w:pBdr>
              <w:jc w:val="center"/>
              <w:rPr>
                <w:rFonts w:eastAsia="Arial" w:cs="Arial"/>
                <w:b/>
                <w:szCs w:val="24"/>
              </w:rPr>
            </w:pPr>
            <w:r>
              <w:rPr>
                <w:rFonts w:eastAsia="Arial" w:cs="Arial"/>
                <w:b/>
                <w:szCs w:val="24"/>
              </w:rPr>
              <w:t>Diastolic (mm Hg)</w:t>
            </w:r>
          </w:p>
        </w:tc>
      </w:tr>
      <w:tr w:rsidR="007C6854" w14:paraId="5DCA261E" w14:textId="77777777">
        <w:trPr>
          <w:trHeight w:val="500"/>
          <w:jc w:val="center"/>
        </w:trPr>
        <w:tc>
          <w:tcPr>
            <w:tcW w:w="2835" w:type="dxa"/>
            <w:shd w:val="clear" w:color="auto" w:fill="auto"/>
            <w:tcMar>
              <w:top w:w="100" w:type="dxa"/>
              <w:left w:w="100" w:type="dxa"/>
              <w:bottom w:w="100" w:type="dxa"/>
              <w:right w:w="100" w:type="dxa"/>
            </w:tcMar>
          </w:tcPr>
          <w:p w14:paraId="2F6A9785" w14:textId="77777777" w:rsidR="007C6854" w:rsidRDefault="00E0219E">
            <w:pPr>
              <w:widowControl w:val="0"/>
              <w:pBdr>
                <w:top w:val="nil"/>
                <w:left w:val="nil"/>
                <w:bottom w:val="nil"/>
                <w:right w:val="nil"/>
                <w:between w:val="nil"/>
              </w:pBdr>
              <w:rPr>
                <w:rFonts w:eastAsia="Arial" w:cs="Arial"/>
                <w:szCs w:val="24"/>
              </w:rPr>
            </w:pPr>
            <w:r>
              <w:rPr>
                <w:rFonts w:eastAsia="Arial" w:cs="Arial"/>
                <w:szCs w:val="24"/>
              </w:rPr>
              <w:t>Normal BP</w:t>
            </w:r>
          </w:p>
        </w:tc>
        <w:tc>
          <w:tcPr>
            <w:tcW w:w="2325" w:type="dxa"/>
            <w:shd w:val="clear" w:color="auto" w:fill="auto"/>
            <w:tcMar>
              <w:top w:w="100" w:type="dxa"/>
              <w:left w:w="100" w:type="dxa"/>
              <w:bottom w:w="100" w:type="dxa"/>
              <w:right w:w="100" w:type="dxa"/>
            </w:tcMar>
            <w:vAlign w:val="center"/>
          </w:tcPr>
          <w:p w14:paraId="27438AE2"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&lt;130</w:t>
            </w:r>
          </w:p>
        </w:tc>
        <w:tc>
          <w:tcPr>
            <w:tcW w:w="1140" w:type="dxa"/>
            <w:shd w:val="clear" w:color="auto" w:fill="auto"/>
            <w:tcMar>
              <w:top w:w="100" w:type="dxa"/>
              <w:left w:w="100" w:type="dxa"/>
              <w:bottom w:w="100" w:type="dxa"/>
              <w:right w:w="100" w:type="dxa"/>
            </w:tcMar>
            <w:vAlign w:val="center"/>
          </w:tcPr>
          <w:p w14:paraId="6533C81B"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and</w:t>
            </w:r>
          </w:p>
        </w:tc>
        <w:tc>
          <w:tcPr>
            <w:tcW w:w="2340" w:type="dxa"/>
            <w:shd w:val="clear" w:color="auto" w:fill="auto"/>
            <w:tcMar>
              <w:top w:w="100" w:type="dxa"/>
              <w:left w:w="100" w:type="dxa"/>
              <w:bottom w:w="100" w:type="dxa"/>
              <w:right w:w="100" w:type="dxa"/>
            </w:tcMar>
            <w:vAlign w:val="center"/>
          </w:tcPr>
          <w:p w14:paraId="0E90A301"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&lt;85</w:t>
            </w:r>
          </w:p>
        </w:tc>
      </w:tr>
      <w:tr w:rsidR="007C6854" w14:paraId="705FA979" w14:textId="77777777">
        <w:trPr>
          <w:trHeight w:val="500"/>
          <w:jc w:val="center"/>
        </w:trPr>
        <w:tc>
          <w:tcPr>
            <w:tcW w:w="2835" w:type="dxa"/>
            <w:shd w:val="clear" w:color="auto" w:fill="auto"/>
            <w:tcMar>
              <w:top w:w="100" w:type="dxa"/>
              <w:left w:w="100" w:type="dxa"/>
              <w:bottom w:w="100" w:type="dxa"/>
              <w:right w:w="100" w:type="dxa"/>
            </w:tcMar>
          </w:tcPr>
          <w:p w14:paraId="2F25350D" w14:textId="77777777" w:rsidR="007C6854" w:rsidRDefault="00E0219E">
            <w:pPr>
              <w:widowControl w:val="0"/>
              <w:pBdr>
                <w:top w:val="nil"/>
                <w:left w:val="nil"/>
                <w:bottom w:val="nil"/>
                <w:right w:val="nil"/>
                <w:between w:val="nil"/>
              </w:pBdr>
              <w:rPr>
                <w:rFonts w:eastAsia="Arial" w:cs="Arial"/>
                <w:szCs w:val="24"/>
              </w:rPr>
            </w:pPr>
            <w:r>
              <w:rPr>
                <w:rFonts w:eastAsia="Arial" w:cs="Arial"/>
                <w:szCs w:val="24"/>
              </w:rPr>
              <w:t>High-normal BP</w:t>
            </w:r>
          </w:p>
        </w:tc>
        <w:tc>
          <w:tcPr>
            <w:tcW w:w="2325" w:type="dxa"/>
            <w:shd w:val="clear" w:color="auto" w:fill="auto"/>
            <w:tcMar>
              <w:top w:w="100" w:type="dxa"/>
              <w:left w:w="100" w:type="dxa"/>
              <w:bottom w:w="100" w:type="dxa"/>
              <w:right w:w="100" w:type="dxa"/>
            </w:tcMar>
            <w:vAlign w:val="center"/>
          </w:tcPr>
          <w:p w14:paraId="4170F9A2"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130 - 139</w:t>
            </w:r>
          </w:p>
        </w:tc>
        <w:tc>
          <w:tcPr>
            <w:tcW w:w="1140" w:type="dxa"/>
            <w:shd w:val="clear" w:color="auto" w:fill="auto"/>
            <w:tcMar>
              <w:top w:w="100" w:type="dxa"/>
              <w:left w:w="100" w:type="dxa"/>
              <w:bottom w:w="100" w:type="dxa"/>
              <w:right w:w="100" w:type="dxa"/>
            </w:tcMar>
            <w:vAlign w:val="center"/>
          </w:tcPr>
          <w:p w14:paraId="26258163"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and/or</w:t>
            </w:r>
          </w:p>
        </w:tc>
        <w:tc>
          <w:tcPr>
            <w:tcW w:w="2340" w:type="dxa"/>
            <w:shd w:val="clear" w:color="auto" w:fill="auto"/>
            <w:tcMar>
              <w:top w:w="100" w:type="dxa"/>
              <w:left w:w="100" w:type="dxa"/>
              <w:bottom w:w="100" w:type="dxa"/>
              <w:right w:w="100" w:type="dxa"/>
            </w:tcMar>
            <w:vAlign w:val="center"/>
          </w:tcPr>
          <w:p w14:paraId="07E17C06"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85 - 89</w:t>
            </w:r>
          </w:p>
        </w:tc>
      </w:tr>
      <w:tr w:rsidR="007C6854" w14:paraId="536B55F7" w14:textId="77777777">
        <w:trPr>
          <w:trHeight w:val="500"/>
          <w:jc w:val="center"/>
        </w:trPr>
        <w:tc>
          <w:tcPr>
            <w:tcW w:w="2835" w:type="dxa"/>
            <w:shd w:val="clear" w:color="auto" w:fill="auto"/>
            <w:tcMar>
              <w:top w:w="100" w:type="dxa"/>
              <w:left w:w="100" w:type="dxa"/>
              <w:bottom w:w="100" w:type="dxa"/>
              <w:right w:w="100" w:type="dxa"/>
            </w:tcMar>
          </w:tcPr>
          <w:p w14:paraId="20F5891C" w14:textId="77777777" w:rsidR="007C6854" w:rsidRDefault="00E0219E">
            <w:pPr>
              <w:widowControl w:val="0"/>
              <w:pBdr>
                <w:top w:val="nil"/>
                <w:left w:val="nil"/>
                <w:bottom w:val="nil"/>
                <w:right w:val="nil"/>
                <w:between w:val="nil"/>
              </w:pBdr>
              <w:rPr>
                <w:rFonts w:eastAsia="Arial" w:cs="Arial"/>
                <w:szCs w:val="24"/>
              </w:rPr>
            </w:pPr>
            <w:r>
              <w:rPr>
                <w:rFonts w:eastAsia="Arial" w:cs="Arial"/>
                <w:szCs w:val="24"/>
              </w:rPr>
              <w:t>Grade 1 Hypertension</w:t>
            </w:r>
          </w:p>
        </w:tc>
        <w:tc>
          <w:tcPr>
            <w:tcW w:w="2325" w:type="dxa"/>
            <w:shd w:val="clear" w:color="auto" w:fill="auto"/>
            <w:tcMar>
              <w:top w:w="100" w:type="dxa"/>
              <w:left w:w="100" w:type="dxa"/>
              <w:bottom w:w="100" w:type="dxa"/>
              <w:right w:w="100" w:type="dxa"/>
            </w:tcMar>
            <w:vAlign w:val="center"/>
          </w:tcPr>
          <w:p w14:paraId="0699BE48"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140 - 159</w:t>
            </w:r>
          </w:p>
        </w:tc>
        <w:tc>
          <w:tcPr>
            <w:tcW w:w="1140" w:type="dxa"/>
            <w:shd w:val="clear" w:color="auto" w:fill="auto"/>
            <w:tcMar>
              <w:top w:w="100" w:type="dxa"/>
              <w:left w:w="100" w:type="dxa"/>
              <w:bottom w:w="100" w:type="dxa"/>
              <w:right w:w="100" w:type="dxa"/>
            </w:tcMar>
            <w:vAlign w:val="center"/>
          </w:tcPr>
          <w:p w14:paraId="53259218"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and/or</w:t>
            </w:r>
          </w:p>
        </w:tc>
        <w:tc>
          <w:tcPr>
            <w:tcW w:w="2340" w:type="dxa"/>
            <w:shd w:val="clear" w:color="auto" w:fill="auto"/>
            <w:tcMar>
              <w:top w:w="100" w:type="dxa"/>
              <w:left w:w="100" w:type="dxa"/>
              <w:bottom w:w="100" w:type="dxa"/>
              <w:right w:w="100" w:type="dxa"/>
            </w:tcMar>
            <w:vAlign w:val="center"/>
          </w:tcPr>
          <w:p w14:paraId="63627690"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90 - 99</w:t>
            </w:r>
          </w:p>
        </w:tc>
      </w:tr>
      <w:tr w:rsidR="007C6854" w14:paraId="197455DB" w14:textId="77777777">
        <w:trPr>
          <w:cantSplit/>
          <w:trHeight w:val="501"/>
          <w:jc w:val="center"/>
        </w:trPr>
        <w:tc>
          <w:tcPr>
            <w:tcW w:w="2835" w:type="dxa"/>
            <w:shd w:val="clear" w:color="auto" w:fill="auto"/>
            <w:tcMar>
              <w:top w:w="100" w:type="dxa"/>
              <w:left w:w="100" w:type="dxa"/>
              <w:bottom w:w="100" w:type="dxa"/>
              <w:right w:w="100" w:type="dxa"/>
            </w:tcMar>
          </w:tcPr>
          <w:p w14:paraId="57CDD4E6" w14:textId="77777777" w:rsidR="007C6854" w:rsidRDefault="00E0219E">
            <w:pPr>
              <w:widowControl w:val="0"/>
              <w:pBdr>
                <w:top w:val="nil"/>
                <w:left w:val="nil"/>
                <w:bottom w:val="nil"/>
                <w:right w:val="nil"/>
                <w:between w:val="nil"/>
              </w:pBdr>
              <w:rPr>
                <w:rFonts w:eastAsia="Arial" w:cs="Arial"/>
                <w:szCs w:val="24"/>
              </w:rPr>
            </w:pPr>
            <w:r>
              <w:rPr>
                <w:rFonts w:eastAsia="Arial" w:cs="Arial"/>
                <w:szCs w:val="24"/>
              </w:rPr>
              <w:t>Grade 2 Hypertension</w:t>
            </w:r>
          </w:p>
        </w:tc>
        <w:tc>
          <w:tcPr>
            <w:tcW w:w="2325" w:type="dxa"/>
            <w:shd w:val="clear" w:color="auto" w:fill="auto"/>
            <w:tcMar>
              <w:top w:w="100" w:type="dxa"/>
              <w:left w:w="100" w:type="dxa"/>
              <w:bottom w:w="100" w:type="dxa"/>
              <w:right w:w="100" w:type="dxa"/>
            </w:tcMar>
            <w:vAlign w:val="center"/>
          </w:tcPr>
          <w:p w14:paraId="0E6D522D" w14:textId="77777777" w:rsidR="007C6854" w:rsidRDefault="00000000">
            <w:pPr>
              <w:widowControl w:val="0"/>
              <w:pBdr>
                <w:top w:val="nil"/>
                <w:left w:val="nil"/>
                <w:bottom w:val="nil"/>
                <w:right w:val="nil"/>
                <w:between w:val="nil"/>
              </w:pBdr>
              <w:jc w:val="center"/>
              <w:rPr>
                <w:rFonts w:eastAsia="Arial" w:cs="Arial"/>
                <w:szCs w:val="24"/>
              </w:rPr>
            </w:pPr>
            <w:sdt>
              <w:sdtPr>
                <w:tag w:val="goog_rdk_12"/>
                <w:id w:val="-1043368129"/>
              </w:sdtPr>
              <w:sdtContent>
                <w:r w:rsidR="00E0219E">
                  <w:rPr>
                    <w:rFonts w:ascii="Arial Unicode MS" w:eastAsia="Arial Unicode MS" w:hAnsi="Arial Unicode MS" w:cs="Arial Unicode MS"/>
                    <w:szCs w:val="24"/>
                  </w:rPr>
                  <w:t>≤160</w:t>
                </w:r>
              </w:sdtContent>
            </w:sdt>
          </w:p>
        </w:tc>
        <w:tc>
          <w:tcPr>
            <w:tcW w:w="1140" w:type="dxa"/>
            <w:shd w:val="clear" w:color="auto" w:fill="auto"/>
            <w:tcMar>
              <w:top w:w="100" w:type="dxa"/>
              <w:left w:w="100" w:type="dxa"/>
              <w:bottom w:w="100" w:type="dxa"/>
              <w:right w:w="100" w:type="dxa"/>
            </w:tcMar>
            <w:vAlign w:val="center"/>
          </w:tcPr>
          <w:p w14:paraId="12F63AED" w14:textId="77777777" w:rsidR="007C6854" w:rsidRDefault="00E0219E">
            <w:pPr>
              <w:widowControl w:val="0"/>
              <w:pBdr>
                <w:top w:val="nil"/>
                <w:left w:val="nil"/>
                <w:bottom w:val="nil"/>
                <w:right w:val="nil"/>
                <w:between w:val="nil"/>
              </w:pBdr>
              <w:jc w:val="center"/>
              <w:rPr>
                <w:rFonts w:eastAsia="Arial" w:cs="Arial"/>
                <w:szCs w:val="24"/>
              </w:rPr>
            </w:pPr>
            <w:r>
              <w:rPr>
                <w:rFonts w:eastAsia="Arial" w:cs="Arial"/>
                <w:szCs w:val="24"/>
              </w:rPr>
              <w:t>and/or</w:t>
            </w:r>
          </w:p>
        </w:tc>
        <w:tc>
          <w:tcPr>
            <w:tcW w:w="2340" w:type="dxa"/>
            <w:shd w:val="clear" w:color="auto" w:fill="auto"/>
            <w:tcMar>
              <w:top w:w="100" w:type="dxa"/>
              <w:left w:w="100" w:type="dxa"/>
              <w:bottom w:w="100" w:type="dxa"/>
              <w:right w:w="100" w:type="dxa"/>
            </w:tcMar>
            <w:vAlign w:val="center"/>
          </w:tcPr>
          <w:p w14:paraId="0B3F60E1" w14:textId="77777777" w:rsidR="007C6854" w:rsidRDefault="00000000">
            <w:pPr>
              <w:widowControl w:val="0"/>
              <w:pBdr>
                <w:top w:val="nil"/>
                <w:left w:val="nil"/>
                <w:bottom w:val="nil"/>
                <w:right w:val="nil"/>
                <w:between w:val="nil"/>
              </w:pBdr>
              <w:jc w:val="center"/>
              <w:rPr>
                <w:rFonts w:eastAsia="Arial" w:cs="Arial"/>
                <w:szCs w:val="24"/>
              </w:rPr>
            </w:pPr>
            <w:sdt>
              <w:sdtPr>
                <w:tag w:val="goog_rdk_13"/>
                <w:id w:val="-74522700"/>
              </w:sdtPr>
              <w:sdtContent>
                <w:r w:rsidR="00E0219E">
                  <w:rPr>
                    <w:rFonts w:ascii="Arial Unicode MS" w:eastAsia="Arial Unicode MS" w:hAnsi="Arial Unicode MS" w:cs="Arial Unicode MS"/>
                    <w:szCs w:val="24"/>
                  </w:rPr>
                  <w:t>≥100</w:t>
                </w:r>
              </w:sdtContent>
            </w:sdt>
          </w:p>
        </w:tc>
      </w:tr>
    </w:tbl>
    <w:p w14:paraId="1F0E7C4A" w14:textId="77777777" w:rsidR="007C6854" w:rsidRDefault="007C6854">
      <w:pPr>
        <w:pBdr>
          <w:top w:val="nil"/>
          <w:left w:val="nil"/>
          <w:bottom w:val="nil"/>
          <w:right w:val="nil"/>
          <w:between w:val="nil"/>
        </w:pBdr>
        <w:spacing w:after="160" w:line="360" w:lineRule="auto"/>
        <w:rPr>
          <w:rFonts w:eastAsia="Arial" w:cs="Arial"/>
          <w:szCs w:val="24"/>
        </w:rPr>
      </w:pPr>
    </w:p>
    <w:p w14:paraId="09C2F289" w14:textId="77777777" w:rsidR="007C6854" w:rsidRDefault="00E0219E">
      <w:pPr>
        <w:pBdr>
          <w:top w:val="nil"/>
          <w:left w:val="nil"/>
          <w:bottom w:val="nil"/>
          <w:right w:val="nil"/>
          <w:between w:val="nil"/>
        </w:pBdr>
        <w:spacing w:after="160" w:line="360" w:lineRule="auto"/>
        <w:rPr>
          <w:rFonts w:eastAsia="Arial" w:cs="Arial"/>
          <w:szCs w:val="24"/>
        </w:rPr>
      </w:pPr>
      <w:r>
        <w:rPr>
          <w:rFonts w:eastAsia="Arial" w:cs="Arial"/>
          <w:szCs w:val="24"/>
        </w:rPr>
        <w:t>Criteria for Hypertension</w:t>
      </w:r>
    </w:p>
    <w:tbl>
      <w:tblPr>
        <w:tblStyle w:val="aff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7C6854" w14:paraId="145D17A4" w14:textId="77777777">
        <w:tc>
          <w:tcPr>
            <w:tcW w:w="4320" w:type="dxa"/>
            <w:shd w:val="clear" w:color="auto" w:fill="auto"/>
            <w:tcMar>
              <w:top w:w="100" w:type="dxa"/>
              <w:left w:w="100" w:type="dxa"/>
              <w:bottom w:w="100" w:type="dxa"/>
              <w:right w:w="100" w:type="dxa"/>
            </w:tcMar>
          </w:tcPr>
          <w:p w14:paraId="16DF2878" w14:textId="77777777" w:rsidR="007C6854" w:rsidRDefault="007C6854">
            <w:pPr>
              <w:widowControl w:val="0"/>
              <w:pBdr>
                <w:top w:val="nil"/>
                <w:left w:val="nil"/>
                <w:bottom w:val="nil"/>
                <w:right w:val="nil"/>
                <w:between w:val="nil"/>
              </w:pBdr>
              <w:rPr>
                <w:rFonts w:eastAsia="Arial" w:cs="Arial"/>
                <w:szCs w:val="24"/>
              </w:rPr>
            </w:pPr>
          </w:p>
        </w:tc>
        <w:tc>
          <w:tcPr>
            <w:tcW w:w="4320" w:type="dxa"/>
            <w:shd w:val="clear" w:color="auto" w:fill="auto"/>
            <w:tcMar>
              <w:top w:w="100" w:type="dxa"/>
              <w:left w:w="100" w:type="dxa"/>
              <w:bottom w:w="100" w:type="dxa"/>
              <w:right w:w="100" w:type="dxa"/>
            </w:tcMar>
          </w:tcPr>
          <w:p w14:paraId="0A204E00" w14:textId="77777777" w:rsidR="007C6854" w:rsidRDefault="00E0219E">
            <w:pPr>
              <w:widowControl w:val="0"/>
              <w:pBdr>
                <w:top w:val="nil"/>
                <w:left w:val="nil"/>
                <w:bottom w:val="nil"/>
                <w:right w:val="nil"/>
                <w:between w:val="nil"/>
              </w:pBdr>
              <w:jc w:val="center"/>
              <w:rPr>
                <w:rFonts w:eastAsia="Arial" w:cs="Arial"/>
                <w:b/>
                <w:szCs w:val="24"/>
              </w:rPr>
            </w:pPr>
            <w:r>
              <w:rPr>
                <w:rFonts w:eastAsia="Arial" w:cs="Arial"/>
                <w:b/>
                <w:szCs w:val="24"/>
              </w:rPr>
              <w:t>SBP/DBP, mm Hg</w:t>
            </w:r>
          </w:p>
        </w:tc>
      </w:tr>
      <w:tr w:rsidR="007C6854" w14:paraId="624AF14E" w14:textId="77777777">
        <w:tc>
          <w:tcPr>
            <w:tcW w:w="4320" w:type="dxa"/>
            <w:shd w:val="clear" w:color="auto" w:fill="auto"/>
            <w:tcMar>
              <w:top w:w="100" w:type="dxa"/>
              <w:left w:w="100" w:type="dxa"/>
              <w:bottom w:w="100" w:type="dxa"/>
              <w:right w:w="100" w:type="dxa"/>
            </w:tcMar>
          </w:tcPr>
          <w:p w14:paraId="5260A68C" w14:textId="77777777" w:rsidR="007C6854" w:rsidRDefault="00E0219E">
            <w:pPr>
              <w:widowControl w:val="0"/>
              <w:pBdr>
                <w:top w:val="nil"/>
                <w:left w:val="nil"/>
                <w:bottom w:val="nil"/>
                <w:right w:val="nil"/>
                <w:between w:val="nil"/>
              </w:pBdr>
              <w:rPr>
                <w:rFonts w:eastAsia="Arial" w:cs="Arial"/>
                <w:szCs w:val="24"/>
              </w:rPr>
            </w:pPr>
            <w:r>
              <w:rPr>
                <w:rFonts w:eastAsia="Arial" w:cs="Arial"/>
                <w:szCs w:val="24"/>
              </w:rPr>
              <w:t>Office BP</w:t>
            </w:r>
          </w:p>
        </w:tc>
        <w:tc>
          <w:tcPr>
            <w:tcW w:w="4320" w:type="dxa"/>
            <w:shd w:val="clear" w:color="auto" w:fill="auto"/>
            <w:tcMar>
              <w:top w:w="100" w:type="dxa"/>
              <w:left w:w="100" w:type="dxa"/>
              <w:bottom w:w="100" w:type="dxa"/>
              <w:right w:w="100" w:type="dxa"/>
            </w:tcMar>
          </w:tcPr>
          <w:p w14:paraId="60E23CFF" w14:textId="77777777" w:rsidR="007C6854" w:rsidRDefault="00000000">
            <w:pPr>
              <w:widowControl w:val="0"/>
              <w:pBdr>
                <w:top w:val="nil"/>
                <w:left w:val="nil"/>
                <w:bottom w:val="nil"/>
                <w:right w:val="nil"/>
                <w:between w:val="nil"/>
              </w:pBdr>
              <w:jc w:val="center"/>
              <w:rPr>
                <w:rFonts w:eastAsia="Arial" w:cs="Arial"/>
                <w:szCs w:val="24"/>
              </w:rPr>
            </w:pPr>
            <w:sdt>
              <w:sdtPr>
                <w:tag w:val="goog_rdk_14"/>
                <w:id w:val="1999765008"/>
              </w:sdtPr>
              <w:sdtContent>
                <w:r w:rsidR="00E0219E">
                  <w:rPr>
                    <w:rFonts w:ascii="Arial Unicode MS" w:eastAsia="Arial Unicode MS" w:hAnsi="Arial Unicode MS" w:cs="Arial Unicode MS"/>
                    <w:szCs w:val="24"/>
                  </w:rPr>
                  <w:t>≥140 and/or ≥90</w:t>
                </w:r>
              </w:sdtContent>
            </w:sdt>
          </w:p>
        </w:tc>
      </w:tr>
    </w:tbl>
    <w:p w14:paraId="70182209" w14:textId="77777777" w:rsidR="007C6854" w:rsidRDefault="007C6854">
      <w:pPr>
        <w:pBdr>
          <w:top w:val="nil"/>
          <w:left w:val="nil"/>
          <w:bottom w:val="nil"/>
          <w:right w:val="nil"/>
          <w:between w:val="nil"/>
        </w:pBdr>
        <w:spacing w:after="160" w:line="360" w:lineRule="auto"/>
        <w:rPr>
          <w:rFonts w:eastAsia="Arial" w:cs="Arial"/>
          <w:szCs w:val="24"/>
        </w:rPr>
      </w:pPr>
    </w:p>
    <w:p w14:paraId="68DEB844" w14:textId="77777777" w:rsidR="007C6854" w:rsidRDefault="00E0219E">
      <w:pPr>
        <w:pBdr>
          <w:top w:val="nil"/>
          <w:left w:val="nil"/>
          <w:bottom w:val="nil"/>
          <w:right w:val="nil"/>
          <w:between w:val="nil"/>
        </w:pBdr>
        <w:spacing w:after="160" w:line="360" w:lineRule="auto"/>
        <w:rPr>
          <w:rFonts w:eastAsia="Arial" w:cs="Arial"/>
          <w:b/>
          <w:szCs w:val="24"/>
        </w:rPr>
      </w:pPr>
      <w:r>
        <w:br w:type="page"/>
      </w:r>
    </w:p>
    <w:p w14:paraId="434FF26D" w14:textId="77777777" w:rsidR="007C6854" w:rsidRDefault="00E0219E">
      <w:pPr>
        <w:pStyle w:val="Heading2"/>
        <w:jc w:val="center"/>
        <w:rPr>
          <w:rFonts w:eastAsia="Arial" w:cs="Arial"/>
          <w:sz w:val="24"/>
          <w:szCs w:val="24"/>
        </w:rPr>
      </w:pPr>
      <w:bookmarkStart w:id="78" w:name="_heading=h.3hv69ve" w:colFirst="0" w:colLast="0"/>
      <w:bookmarkEnd w:id="78"/>
      <w:r>
        <w:rPr>
          <w:rFonts w:eastAsia="Arial" w:cs="Arial"/>
          <w:sz w:val="24"/>
          <w:szCs w:val="24"/>
        </w:rPr>
        <w:lastRenderedPageBreak/>
        <w:t>Appendix G: Sample Size Computation</w:t>
      </w:r>
    </w:p>
    <w:p w14:paraId="6D1424C0" w14:textId="77777777" w:rsidR="007C6854" w:rsidRDefault="007C6854"/>
    <w:p w14:paraId="38D2BBD5" w14:textId="77777777" w:rsidR="007C6854" w:rsidRDefault="00E0219E">
      <w:pPr>
        <w:spacing w:line="360" w:lineRule="auto"/>
        <w:ind w:firstLine="420"/>
        <w:jc w:val="both"/>
        <w:rPr>
          <w:rFonts w:eastAsia="Arial" w:cs="Arial"/>
          <w:szCs w:val="24"/>
        </w:rPr>
      </w:pPr>
      <w:r>
        <w:rPr>
          <w:rFonts w:eastAsia="Arial" w:cs="Arial"/>
          <w:szCs w:val="24"/>
        </w:rPr>
        <w:t xml:space="preserve">The desired sample size for this research was determined from the household line list from the previous community survey conducted by the barangay or the barangay health center.  The number of respondents were selected based on the reported adult population in the community and the average family size report in the barangay. To be able to get the desired sample size, the researcher or interviewer are stationed in the main health center or at the community post located in Sitio </w:t>
      </w:r>
      <w:proofErr w:type="spellStart"/>
      <w:r>
        <w:rPr>
          <w:rFonts w:eastAsia="Arial" w:cs="Arial"/>
          <w:szCs w:val="24"/>
        </w:rPr>
        <w:t>Bukuhan</w:t>
      </w:r>
      <w:proofErr w:type="spellEnd"/>
      <w:r>
        <w:rPr>
          <w:rFonts w:eastAsia="Arial" w:cs="Arial"/>
          <w:szCs w:val="24"/>
        </w:rPr>
        <w:t xml:space="preserve">, Santa Ana, Pateros Metro Manila or will visit the house of the identified respondent. Also, Individuals who visited the main health center or the community post who fit the research criteria were selected for the study. The sample size was determined by utilizing </w:t>
      </w:r>
      <w:proofErr w:type="spellStart"/>
      <w:r>
        <w:rPr>
          <w:rFonts w:eastAsia="Arial" w:cs="Arial"/>
          <w:szCs w:val="24"/>
        </w:rPr>
        <w:t>Jaykaran</w:t>
      </w:r>
      <w:proofErr w:type="spellEnd"/>
      <w:r>
        <w:rPr>
          <w:rFonts w:eastAsia="Arial" w:cs="Arial"/>
          <w:szCs w:val="24"/>
        </w:rPr>
        <w:t xml:space="preserve">, Charan, &amp; </w:t>
      </w:r>
      <w:proofErr w:type="spellStart"/>
      <w:r>
        <w:rPr>
          <w:rFonts w:eastAsia="Arial" w:cs="Arial"/>
          <w:szCs w:val="24"/>
        </w:rPr>
        <w:t>Tamaghna</w:t>
      </w:r>
      <w:proofErr w:type="spellEnd"/>
      <w:r>
        <w:rPr>
          <w:rFonts w:eastAsia="Arial" w:cs="Arial"/>
          <w:szCs w:val="24"/>
        </w:rPr>
        <w:t xml:space="preserve"> Biswas (2013) recommended sample size calculation for cross-sectional studies or surveys It was computed using the formula below </w:t>
      </w:r>
    </w:p>
    <w:p w14:paraId="077CAB61" w14:textId="77777777" w:rsidR="007C6854" w:rsidRDefault="00E0219E">
      <w:pPr>
        <w:spacing w:line="360" w:lineRule="auto"/>
        <w:ind w:left="220" w:firstLine="240"/>
        <w:jc w:val="both"/>
        <w:rPr>
          <w:rFonts w:eastAsia="Arial" w:cs="Arial"/>
          <w:szCs w:val="24"/>
        </w:rPr>
      </w:pPr>
      <w:r>
        <w:rPr>
          <w:rFonts w:eastAsia="Arial" w:cs="Arial"/>
          <w:noProof/>
          <w:szCs w:val="24"/>
        </w:rPr>
        <w:drawing>
          <wp:inline distT="0" distB="0" distL="0" distR="0" wp14:anchorId="29DF6EFE" wp14:editId="7BB1C62F">
            <wp:extent cx="1943100" cy="579120"/>
            <wp:effectExtent l="0" t="0" r="0" b="0"/>
            <wp:docPr id="75" name="image5.png" descr="C:\Users\RMARTI~1\AppData\Local\Temp\ksohtml5208\wps6.png"/>
            <wp:cNvGraphicFramePr/>
            <a:graphic xmlns:a="http://schemas.openxmlformats.org/drawingml/2006/main">
              <a:graphicData uri="http://schemas.openxmlformats.org/drawingml/2006/picture">
                <pic:pic xmlns:pic="http://schemas.openxmlformats.org/drawingml/2006/picture">
                  <pic:nvPicPr>
                    <pic:cNvPr id="0" name="image5.png" descr="C:\Users\RMARTI~1\AppData\Local\Temp\ksohtml5208\wps6.png"/>
                    <pic:cNvPicPr preferRelativeResize="0"/>
                  </pic:nvPicPr>
                  <pic:blipFill>
                    <a:blip r:embed="rId231"/>
                    <a:srcRect/>
                    <a:stretch>
                      <a:fillRect/>
                    </a:stretch>
                  </pic:blipFill>
                  <pic:spPr>
                    <a:xfrm>
                      <a:off x="0" y="0"/>
                      <a:ext cx="1943100" cy="579120"/>
                    </a:xfrm>
                    <a:prstGeom prst="rect">
                      <a:avLst/>
                    </a:prstGeom>
                    <a:ln/>
                  </pic:spPr>
                </pic:pic>
              </a:graphicData>
            </a:graphic>
          </wp:inline>
        </w:drawing>
      </w:r>
    </w:p>
    <w:p w14:paraId="54C76946" w14:textId="77777777" w:rsidR="007C6854" w:rsidRDefault="00E0219E">
      <w:pPr>
        <w:spacing w:after="160" w:line="360" w:lineRule="auto"/>
        <w:ind w:left="220" w:firstLine="240"/>
        <w:jc w:val="both"/>
        <w:rPr>
          <w:rFonts w:eastAsia="Arial" w:cs="Arial"/>
          <w:szCs w:val="24"/>
        </w:rPr>
      </w:pPr>
      <w:r>
        <w:rPr>
          <w:rFonts w:eastAsia="Arial" w:cs="Arial"/>
          <w:szCs w:val="24"/>
        </w:rPr>
        <w:t>Where:</w:t>
      </w:r>
    </w:p>
    <w:p w14:paraId="011E95C0" w14:textId="77777777" w:rsidR="007C6854" w:rsidRDefault="00E0219E">
      <w:pPr>
        <w:spacing w:after="160" w:line="360" w:lineRule="auto"/>
        <w:ind w:left="220" w:firstLine="240"/>
        <w:jc w:val="both"/>
        <w:rPr>
          <w:rFonts w:eastAsia="Arial" w:cs="Arial"/>
          <w:szCs w:val="24"/>
        </w:rPr>
      </w:pPr>
      <w:r>
        <w:rPr>
          <w:rFonts w:eastAsia="Arial" w:cs="Arial"/>
          <w:noProof/>
          <w:szCs w:val="24"/>
        </w:rPr>
        <w:drawing>
          <wp:inline distT="0" distB="0" distL="0" distR="0" wp14:anchorId="6E0CF6F4" wp14:editId="026ACE7A">
            <wp:extent cx="495300" cy="198120"/>
            <wp:effectExtent l="0" t="0" r="0" b="0"/>
            <wp:docPr id="76" name="image3.png" descr="C:\Users\RMARTI~1\AppData\Local\Temp\ksohtml5208\wps7.png"/>
            <wp:cNvGraphicFramePr/>
            <a:graphic xmlns:a="http://schemas.openxmlformats.org/drawingml/2006/main">
              <a:graphicData uri="http://schemas.openxmlformats.org/drawingml/2006/picture">
                <pic:pic xmlns:pic="http://schemas.openxmlformats.org/drawingml/2006/picture">
                  <pic:nvPicPr>
                    <pic:cNvPr id="0" name="image3.png" descr="C:\Users\RMARTI~1\AppData\Local\Temp\ksohtml5208\wps7.png"/>
                    <pic:cNvPicPr preferRelativeResize="0"/>
                  </pic:nvPicPr>
                  <pic:blipFill>
                    <a:blip r:embed="rId232"/>
                    <a:srcRect/>
                    <a:stretch>
                      <a:fillRect/>
                    </a:stretch>
                  </pic:blipFill>
                  <pic:spPr>
                    <a:xfrm>
                      <a:off x="0" y="0"/>
                      <a:ext cx="495300" cy="198120"/>
                    </a:xfrm>
                    <a:prstGeom prst="rect">
                      <a:avLst/>
                    </a:prstGeom>
                    <a:ln/>
                  </pic:spPr>
                </pic:pic>
              </a:graphicData>
            </a:graphic>
          </wp:inline>
        </w:drawing>
      </w:r>
      <w:r>
        <w:rPr>
          <w:rFonts w:eastAsia="Arial" w:cs="Arial"/>
          <w:szCs w:val="24"/>
        </w:rPr>
        <w:t xml:space="preserve"> =Is the Standard normal variate (at 5% type 1 error (</w:t>
      </w:r>
      <w:r>
        <w:rPr>
          <w:rFonts w:eastAsia="Arial" w:cs="Arial"/>
          <w:i/>
          <w:szCs w:val="24"/>
        </w:rPr>
        <w:t>P</w:t>
      </w:r>
      <w:r>
        <w:rPr>
          <w:rFonts w:eastAsia="Arial" w:cs="Arial"/>
          <w:szCs w:val="24"/>
        </w:rPr>
        <w:t>&lt;0.05) it is 1.96</w:t>
      </w:r>
    </w:p>
    <w:p w14:paraId="0D6388C5" w14:textId="77777777" w:rsidR="007C6854" w:rsidRDefault="00E0219E">
      <w:pPr>
        <w:spacing w:after="160" w:line="360" w:lineRule="auto"/>
        <w:ind w:left="220" w:firstLine="241"/>
        <w:jc w:val="both"/>
        <w:rPr>
          <w:rFonts w:eastAsia="Arial" w:cs="Arial"/>
          <w:szCs w:val="24"/>
        </w:rPr>
      </w:pPr>
      <w:r>
        <w:rPr>
          <w:rFonts w:eastAsia="Arial" w:cs="Arial"/>
          <w:b/>
          <w:i/>
          <w:szCs w:val="24"/>
        </w:rPr>
        <w:t>P</w:t>
      </w:r>
      <w:r>
        <w:rPr>
          <w:rFonts w:eastAsia="Arial" w:cs="Arial"/>
          <w:i/>
          <w:szCs w:val="24"/>
        </w:rPr>
        <w:t xml:space="preserve"> </w:t>
      </w:r>
      <w:r>
        <w:rPr>
          <w:rFonts w:eastAsia="Arial" w:cs="Arial"/>
          <w:szCs w:val="24"/>
        </w:rPr>
        <w:t>= Expected proportion in the population based on previous studies or pilot studies</w:t>
      </w:r>
    </w:p>
    <w:p w14:paraId="3E82B2E0" w14:textId="77777777" w:rsidR="007C6854" w:rsidRDefault="00E0219E">
      <w:pPr>
        <w:spacing w:after="160" w:line="360" w:lineRule="auto"/>
        <w:ind w:left="220" w:firstLine="241"/>
        <w:jc w:val="both"/>
        <w:rPr>
          <w:rFonts w:eastAsia="Arial" w:cs="Arial"/>
          <w:szCs w:val="24"/>
        </w:rPr>
      </w:pPr>
      <w:r>
        <w:rPr>
          <w:rFonts w:eastAsia="Arial" w:cs="Arial"/>
          <w:b/>
          <w:i/>
          <w:szCs w:val="24"/>
        </w:rPr>
        <w:t xml:space="preserve">d </w:t>
      </w:r>
      <w:r>
        <w:rPr>
          <w:rFonts w:eastAsia="Arial" w:cs="Arial"/>
          <w:szCs w:val="24"/>
        </w:rPr>
        <w:t>= Absolute error or precision at 5%</w:t>
      </w:r>
    </w:p>
    <w:p w14:paraId="37152164" w14:textId="77777777" w:rsidR="007C6854" w:rsidRDefault="00E0219E">
      <w:pPr>
        <w:spacing w:after="160" w:line="360" w:lineRule="auto"/>
        <w:jc w:val="both"/>
        <w:rPr>
          <w:rFonts w:eastAsia="Arial" w:cs="Arial"/>
          <w:szCs w:val="24"/>
        </w:rPr>
      </w:pPr>
      <w:r>
        <w:rPr>
          <w:rFonts w:eastAsia="Arial" w:cs="Arial"/>
          <w:szCs w:val="24"/>
        </w:rPr>
        <w:t>In case the desired sample size computed is less than 10% of the population, an adjusted sample size computation formula using the Finite Population Correction (FPC) (</w:t>
      </w:r>
      <w:r>
        <w:rPr>
          <w:rFonts w:eastAsia="Arial" w:cs="Arial"/>
          <w:i/>
          <w:szCs w:val="24"/>
        </w:rPr>
        <w:t>Estimation and Sample Size Determination for Finite Population)</w:t>
      </w:r>
      <w:r>
        <w:rPr>
          <w:rFonts w:eastAsia="Arial" w:cs="Arial"/>
          <w:szCs w:val="24"/>
        </w:rPr>
        <w:t xml:space="preserve"> was measured. This was demonstrated by using the formula below:</w:t>
      </w:r>
    </w:p>
    <w:p w14:paraId="40AECB9A" w14:textId="77777777" w:rsidR="007C6854" w:rsidRDefault="00E0219E">
      <w:pPr>
        <w:spacing w:after="160" w:line="360" w:lineRule="auto"/>
        <w:jc w:val="both"/>
        <w:rPr>
          <w:rFonts w:eastAsia="Arial" w:cs="Arial"/>
          <w:szCs w:val="24"/>
        </w:rPr>
      </w:pPr>
      <w:r>
        <w:rPr>
          <w:rFonts w:eastAsia="Arial" w:cs="Arial"/>
          <w:szCs w:val="24"/>
        </w:rPr>
        <w:t>n = N*X / (X + N-1)</w:t>
      </w:r>
    </w:p>
    <w:p w14:paraId="0CC5975C" w14:textId="77777777" w:rsidR="007C6854" w:rsidRDefault="00E0219E">
      <w:pPr>
        <w:spacing w:after="160" w:line="360" w:lineRule="auto"/>
        <w:jc w:val="both"/>
        <w:rPr>
          <w:rFonts w:eastAsia="Arial" w:cs="Arial"/>
          <w:szCs w:val="24"/>
        </w:rPr>
      </w:pPr>
      <w:r>
        <w:rPr>
          <w:rFonts w:eastAsia="Arial" w:cs="Arial"/>
          <w:szCs w:val="24"/>
        </w:rPr>
        <w:lastRenderedPageBreak/>
        <w:t xml:space="preserve">Where, </w:t>
      </w:r>
    </w:p>
    <w:p w14:paraId="134C51AE" w14:textId="77777777" w:rsidR="007C6854" w:rsidRDefault="00E0219E">
      <w:pPr>
        <w:spacing w:after="160" w:line="360" w:lineRule="auto"/>
        <w:jc w:val="both"/>
        <w:rPr>
          <w:rFonts w:eastAsia="Arial" w:cs="Arial"/>
          <w:szCs w:val="24"/>
        </w:rPr>
      </w:pPr>
      <w:r>
        <w:rPr>
          <w:rFonts w:eastAsia="Arial" w:cs="Arial"/>
          <w:szCs w:val="24"/>
        </w:rPr>
        <w:t>N = Population size</w:t>
      </w:r>
    </w:p>
    <w:p w14:paraId="71E64EF5" w14:textId="77777777" w:rsidR="007C6854" w:rsidRDefault="00E0219E">
      <w:pPr>
        <w:spacing w:after="160" w:line="360" w:lineRule="auto"/>
        <w:jc w:val="both"/>
        <w:rPr>
          <w:rFonts w:eastAsia="Arial" w:cs="Arial"/>
          <w:szCs w:val="24"/>
        </w:rPr>
      </w:pPr>
      <w:r>
        <w:rPr>
          <w:rFonts w:eastAsia="Arial" w:cs="Arial"/>
          <w:szCs w:val="24"/>
        </w:rPr>
        <w:t>X = Sample size calculated</w:t>
      </w:r>
    </w:p>
    <w:p w14:paraId="2B700989" w14:textId="77777777" w:rsidR="007C6854" w:rsidRDefault="00E0219E">
      <w:pPr>
        <w:spacing w:after="160" w:line="360" w:lineRule="auto"/>
        <w:ind w:firstLine="420"/>
        <w:jc w:val="both"/>
        <w:rPr>
          <w:rFonts w:eastAsia="Arial" w:cs="Arial"/>
          <w:szCs w:val="24"/>
        </w:rPr>
      </w:pPr>
      <w:r>
        <w:rPr>
          <w:rFonts w:eastAsia="Arial" w:cs="Arial"/>
          <w:szCs w:val="24"/>
        </w:rPr>
        <w:t xml:space="preserve">The table below shows the computation of the sample size and the decided sample size that the researcher considered for this study (Table 3). </w:t>
      </w:r>
    </w:p>
    <w:p w14:paraId="042AA26B" w14:textId="77777777" w:rsidR="007C6854" w:rsidRDefault="00E0219E">
      <w:pPr>
        <w:spacing w:after="160" w:line="360" w:lineRule="auto"/>
        <w:jc w:val="center"/>
        <w:rPr>
          <w:rFonts w:eastAsia="Arial" w:cs="Arial"/>
          <w:szCs w:val="24"/>
        </w:rPr>
      </w:pPr>
      <w:r>
        <w:rPr>
          <w:rFonts w:eastAsia="Arial" w:cs="Arial"/>
          <w:b/>
          <w:szCs w:val="24"/>
        </w:rPr>
        <w:t xml:space="preserve">Table 4: </w:t>
      </w:r>
      <w:r>
        <w:rPr>
          <w:rFonts w:eastAsia="Arial" w:cs="Arial"/>
          <w:szCs w:val="24"/>
        </w:rPr>
        <w:t>Sample Size Computation and Decided Sample Size</w:t>
      </w:r>
    </w:p>
    <w:tbl>
      <w:tblPr>
        <w:tblStyle w:val="affff1"/>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34"/>
        <w:gridCol w:w="1560"/>
        <w:gridCol w:w="1842"/>
        <w:gridCol w:w="1418"/>
        <w:gridCol w:w="1417"/>
      </w:tblGrid>
      <w:tr w:rsidR="007C6854" w14:paraId="400FDFD3"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8795"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34F5F7B" w14:textId="77777777" w:rsidR="007C6854" w:rsidRDefault="00E0219E">
            <w:pPr>
              <w:ind w:left="220"/>
              <w:jc w:val="center"/>
              <w:rPr>
                <w:rFonts w:eastAsia="Arial" w:cs="Arial"/>
                <w:b/>
              </w:rPr>
            </w:pPr>
            <w:r>
              <w:rPr>
                <w:rFonts w:eastAsia="Arial" w:cs="Arial"/>
                <w:b/>
              </w:rPr>
              <w:t>5% Type 1 error</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270ED15E" w14:textId="77777777" w:rsidR="007C6854" w:rsidRDefault="00E0219E">
            <w:pPr>
              <w:ind w:left="220"/>
              <w:jc w:val="center"/>
              <w:rPr>
                <w:rFonts w:eastAsia="Arial" w:cs="Arial"/>
                <w:b/>
              </w:rPr>
            </w:pPr>
            <w:r>
              <w:rPr>
                <w:rFonts w:eastAsia="Arial" w:cs="Arial"/>
                <w:b/>
              </w:rPr>
              <w:t>Prevalence</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7E82DB43" w14:textId="77777777" w:rsidR="007C6854" w:rsidRDefault="00E0219E">
            <w:pPr>
              <w:ind w:left="220"/>
              <w:jc w:val="center"/>
              <w:rPr>
                <w:rFonts w:eastAsia="Arial" w:cs="Arial"/>
                <w:b/>
              </w:rPr>
            </w:pPr>
            <w:r>
              <w:rPr>
                <w:rFonts w:eastAsia="Arial" w:cs="Arial"/>
                <w:b/>
              </w:rPr>
              <w:t>Citation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8A8E" w14:textId="77777777" w:rsidR="007C6854" w:rsidRDefault="00E0219E">
            <w:pPr>
              <w:ind w:left="220"/>
              <w:jc w:val="center"/>
              <w:rPr>
                <w:rFonts w:eastAsia="Arial" w:cs="Arial"/>
                <w:b/>
              </w:rPr>
            </w:pPr>
            <w:r>
              <w:rPr>
                <w:rFonts w:eastAsia="Arial" w:cs="Arial"/>
                <w:b/>
              </w:rPr>
              <w:t>Absolute Error or Precision</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312A551C" w14:textId="77777777" w:rsidR="007C6854" w:rsidRDefault="00E0219E">
            <w:pPr>
              <w:ind w:left="220"/>
              <w:jc w:val="center"/>
              <w:rPr>
                <w:rFonts w:eastAsia="Arial" w:cs="Arial"/>
                <w:b/>
              </w:rPr>
            </w:pPr>
            <w:r>
              <w:rPr>
                <w:rFonts w:eastAsia="Arial" w:cs="Arial"/>
                <w:b/>
              </w:rPr>
              <w:t>Sample Size</w:t>
            </w:r>
          </w:p>
        </w:tc>
      </w:tr>
      <w:tr w:rsidR="007C6854" w14:paraId="671BA942"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7486" w14:textId="77777777" w:rsidR="007C6854" w:rsidRDefault="00E0219E">
            <w:pPr>
              <w:ind w:left="220"/>
              <w:rPr>
                <w:rFonts w:eastAsia="Arial" w:cs="Arial"/>
              </w:rPr>
            </w:pPr>
            <w:r>
              <w:rPr>
                <w:rFonts w:eastAsia="Arial" w:cs="Arial"/>
              </w:rPr>
              <w:t>Hypertension</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8250E78"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40A910F9" w14:textId="77777777" w:rsidR="007C6854" w:rsidRDefault="00E0219E">
            <w:pPr>
              <w:ind w:left="220"/>
              <w:jc w:val="center"/>
              <w:rPr>
                <w:rFonts w:eastAsia="Arial" w:cs="Arial"/>
              </w:rPr>
            </w:pPr>
            <w:r>
              <w:rPr>
                <w:rFonts w:eastAsia="Arial" w:cs="Arial"/>
              </w:rPr>
              <w:t>11.9%</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30FCF234" w14:textId="77777777" w:rsidR="007C6854" w:rsidRDefault="00E0219E">
            <w:pPr>
              <w:ind w:left="220"/>
              <w:jc w:val="center"/>
              <w:rPr>
                <w:rFonts w:eastAsia="Arial" w:cs="Arial"/>
              </w:rPr>
            </w:pPr>
            <w:r>
              <w:rPr>
                <w:rFonts w:eastAsia="Arial" w:cs="Arial"/>
              </w:rPr>
              <w:t>Min, H. et al. (2010)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4953F"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463E825B" w14:textId="77777777" w:rsidR="007C6854" w:rsidRDefault="00E0219E">
            <w:pPr>
              <w:ind w:left="220"/>
              <w:jc w:val="center"/>
              <w:rPr>
                <w:rFonts w:eastAsia="Arial" w:cs="Arial"/>
              </w:rPr>
            </w:pPr>
            <w:r>
              <w:rPr>
                <w:rFonts w:eastAsia="Arial" w:cs="Arial"/>
              </w:rPr>
              <w:t>161</w:t>
            </w:r>
          </w:p>
        </w:tc>
      </w:tr>
      <w:tr w:rsidR="007C6854" w14:paraId="48823845"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93EC4"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E29AD5C"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2FEC7931" w14:textId="77777777" w:rsidR="007C6854" w:rsidRDefault="00E0219E">
            <w:pPr>
              <w:ind w:left="220"/>
              <w:jc w:val="center"/>
              <w:rPr>
                <w:rFonts w:eastAsia="Arial" w:cs="Arial"/>
              </w:rPr>
            </w:pPr>
            <w:r>
              <w:rPr>
                <w:rFonts w:eastAsia="Arial" w:cs="Arial"/>
              </w:rPr>
              <w:t>25%</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1DF20D51" w14:textId="77777777" w:rsidR="007C6854" w:rsidRDefault="00E0219E">
            <w:pPr>
              <w:ind w:left="220"/>
              <w:jc w:val="center"/>
              <w:rPr>
                <w:rFonts w:eastAsia="Arial" w:cs="Arial"/>
              </w:rPr>
            </w:pPr>
            <w:proofErr w:type="spellStart"/>
            <w:r>
              <w:rPr>
                <w:rFonts w:eastAsia="Arial" w:cs="Arial"/>
              </w:rPr>
              <w:t>Bâ</w:t>
            </w:r>
            <w:proofErr w:type="spellEnd"/>
            <w:r>
              <w:rPr>
                <w:rFonts w:eastAsia="Arial" w:cs="Arial"/>
              </w:rPr>
              <w:t>, H.O., et al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59EF6"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EE02899" w14:textId="77777777" w:rsidR="007C6854" w:rsidRDefault="00E0219E">
            <w:pPr>
              <w:ind w:left="220"/>
              <w:jc w:val="center"/>
              <w:rPr>
                <w:rFonts w:eastAsia="Arial" w:cs="Arial"/>
              </w:rPr>
            </w:pPr>
            <w:r>
              <w:rPr>
                <w:rFonts w:eastAsia="Arial" w:cs="Arial"/>
              </w:rPr>
              <w:t>288</w:t>
            </w:r>
          </w:p>
        </w:tc>
      </w:tr>
      <w:tr w:rsidR="007C6854" w14:paraId="6B374C06"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7BDE"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B5DD475"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9AC5A0F" w14:textId="77777777" w:rsidR="007C6854" w:rsidRDefault="00E0219E">
            <w:pPr>
              <w:ind w:left="220"/>
              <w:jc w:val="center"/>
              <w:rPr>
                <w:rFonts w:eastAsia="Arial" w:cs="Arial"/>
              </w:rPr>
            </w:pPr>
            <w:r>
              <w:rPr>
                <w:rFonts w:eastAsia="Arial" w:cs="Arial"/>
              </w:rPr>
              <w:t>22.6%</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407A4DB" w14:textId="77777777" w:rsidR="007C6854" w:rsidRDefault="00E0219E">
            <w:pPr>
              <w:ind w:left="220"/>
              <w:jc w:val="center"/>
              <w:rPr>
                <w:rFonts w:eastAsia="Arial" w:cs="Arial"/>
              </w:rPr>
            </w:pPr>
            <w:r>
              <w:rPr>
                <w:rFonts w:eastAsia="Arial" w:cs="Arial"/>
              </w:rPr>
              <w:t>WHO (2014)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09E6"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64249A10" w14:textId="77777777" w:rsidR="007C6854" w:rsidRDefault="00E0219E">
            <w:pPr>
              <w:ind w:left="220"/>
              <w:jc w:val="center"/>
              <w:rPr>
                <w:rFonts w:eastAsia="Arial" w:cs="Arial"/>
              </w:rPr>
            </w:pPr>
            <w:r>
              <w:rPr>
                <w:rFonts w:eastAsia="Arial" w:cs="Arial"/>
              </w:rPr>
              <w:t>269</w:t>
            </w:r>
          </w:p>
        </w:tc>
      </w:tr>
      <w:tr w:rsidR="007C6854" w14:paraId="06A413DB"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C77D1"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33D6DA9"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56A4B2FA" w14:textId="77777777" w:rsidR="007C6854" w:rsidRDefault="00E0219E">
            <w:pPr>
              <w:ind w:left="220"/>
              <w:jc w:val="center"/>
              <w:rPr>
                <w:rFonts w:eastAsia="Arial" w:cs="Arial"/>
              </w:rPr>
            </w:pPr>
            <w:r>
              <w:rPr>
                <w:rFonts w:eastAsia="Arial" w:cs="Arial"/>
              </w:rPr>
              <w:t>23.9%</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772FEB6" w14:textId="77777777" w:rsidR="007C6854" w:rsidRDefault="00E0219E">
            <w:pPr>
              <w:ind w:left="220"/>
              <w:rPr>
                <w:rFonts w:eastAsia="Arial" w:cs="Arial"/>
              </w:rPr>
            </w:pPr>
            <w:r>
              <w:rPr>
                <w:rFonts w:eastAsia="Arial" w:cs="Arial"/>
              </w:rPr>
              <w:t>NNC (2018); Dastan, I., et al (2017)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3015"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261B76AA" w14:textId="77777777" w:rsidR="007C6854" w:rsidRDefault="00E0219E">
            <w:pPr>
              <w:ind w:left="220"/>
              <w:jc w:val="center"/>
              <w:rPr>
                <w:rFonts w:eastAsia="Arial" w:cs="Arial"/>
              </w:rPr>
            </w:pPr>
            <w:r>
              <w:rPr>
                <w:rFonts w:eastAsia="Arial" w:cs="Arial"/>
              </w:rPr>
              <w:t>279</w:t>
            </w:r>
          </w:p>
        </w:tc>
      </w:tr>
      <w:tr w:rsidR="007C6854" w14:paraId="76E74B7B"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A5F98"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0523C69"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2DE45B17" w14:textId="77777777" w:rsidR="007C6854" w:rsidRDefault="00E0219E">
            <w:pPr>
              <w:ind w:left="220"/>
              <w:jc w:val="center"/>
              <w:rPr>
                <w:rFonts w:eastAsia="Arial" w:cs="Arial"/>
              </w:rPr>
            </w:pPr>
            <w:r>
              <w:rPr>
                <w:rFonts w:eastAsia="Arial" w:cs="Arial"/>
              </w:rPr>
              <w:t>24.7%</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2C875E1E" w14:textId="77777777" w:rsidR="007C6854" w:rsidRDefault="00E0219E">
            <w:pPr>
              <w:ind w:left="220"/>
              <w:jc w:val="center"/>
              <w:rPr>
                <w:rFonts w:eastAsia="Arial" w:cs="Arial"/>
              </w:rPr>
            </w:pPr>
            <w:proofErr w:type="spellStart"/>
            <w:r>
              <w:rPr>
                <w:rFonts w:eastAsia="Arial" w:cs="Arial"/>
              </w:rPr>
              <w:t>Bâ</w:t>
            </w:r>
            <w:proofErr w:type="spellEnd"/>
            <w:r>
              <w:rPr>
                <w:rFonts w:eastAsia="Arial" w:cs="Arial"/>
              </w:rPr>
              <w:t>, H.O., et al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79CA"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B7732DF" w14:textId="77777777" w:rsidR="007C6854" w:rsidRDefault="00E0219E">
            <w:pPr>
              <w:ind w:left="220"/>
              <w:jc w:val="center"/>
              <w:rPr>
                <w:rFonts w:eastAsia="Arial" w:cs="Arial"/>
              </w:rPr>
            </w:pPr>
            <w:r>
              <w:rPr>
                <w:rFonts w:eastAsia="Arial" w:cs="Arial"/>
              </w:rPr>
              <w:t>286</w:t>
            </w:r>
          </w:p>
        </w:tc>
      </w:tr>
      <w:tr w:rsidR="007C6854" w14:paraId="774DA749"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7AFE9"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3344BCC"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784C95E4" w14:textId="77777777" w:rsidR="007C6854" w:rsidRDefault="00E0219E">
            <w:pPr>
              <w:ind w:left="220"/>
              <w:jc w:val="center"/>
              <w:rPr>
                <w:rFonts w:eastAsia="Arial" w:cs="Arial"/>
              </w:rPr>
            </w:pPr>
            <w:r>
              <w:rPr>
                <w:rFonts w:eastAsia="Arial" w:cs="Arial"/>
              </w:rPr>
              <w:t>19.2%</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2D1F424B" w14:textId="77777777" w:rsidR="007C6854" w:rsidRDefault="00E0219E">
            <w:pPr>
              <w:ind w:left="220"/>
              <w:jc w:val="center"/>
              <w:rPr>
                <w:rFonts w:eastAsia="Arial" w:cs="Arial"/>
              </w:rPr>
            </w:pPr>
            <w:r>
              <w:rPr>
                <w:rFonts w:eastAsia="Arial" w:cs="Arial"/>
              </w:rPr>
              <w:t>FNRI,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3EF178"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40C2413D" w14:textId="77777777" w:rsidR="007C6854" w:rsidRDefault="00E0219E">
            <w:pPr>
              <w:ind w:left="220"/>
              <w:jc w:val="center"/>
              <w:rPr>
                <w:rFonts w:eastAsia="Arial" w:cs="Arial"/>
              </w:rPr>
            </w:pPr>
            <w:r>
              <w:rPr>
                <w:rFonts w:eastAsia="Arial" w:cs="Arial"/>
              </w:rPr>
              <w:t>238</w:t>
            </w:r>
          </w:p>
        </w:tc>
      </w:tr>
      <w:tr w:rsidR="007C6854" w14:paraId="439B08FA"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8B76"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74E1618"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29B263AC" w14:textId="77777777" w:rsidR="007C6854" w:rsidRDefault="00E0219E">
            <w:pPr>
              <w:ind w:left="220"/>
              <w:jc w:val="center"/>
              <w:rPr>
                <w:rFonts w:eastAsia="Arial" w:cs="Arial"/>
              </w:rPr>
            </w:pPr>
            <w:r>
              <w:rPr>
                <w:rFonts w:eastAsia="Arial" w:cs="Arial"/>
              </w:rPr>
              <w:t>30%</w:t>
            </w:r>
          </w:p>
        </w:tc>
        <w:tc>
          <w:tcPr>
            <w:tcW w:w="1842" w:type="dxa"/>
            <w:tcBorders>
              <w:top w:val="single" w:sz="4" w:space="0" w:color="000000"/>
              <w:left w:val="nil"/>
              <w:bottom w:val="single" w:sz="4" w:space="0" w:color="000000"/>
              <w:right w:val="single" w:sz="4" w:space="0" w:color="000000"/>
            </w:tcBorders>
            <w:shd w:val="clear" w:color="auto" w:fill="auto"/>
          </w:tcPr>
          <w:p w14:paraId="3BA685DE" w14:textId="77777777" w:rsidR="007C6854" w:rsidRDefault="00E0219E">
            <w:pPr>
              <w:ind w:left="220"/>
              <w:jc w:val="center"/>
              <w:rPr>
                <w:rFonts w:eastAsia="Arial" w:cs="Arial"/>
              </w:rPr>
            </w:pPr>
            <w:r>
              <w:rPr>
                <w:rFonts w:eastAsia="Arial" w:cs="Arial"/>
              </w:rPr>
              <w:t>FNRI,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6A5AF4"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51304384" w14:textId="77777777" w:rsidR="007C6854" w:rsidRDefault="00E0219E">
            <w:pPr>
              <w:ind w:left="220"/>
              <w:jc w:val="center"/>
              <w:rPr>
                <w:rFonts w:eastAsia="Arial" w:cs="Arial"/>
              </w:rPr>
            </w:pPr>
            <w:r>
              <w:rPr>
                <w:rFonts w:eastAsia="Arial" w:cs="Arial"/>
              </w:rPr>
              <w:t>323</w:t>
            </w:r>
          </w:p>
        </w:tc>
      </w:tr>
      <w:tr w:rsidR="007C6854" w14:paraId="76272285"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4397C"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tcPr>
          <w:p w14:paraId="760E1BA4"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6475B5E" w14:textId="77777777" w:rsidR="007C6854" w:rsidRDefault="00E0219E">
            <w:pPr>
              <w:ind w:left="220"/>
              <w:jc w:val="center"/>
              <w:rPr>
                <w:rFonts w:eastAsia="Arial" w:cs="Arial"/>
              </w:rPr>
            </w:pPr>
            <w:r>
              <w:rPr>
                <w:rFonts w:eastAsia="Arial" w:cs="Arial"/>
              </w:rPr>
              <w:t>36.3%</w:t>
            </w:r>
          </w:p>
        </w:tc>
        <w:tc>
          <w:tcPr>
            <w:tcW w:w="1842" w:type="dxa"/>
            <w:tcBorders>
              <w:top w:val="single" w:sz="4" w:space="0" w:color="000000"/>
              <w:left w:val="nil"/>
              <w:bottom w:val="single" w:sz="4" w:space="0" w:color="000000"/>
              <w:right w:val="single" w:sz="4" w:space="0" w:color="000000"/>
            </w:tcBorders>
            <w:shd w:val="clear" w:color="auto" w:fill="auto"/>
          </w:tcPr>
          <w:p w14:paraId="4A88D122" w14:textId="77777777" w:rsidR="007C6854" w:rsidRDefault="00E0219E">
            <w:pPr>
              <w:ind w:left="220"/>
              <w:jc w:val="center"/>
              <w:rPr>
                <w:rFonts w:eastAsia="Arial" w:cs="Arial"/>
              </w:rPr>
            </w:pPr>
            <w:r>
              <w:rPr>
                <w:rFonts w:eastAsia="Arial" w:cs="Arial"/>
              </w:rPr>
              <w:t>FNRI,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DCBD0BA"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F136570" w14:textId="77777777" w:rsidR="007C6854" w:rsidRDefault="00E0219E">
            <w:pPr>
              <w:ind w:left="220"/>
              <w:jc w:val="center"/>
              <w:rPr>
                <w:rFonts w:eastAsia="Arial" w:cs="Arial"/>
              </w:rPr>
            </w:pPr>
            <w:r>
              <w:rPr>
                <w:rFonts w:eastAsia="Arial" w:cs="Arial"/>
              </w:rPr>
              <w:t>355</w:t>
            </w:r>
          </w:p>
        </w:tc>
      </w:tr>
      <w:tr w:rsidR="007C6854" w14:paraId="4E64ECC5"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484B"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tcPr>
          <w:p w14:paraId="60364860"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D8370A1" w14:textId="77777777" w:rsidR="007C6854" w:rsidRDefault="00E0219E">
            <w:pPr>
              <w:ind w:left="220"/>
              <w:jc w:val="center"/>
              <w:rPr>
                <w:rFonts w:eastAsia="Arial" w:cs="Arial"/>
              </w:rPr>
            </w:pPr>
            <w:r>
              <w:rPr>
                <w:rFonts w:eastAsia="Arial" w:cs="Arial"/>
              </w:rPr>
              <w:t>35%</w:t>
            </w:r>
          </w:p>
        </w:tc>
        <w:tc>
          <w:tcPr>
            <w:tcW w:w="1842" w:type="dxa"/>
            <w:tcBorders>
              <w:top w:val="single" w:sz="4" w:space="0" w:color="000000"/>
              <w:left w:val="nil"/>
              <w:bottom w:val="single" w:sz="4" w:space="0" w:color="000000"/>
              <w:right w:val="single" w:sz="4" w:space="0" w:color="000000"/>
            </w:tcBorders>
            <w:shd w:val="clear" w:color="auto" w:fill="auto"/>
          </w:tcPr>
          <w:p w14:paraId="56849D97" w14:textId="77777777" w:rsidR="007C6854" w:rsidRDefault="00E0219E">
            <w:pPr>
              <w:ind w:left="220"/>
              <w:jc w:val="center"/>
              <w:rPr>
                <w:rFonts w:eastAsia="Arial" w:cs="Arial"/>
              </w:rPr>
            </w:pPr>
            <w:r>
              <w:rPr>
                <w:rFonts w:eastAsia="Arial" w:cs="Arial"/>
              </w:rPr>
              <w:t>FNRI,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9E802C"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33A7FB6A" w14:textId="77777777" w:rsidR="007C6854" w:rsidRDefault="00E0219E">
            <w:pPr>
              <w:ind w:left="220"/>
              <w:jc w:val="center"/>
              <w:rPr>
                <w:rFonts w:eastAsia="Arial" w:cs="Arial"/>
              </w:rPr>
            </w:pPr>
            <w:r>
              <w:rPr>
                <w:rFonts w:eastAsia="Arial" w:cs="Arial"/>
              </w:rPr>
              <w:t>350</w:t>
            </w:r>
          </w:p>
        </w:tc>
      </w:tr>
      <w:tr w:rsidR="007C6854" w14:paraId="6C81C83E"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C248D"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tcPr>
          <w:p w14:paraId="6872E6AC"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B085032" w14:textId="77777777" w:rsidR="007C6854" w:rsidRDefault="00E0219E">
            <w:pPr>
              <w:ind w:left="220"/>
              <w:jc w:val="center"/>
              <w:rPr>
                <w:rFonts w:eastAsia="Arial" w:cs="Arial"/>
              </w:rPr>
            </w:pPr>
            <w:r>
              <w:rPr>
                <w:rFonts w:eastAsia="Arial" w:cs="Arial"/>
              </w:rPr>
              <w:t>41.2%</w:t>
            </w:r>
          </w:p>
        </w:tc>
        <w:tc>
          <w:tcPr>
            <w:tcW w:w="1842" w:type="dxa"/>
            <w:tcBorders>
              <w:top w:val="single" w:sz="4" w:space="0" w:color="000000"/>
              <w:left w:val="nil"/>
              <w:bottom w:val="single" w:sz="4" w:space="0" w:color="000000"/>
              <w:right w:val="single" w:sz="4" w:space="0" w:color="000000"/>
            </w:tcBorders>
            <w:shd w:val="clear" w:color="auto" w:fill="auto"/>
          </w:tcPr>
          <w:p w14:paraId="28F93D5F" w14:textId="77777777" w:rsidR="007C6854" w:rsidRDefault="00E0219E">
            <w:pPr>
              <w:ind w:left="220"/>
              <w:jc w:val="center"/>
              <w:rPr>
                <w:rFonts w:eastAsia="Arial" w:cs="Arial"/>
              </w:rPr>
            </w:pPr>
            <w:r>
              <w:rPr>
                <w:rFonts w:eastAsia="Arial" w:cs="Arial"/>
              </w:rPr>
              <w:t>FNRI,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B4299E"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26AD96E0" w14:textId="77777777" w:rsidR="007C6854" w:rsidRDefault="00E0219E">
            <w:pPr>
              <w:ind w:left="220"/>
              <w:jc w:val="center"/>
              <w:rPr>
                <w:rFonts w:eastAsia="Arial" w:cs="Arial"/>
              </w:rPr>
            </w:pPr>
            <w:r>
              <w:rPr>
                <w:rFonts w:eastAsia="Arial" w:cs="Arial"/>
              </w:rPr>
              <w:t>372</w:t>
            </w:r>
          </w:p>
        </w:tc>
      </w:tr>
      <w:tr w:rsidR="007C6854" w14:paraId="568437F8"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BED8E" w14:textId="77777777" w:rsidR="007C6854" w:rsidRDefault="00E0219E">
            <w:pPr>
              <w:ind w:left="220"/>
              <w:rPr>
                <w:rFonts w:eastAsia="Arial" w:cs="Arial"/>
              </w:rPr>
            </w:pPr>
            <w:r>
              <w:rPr>
                <w:rFonts w:eastAsia="Arial" w:cs="Arial"/>
              </w:rPr>
              <w:t>Health Literacy</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B054450"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41AA834" w14:textId="77777777" w:rsidR="007C6854" w:rsidRDefault="00E0219E">
            <w:pPr>
              <w:ind w:left="220"/>
              <w:jc w:val="center"/>
              <w:rPr>
                <w:rFonts w:eastAsia="Arial" w:cs="Arial"/>
              </w:rPr>
            </w:pPr>
            <w:r>
              <w:rPr>
                <w:rFonts w:eastAsia="Arial" w:cs="Arial"/>
              </w:rPr>
              <w:t>47.8%</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5DB37F2C" w14:textId="77777777" w:rsidR="007C6854" w:rsidRDefault="00E0219E">
            <w:pPr>
              <w:ind w:left="220"/>
              <w:jc w:val="center"/>
              <w:rPr>
                <w:rFonts w:eastAsia="Arial" w:cs="Arial"/>
              </w:rPr>
            </w:pPr>
            <w:r>
              <w:rPr>
                <w:rFonts w:eastAsia="Arial" w:cs="Arial"/>
              </w:rPr>
              <w:t>PCHRD,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2A23C"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2DB6BD2D" w14:textId="77777777" w:rsidR="007C6854" w:rsidRDefault="00E0219E">
            <w:pPr>
              <w:ind w:left="220"/>
              <w:jc w:val="center"/>
              <w:rPr>
                <w:rFonts w:eastAsia="Arial" w:cs="Arial"/>
              </w:rPr>
            </w:pPr>
            <w:r>
              <w:rPr>
                <w:rFonts w:eastAsia="Arial" w:cs="Arial"/>
              </w:rPr>
              <w:t>383</w:t>
            </w:r>
          </w:p>
        </w:tc>
      </w:tr>
      <w:tr w:rsidR="007C6854" w14:paraId="7DAB9100"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1005"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EC74B02"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3E957899" w14:textId="77777777" w:rsidR="007C6854" w:rsidRDefault="00E0219E">
            <w:pPr>
              <w:ind w:left="220"/>
              <w:jc w:val="center"/>
              <w:rPr>
                <w:rFonts w:eastAsia="Arial" w:cs="Arial"/>
              </w:rPr>
            </w:pPr>
            <w:r>
              <w:rPr>
                <w:rFonts w:eastAsia="Arial" w:cs="Arial"/>
              </w:rPr>
              <w:t>46.3%</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7405C94" w14:textId="77777777" w:rsidR="007C6854" w:rsidRDefault="00E0219E">
            <w:pPr>
              <w:ind w:left="220"/>
              <w:jc w:val="center"/>
              <w:rPr>
                <w:rFonts w:eastAsia="Arial" w:cs="Arial"/>
              </w:rPr>
            </w:pPr>
            <w:r>
              <w:rPr>
                <w:rFonts w:eastAsia="Arial" w:cs="Arial"/>
              </w:rPr>
              <w:t>PCHRD,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2C48D2"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7CF27CD2" w14:textId="77777777" w:rsidR="007C6854" w:rsidRDefault="00E0219E">
            <w:pPr>
              <w:ind w:left="220"/>
              <w:jc w:val="center"/>
              <w:rPr>
                <w:rFonts w:eastAsia="Arial" w:cs="Arial"/>
              </w:rPr>
            </w:pPr>
            <w:r>
              <w:rPr>
                <w:rFonts w:eastAsia="Arial" w:cs="Arial"/>
              </w:rPr>
              <w:t>382</w:t>
            </w:r>
          </w:p>
        </w:tc>
      </w:tr>
      <w:tr w:rsidR="007C6854" w14:paraId="39AE7F1E"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B200"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2476D5C"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693B4793" w14:textId="77777777" w:rsidR="007C6854" w:rsidRDefault="00E0219E">
            <w:pPr>
              <w:ind w:left="220"/>
              <w:jc w:val="center"/>
              <w:rPr>
                <w:rFonts w:eastAsia="Arial" w:cs="Arial"/>
              </w:rPr>
            </w:pPr>
            <w:r>
              <w:rPr>
                <w:rFonts w:eastAsia="Arial" w:cs="Arial"/>
              </w:rPr>
              <w:t>56.6%</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2235B47C" w14:textId="77777777" w:rsidR="007C6854" w:rsidRDefault="00E0219E">
            <w:pPr>
              <w:ind w:left="220"/>
              <w:jc w:val="center"/>
              <w:rPr>
                <w:rFonts w:eastAsia="Arial" w:cs="Arial"/>
              </w:rPr>
            </w:pPr>
            <w:r>
              <w:rPr>
                <w:rFonts w:eastAsia="Arial" w:cs="Arial"/>
              </w:rPr>
              <w:t>PCHRD,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59C9F9"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6CA60F86" w14:textId="77777777" w:rsidR="007C6854" w:rsidRDefault="00E0219E">
            <w:pPr>
              <w:ind w:left="220"/>
              <w:jc w:val="center"/>
              <w:rPr>
                <w:rFonts w:eastAsia="Arial" w:cs="Arial"/>
              </w:rPr>
            </w:pPr>
            <w:r>
              <w:rPr>
                <w:rFonts w:eastAsia="Arial" w:cs="Arial"/>
              </w:rPr>
              <w:t>377</w:t>
            </w:r>
          </w:p>
        </w:tc>
      </w:tr>
      <w:tr w:rsidR="007C6854" w14:paraId="5DC3668B"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F7571"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1595E32"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3C7F7E9A" w14:textId="77777777" w:rsidR="007C6854" w:rsidRDefault="00E0219E">
            <w:pPr>
              <w:ind w:left="220"/>
              <w:jc w:val="center"/>
              <w:rPr>
                <w:rFonts w:eastAsia="Arial" w:cs="Arial"/>
              </w:rPr>
            </w:pPr>
            <w:r>
              <w:rPr>
                <w:rFonts w:eastAsia="Arial" w:cs="Arial"/>
              </w:rPr>
              <w:t>83.7%</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228BD01" w14:textId="77777777" w:rsidR="007C6854" w:rsidRDefault="00E0219E">
            <w:pPr>
              <w:ind w:left="220"/>
              <w:jc w:val="center"/>
              <w:rPr>
                <w:rFonts w:eastAsia="Arial" w:cs="Arial"/>
              </w:rPr>
            </w:pPr>
            <w:r>
              <w:rPr>
                <w:rFonts w:eastAsia="Arial" w:cs="Arial"/>
              </w:rPr>
              <w:t>PCHRD,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E787C8"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2050FB3F" w14:textId="77777777" w:rsidR="007C6854" w:rsidRDefault="00E0219E">
            <w:pPr>
              <w:ind w:left="220"/>
              <w:jc w:val="center"/>
              <w:rPr>
                <w:rFonts w:eastAsia="Arial" w:cs="Arial"/>
              </w:rPr>
            </w:pPr>
            <w:r>
              <w:rPr>
                <w:rFonts w:eastAsia="Arial" w:cs="Arial"/>
              </w:rPr>
              <w:t>210</w:t>
            </w:r>
          </w:p>
        </w:tc>
      </w:tr>
      <w:tr w:rsidR="007C6854" w14:paraId="74DCA359"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C75A"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2898DE6"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2215B854" w14:textId="77777777" w:rsidR="007C6854" w:rsidRDefault="00E0219E">
            <w:pPr>
              <w:ind w:left="220"/>
              <w:jc w:val="center"/>
              <w:rPr>
                <w:rFonts w:eastAsia="Arial" w:cs="Arial"/>
              </w:rPr>
            </w:pPr>
            <w:r>
              <w:rPr>
                <w:rFonts w:eastAsia="Arial" w:cs="Arial"/>
              </w:rPr>
              <w:t>95%</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364D2716" w14:textId="77777777" w:rsidR="007C6854" w:rsidRDefault="00E0219E">
            <w:pPr>
              <w:ind w:left="220"/>
              <w:jc w:val="center"/>
              <w:rPr>
                <w:rFonts w:eastAsia="Arial" w:cs="Arial"/>
              </w:rPr>
            </w:pPr>
            <w:r>
              <w:rPr>
                <w:rFonts w:eastAsia="Arial" w:cs="Arial"/>
              </w:rPr>
              <w:t>WHO, 2018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E15627"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7B2E3DF" w14:textId="77777777" w:rsidR="007C6854" w:rsidRDefault="00E0219E">
            <w:pPr>
              <w:ind w:left="220"/>
              <w:jc w:val="center"/>
              <w:rPr>
                <w:rFonts w:eastAsia="Arial" w:cs="Arial"/>
              </w:rPr>
            </w:pPr>
            <w:r>
              <w:rPr>
                <w:rFonts w:eastAsia="Arial" w:cs="Arial"/>
              </w:rPr>
              <w:t>73</w:t>
            </w:r>
          </w:p>
        </w:tc>
      </w:tr>
      <w:tr w:rsidR="007C6854" w14:paraId="4C643D57"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7628"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B88BADE"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6775A46C" w14:textId="77777777" w:rsidR="007C6854" w:rsidRDefault="00E0219E">
            <w:pPr>
              <w:ind w:left="220"/>
              <w:jc w:val="center"/>
              <w:rPr>
                <w:rFonts w:eastAsia="Arial" w:cs="Arial"/>
              </w:rPr>
            </w:pPr>
            <w:r>
              <w:rPr>
                <w:rFonts w:eastAsia="Arial" w:cs="Arial"/>
              </w:rPr>
              <w:t>94%</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2731B1E8" w14:textId="77777777" w:rsidR="007C6854" w:rsidRDefault="00E0219E">
            <w:pPr>
              <w:ind w:left="220"/>
              <w:jc w:val="center"/>
              <w:rPr>
                <w:rFonts w:eastAsia="Arial" w:cs="Arial"/>
              </w:rPr>
            </w:pPr>
            <w:r>
              <w:rPr>
                <w:rFonts w:eastAsia="Arial" w:cs="Arial"/>
              </w:rPr>
              <w:t>Agosto, H.G., 2015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82CF9F"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D63E566" w14:textId="77777777" w:rsidR="007C6854" w:rsidRDefault="00E0219E">
            <w:pPr>
              <w:ind w:left="220"/>
              <w:jc w:val="center"/>
              <w:rPr>
                <w:rFonts w:eastAsia="Arial" w:cs="Arial"/>
              </w:rPr>
            </w:pPr>
            <w:r>
              <w:rPr>
                <w:rFonts w:eastAsia="Arial" w:cs="Arial"/>
              </w:rPr>
              <w:t>87</w:t>
            </w:r>
          </w:p>
        </w:tc>
      </w:tr>
      <w:tr w:rsidR="007C6854" w14:paraId="72234834"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210CA" w14:textId="77777777" w:rsidR="007C6854" w:rsidRDefault="007C6854">
            <w:pPr>
              <w:ind w:left="220"/>
              <w:rPr>
                <w:rFonts w:eastAsia="Arial" w:cs="Arial"/>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A9AFB96" w14:textId="77777777" w:rsidR="007C6854" w:rsidRDefault="00E0219E">
            <w:pPr>
              <w:ind w:left="220"/>
              <w:jc w:val="center"/>
              <w:rPr>
                <w:rFonts w:eastAsia="Arial" w:cs="Arial"/>
              </w:rPr>
            </w:pPr>
            <w:r>
              <w:rPr>
                <w:rFonts w:eastAsia="Arial" w:cs="Arial"/>
              </w:rPr>
              <w:t>1.96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36B27A0A" w14:textId="77777777" w:rsidR="007C6854" w:rsidRDefault="00E0219E">
            <w:pPr>
              <w:ind w:left="220"/>
              <w:jc w:val="center"/>
              <w:rPr>
                <w:rFonts w:eastAsia="Arial" w:cs="Arial"/>
              </w:rPr>
            </w:pPr>
            <w:r>
              <w:rPr>
                <w:rFonts w:eastAsia="Arial" w:cs="Arial"/>
              </w:rPr>
              <w:t>31.5%</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7800B596" w14:textId="77777777" w:rsidR="007C6854" w:rsidRDefault="00E0219E">
            <w:pPr>
              <w:ind w:left="220"/>
              <w:jc w:val="center"/>
              <w:rPr>
                <w:rFonts w:eastAsia="Arial" w:cs="Arial"/>
              </w:rPr>
            </w:pPr>
            <w:proofErr w:type="spellStart"/>
            <w:r>
              <w:rPr>
                <w:rFonts w:eastAsia="Arial" w:cs="Arial"/>
              </w:rPr>
              <w:t>Denuwara</w:t>
            </w:r>
            <w:proofErr w:type="spellEnd"/>
            <w:r>
              <w:rPr>
                <w:rFonts w:eastAsia="Arial" w:cs="Arial"/>
              </w:rPr>
              <w:t xml:space="preserve"> &amp; Gunawardena, 2017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43212B" w14:textId="77777777" w:rsidR="007C6854" w:rsidRDefault="00E0219E">
            <w:pPr>
              <w:ind w:left="220"/>
              <w:jc w:val="center"/>
              <w:rPr>
                <w:rFonts w:eastAsia="Arial" w:cs="Arial"/>
              </w:rPr>
            </w:pPr>
            <w:r>
              <w:rPr>
                <w:rFonts w:eastAsia="Arial" w:cs="Arial"/>
              </w:rPr>
              <w:t>5%</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05C5B32" w14:textId="77777777" w:rsidR="007C6854" w:rsidRDefault="00E0219E">
            <w:pPr>
              <w:ind w:left="220"/>
              <w:jc w:val="center"/>
              <w:rPr>
                <w:rFonts w:eastAsia="Arial" w:cs="Arial"/>
              </w:rPr>
            </w:pPr>
            <w:r>
              <w:rPr>
                <w:rFonts w:eastAsia="Arial" w:cs="Arial"/>
              </w:rPr>
              <w:t>332</w:t>
            </w:r>
          </w:p>
        </w:tc>
      </w:tr>
      <w:tr w:rsidR="007C6854" w14:paraId="600EC109"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5F830" w14:textId="77777777" w:rsidR="007C6854" w:rsidRDefault="00E0219E">
            <w:pPr>
              <w:ind w:left="220"/>
              <w:rPr>
                <w:rFonts w:eastAsia="Arial" w:cs="Arial"/>
              </w:rPr>
            </w:pPr>
            <w:r>
              <w:rPr>
                <w:rFonts w:eastAsia="Arial" w:cs="Arial"/>
              </w:rPr>
              <w:t>Decided Sample Size</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A5F370E" w14:textId="77777777" w:rsidR="007C6854" w:rsidRDefault="007C6854">
            <w:pPr>
              <w:ind w:left="220"/>
              <w:jc w:val="center"/>
              <w:rPr>
                <w:rFonts w:eastAsia="Arial" w:cs="Arial"/>
              </w:rPr>
            </w:pP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61D00A52" w14:textId="77777777" w:rsidR="007C6854" w:rsidRDefault="007C6854">
            <w:pPr>
              <w:ind w:left="220"/>
              <w:jc w:val="center"/>
              <w:rPr>
                <w:rFonts w:eastAsia="Arial" w:cs="Arial"/>
              </w:rPr>
            </w:pP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528DDC2" w14:textId="77777777" w:rsidR="007C6854" w:rsidRDefault="007C6854">
            <w:pPr>
              <w:ind w:left="220"/>
              <w:jc w:val="center"/>
              <w:rPr>
                <w:rFonts w:eastAsia="Arial" w:cs="Aria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1985" w14:textId="77777777" w:rsidR="007C6854" w:rsidRDefault="007C6854">
            <w:pPr>
              <w:ind w:left="220"/>
              <w:jc w:val="center"/>
              <w:rPr>
                <w:rFonts w:eastAsia="Arial" w:cs="Arial"/>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496FC614" w14:textId="77777777" w:rsidR="007C6854" w:rsidRDefault="00E0219E">
            <w:pPr>
              <w:ind w:left="220"/>
              <w:jc w:val="center"/>
              <w:rPr>
                <w:rFonts w:eastAsia="Arial" w:cs="Arial"/>
              </w:rPr>
            </w:pPr>
            <w:r>
              <w:rPr>
                <w:rFonts w:eastAsia="Arial" w:cs="Arial"/>
              </w:rPr>
              <w:t>161</w:t>
            </w:r>
          </w:p>
        </w:tc>
      </w:tr>
      <w:tr w:rsidR="007C6854" w14:paraId="6B2220D9" w14:textId="77777777">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52F5" w14:textId="77777777" w:rsidR="007C6854" w:rsidRDefault="00E0219E">
            <w:pPr>
              <w:ind w:left="220"/>
              <w:rPr>
                <w:rFonts w:eastAsia="Arial" w:cs="Arial"/>
                <w:b/>
              </w:rPr>
            </w:pPr>
            <w:r>
              <w:rPr>
                <w:rFonts w:eastAsia="Arial" w:cs="Arial"/>
                <w:b/>
              </w:rPr>
              <w:t>Adjusted Sample Size (FPC)</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A4B4EEE" w14:textId="77777777" w:rsidR="007C6854" w:rsidRDefault="00E0219E">
            <w:pPr>
              <w:ind w:left="220"/>
              <w:jc w:val="center"/>
              <w:rPr>
                <w:rFonts w:eastAsia="Arial" w:cs="Arial"/>
                <w:b/>
              </w:rPr>
            </w:pPr>
            <w:r>
              <w:rPr>
                <w:rFonts w:eastAsia="Arial" w:cs="Arial"/>
                <w:b/>
              </w:rPr>
              <w:t>N = 1,954 (population of 20 years old and above)</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61FD6B5" w14:textId="77777777" w:rsidR="007C6854" w:rsidRDefault="00E0219E">
            <w:pPr>
              <w:ind w:left="220"/>
              <w:jc w:val="center"/>
              <w:rPr>
                <w:rFonts w:eastAsia="Arial" w:cs="Arial"/>
                <w:b/>
              </w:rPr>
            </w:pPr>
            <w:r>
              <w:rPr>
                <w:rFonts w:eastAsia="Arial" w:cs="Arial"/>
                <w:b/>
              </w:rPr>
              <w:t>X = 161 (below 10% of the population)</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5E7C93DA" w14:textId="77777777" w:rsidR="007C6854" w:rsidRDefault="007C6854">
            <w:pPr>
              <w:ind w:left="220"/>
              <w:jc w:val="center"/>
              <w:rPr>
                <w:rFonts w:eastAsia="Arial" w:cs="Arial"/>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0F194" w14:textId="77777777" w:rsidR="007C6854" w:rsidRDefault="007C6854">
            <w:pPr>
              <w:ind w:left="220"/>
              <w:jc w:val="center"/>
              <w:rPr>
                <w:rFonts w:eastAsia="Arial" w:cs="Arial"/>
                <w:b/>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2809D60" w14:textId="77777777" w:rsidR="007C6854" w:rsidRDefault="00E0219E">
            <w:pPr>
              <w:ind w:left="220"/>
              <w:jc w:val="center"/>
              <w:rPr>
                <w:rFonts w:eastAsia="Arial" w:cs="Arial"/>
                <w:b/>
              </w:rPr>
            </w:pPr>
            <w:r>
              <w:rPr>
                <w:rFonts w:eastAsia="Arial" w:cs="Arial"/>
                <w:b/>
              </w:rPr>
              <w:t>149 (adjusted sample size)</w:t>
            </w:r>
          </w:p>
        </w:tc>
      </w:tr>
    </w:tbl>
    <w:p w14:paraId="17530EC9" w14:textId="77777777" w:rsidR="007C6854" w:rsidRDefault="007C6854">
      <w:pPr>
        <w:pStyle w:val="Heading2"/>
        <w:jc w:val="center"/>
        <w:rPr>
          <w:rFonts w:eastAsia="Arial" w:cs="Arial"/>
          <w:sz w:val="24"/>
          <w:szCs w:val="24"/>
        </w:rPr>
      </w:pPr>
    </w:p>
    <w:p w14:paraId="686AE280" w14:textId="77777777" w:rsidR="007C6854" w:rsidRDefault="007C6854">
      <w:pPr>
        <w:pBdr>
          <w:top w:val="nil"/>
          <w:left w:val="nil"/>
          <w:bottom w:val="nil"/>
          <w:right w:val="nil"/>
          <w:between w:val="nil"/>
        </w:pBdr>
        <w:rPr>
          <w:rFonts w:eastAsia="Arial" w:cs="Arial"/>
          <w:color w:val="000000"/>
          <w:szCs w:val="24"/>
        </w:rPr>
      </w:pPr>
    </w:p>
    <w:p w14:paraId="67802C27" w14:textId="77777777" w:rsidR="007C6854" w:rsidRDefault="007C6854">
      <w:pPr>
        <w:pBdr>
          <w:top w:val="nil"/>
          <w:left w:val="nil"/>
          <w:bottom w:val="nil"/>
          <w:right w:val="nil"/>
          <w:between w:val="nil"/>
        </w:pBdr>
        <w:rPr>
          <w:rFonts w:eastAsia="Arial" w:cs="Arial"/>
          <w:color w:val="000000"/>
          <w:szCs w:val="24"/>
        </w:rPr>
      </w:pPr>
    </w:p>
    <w:p w14:paraId="3B2AC456" w14:textId="77777777" w:rsidR="007C6854" w:rsidRDefault="00E0219E">
      <w:pPr>
        <w:pStyle w:val="Heading2"/>
        <w:jc w:val="center"/>
        <w:rPr>
          <w:rFonts w:eastAsia="Arial" w:cs="Arial"/>
          <w:sz w:val="24"/>
          <w:szCs w:val="24"/>
        </w:rPr>
      </w:pPr>
      <w:bookmarkStart w:id="79" w:name="_heading=h.1x0gk37" w:colFirst="0" w:colLast="0"/>
      <w:bookmarkEnd w:id="79"/>
      <w:r>
        <w:rPr>
          <w:rFonts w:eastAsia="Arial" w:cs="Arial"/>
          <w:sz w:val="24"/>
          <w:szCs w:val="24"/>
        </w:rPr>
        <w:t>Appendix H: Estimation of the Adult Population, 20 years old and above</w:t>
      </w:r>
    </w:p>
    <w:p w14:paraId="72BAEDDB" w14:textId="77777777" w:rsidR="007C6854" w:rsidRDefault="007C6854">
      <w:pPr>
        <w:jc w:val="both"/>
      </w:pPr>
    </w:p>
    <w:p w14:paraId="0843E9DE" w14:textId="77777777" w:rsidR="007C6854" w:rsidRDefault="00E0219E">
      <w:pPr>
        <w:spacing w:line="360" w:lineRule="auto"/>
        <w:ind w:firstLine="420"/>
        <w:jc w:val="both"/>
        <w:rPr>
          <w:rFonts w:eastAsia="Arial" w:cs="Arial"/>
          <w:szCs w:val="24"/>
        </w:rPr>
      </w:pPr>
      <w:r>
        <w:rPr>
          <w:rFonts w:eastAsia="Arial" w:cs="Arial"/>
          <w:color w:val="0A0A0A"/>
          <w:szCs w:val="24"/>
        </w:rPr>
        <w:t xml:space="preserve">The Municipality of Pateros recognizes the Community of </w:t>
      </w:r>
      <w:proofErr w:type="spellStart"/>
      <w:r>
        <w:rPr>
          <w:rFonts w:eastAsia="Arial" w:cs="Arial"/>
          <w:color w:val="0A0A0A"/>
          <w:szCs w:val="24"/>
        </w:rPr>
        <w:t>Bukuhan</w:t>
      </w:r>
      <w:proofErr w:type="spellEnd"/>
      <w:r>
        <w:rPr>
          <w:rFonts w:eastAsia="Arial" w:cs="Arial"/>
          <w:color w:val="0A0A0A"/>
          <w:szCs w:val="24"/>
        </w:rPr>
        <w:t xml:space="preserve"> as an Urban Poor Community. </w:t>
      </w:r>
      <w:r>
        <w:rPr>
          <w:rFonts w:eastAsia="Arial" w:cs="Arial"/>
          <w:szCs w:val="24"/>
        </w:rPr>
        <w:t xml:space="preserve">The total population of the community is around 3,257 individuals. </w:t>
      </w:r>
    </w:p>
    <w:p w14:paraId="306F8E24" w14:textId="77777777" w:rsidR="007C6854" w:rsidRDefault="00E0219E">
      <w:pPr>
        <w:spacing w:line="360" w:lineRule="auto"/>
        <w:ind w:firstLine="420"/>
        <w:jc w:val="both"/>
        <w:rPr>
          <w:rFonts w:eastAsia="Arial" w:cs="Arial"/>
          <w:szCs w:val="24"/>
        </w:rPr>
      </w:pPr>
      <w:r>
        <w:rPr>
          <w:rFonts w:eastAsia="Arial" w:cs="Arial"/>
          <w:szCs w:val="24"/>
        </w:rPr>
        <w:t xml:space="preserve">To get the population of adults ages 20 years and above, the researcher uses the Philippine Statistics Authority (PSA, 2010) project population matrix </w:t>
      </w:r>
      <w:r>
        <w:rPr>
          <w:rFonts w:eastAsia="Arial" w:cs="Arial"/>
          <w:szCs w:val="24"/>
        </w:rPr>
        <w:lastRenderedPageBreak/>
        <w:t xml:space="preserve">for 2018. The percentage of the adult population (20 years and above) is calculated as 60% (See table below). We are projecting that around 1,954 individuals aged 20 years and above are living in the </w:t>
      </w:r>
      <w:proofErr w:type="spellStart"/>
      <w:r>
        <w:rPr>
          <w:rFonts w:eastAsia="Arial" w:cs="Arial"/>
          <w:szCs w:val="24"/>
        </w:rPr>
        <w:t>Bukuhan</w:t>
      </w:r>
      <w:proofErr w:type="spellEnd"/>
      <w:r>
        <w:rPr>
          <w:rFonts w:eastAsia="Arial" w:cs="Arial"/>
          <w:szCs w:val="24"/>
        </w:rPr>
        <w:t xml:space="preserve"> community. </w:t>
      </w:r>
    </w:p>
    <w:p w14:paraId="42ACC02A" w14:textId="77777777" w:rsidR="007C6854" w:rsidRDefault="00E0219E">
      <w:pPr>
        <w:spacing w:line="360" w:lineRule="auto"/>
        <w:ind w:left="220" w:firstLine="241"/>
        <w:jc w:val="center"/>
        <w:rPr>
          <w:rFonts w:eastAsia="Arial" w:cs="Arial"/>
          <w:szCs w:val="24"/>
        </w:rPr>
      </w:pPr>
      <w:r>
        <w:rPr>
          <w:rFonts w:eastAsia="Arial" w:cs="Arial"/>
          <w:b/>
          <w:szCs w:val="24"/>
        </w:rPr>
        <w:t>Table 5:</w:t>
      </w:r>
      <w:r>
        <w:rPr>
          <w:rFonts w:eastAsia="Arial" w:cs="Arial"/>
          <w:szCs w:val="24"/>
        </w:rPr>
        <w:t xml:space="preserve"> Computation of the Percentage of 20 years old and above. The Philippines. 2018</w:t>
      </w:r>
    </w:p>
    <w:tbl>
      <w:tblPr>
        <w:tblStyle w:val="affff2"/>
        <w:tblW w:w="4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2265"/>
      </w:tblGrid>
      <w:tr w:rsidR="007C6854" w14:paraId="1A033407"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D0DD" w14:textId="77777777" w:rsidR="007C6854" w:rsidRDefault="00E0219E">
            <w:pPr>
              <w:spacing w:line="360" w:lineRule="auto"/>
              <w:ind w:left="220"/>
              <w:jc w:val="both"/>
              <w:rPr>
                <w:rFonts w:eastAsia="Arial" w:cs="Arial"/>
                <w:b/>
              </w:rPr>
            </w:pPr>
            <w:r>
              <w:rPr>
                <w:rFonts w:eastAsia="Arial" w:cs="Arial"/>
                <w:b/>
              </w:rPr>
              <w:t>Age Group</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68DDA4AB" w14:textId="77777777" w:rsidR="007C6854" w:rsidRDefault="00E0219E">
            <w:pPr>
              <w:spacing w:line="360" w:lineRule="auto"/>
              <w:ind w:left="220"/>
              <w:jc w:val="center"/>
              <w:rPr>
                <w:rFonts w:eastAsia="Arial" w:cs="Arial"/>
                <w:b/>
              </w:rPr>
            </w:pPr>
            <w:r>
              <w:rPr>
                <w:rFonts w:eastAsia="Arial" w:cs="Arial"/>
                <w:b/>
              </w:rPr>
              <w:t>Philippines</w:t>
            </w:r>
          </w:p>
        </w:tc>
      </w:tr>
      <w:tr w:rsidR="007C6854" w14:paraId="5055D869"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FA658" w14:textId="77777777" w:rsidR="007C6854" w:rsidRDefault="00E0219E">
            <w:pPr>
              <w:spacing w:line="360" w:lineRule="auto"/>
              <w:ind w:left="220"/>
              <w:jc w:val="both"/>
              <w:rPr>
                <w:rFonts w:eastAsia="Arial" w:cs="Arial"/>
              </w:rPr>
            </w:pPr>
            <w:r>
              <w:rPr>
                <w:rFonts w:eastAsia="Arial" w:cs="Arial"/>
              </w:rPr>
              <w:t>20-24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0FCD417B" w14:textId="77777777" w:rsidR="007C6854" w:rsidRDefault="00E0219E">
            <w:pPr>
              <w:spacing w:line="360" w:lineRule="auto"/>
              <w:ind w:left="220"/>
              <w:jc w:val="center"/>
              <w:rPr>
                <w:rFonts w:eastAsia="Arial" w:cs="Arial"/>
              </w:rPr>
            </w:pPr>
            <w:r>
              <w:rPr>
                <w:rFonts w:eastAsia="Arial" w:cs="Arial"/>
              </w:rPr>
              <w:t>9,892,300</w:t>
            </w:r>
          </w:p>
        </w:tc>
      </w:tr>
      <w:tr w:rsidR="007C6854" w14:paraId="377293BC"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0DFD" w14:textId="77777777" w:rsidR="007C6854" w:rsidRDefault="00E0219E">
            <w:pPr>
              <w:spacing w:line="360" w:lineRule="auto"/>
              <w:ind w:left="220"/>
              <w:jc w:val="both"/>
              <w:rPr>
                <w:rFonts w:eastAsia="Arial" w:cs="Arial"/>
              </w:rPr>
            </w:pPr>
            <w:r>
              <w:rPr>
                <w:rFonts w:eastAsia="Arial" w:cs="Arial"/>
              </w:rPr>
              <w:t>25-29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4E914E38" w14:textId="77777777" w:rsidR="007C6854" w:rsidRDefault="00E0219E">
            <w:pPr>
              <w:spacing w:line="360" w:lineRule="auto"/>
              <w:ind w:left="220"/>
              <w:jc w:val="center"/>
              <w:rPr>
                <w:rFonts w:eastAsia="Arial" w:cs="Arial"/>
              </w:rPr>
            </w:pPr>
            <w:r>
              <w:rPr>
                <w:rFonts w:eastAsia="Arial" w:cs="Arial"/>
              </w:rPr>
              <w:t>9,047,900</w:t>
            </w:r>
          </w:p>
        </w:tc>
      </w:tr>
      <w:tr w:rsidR="007C6854" w14:paraId="3221F74D"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A6186" w14:textId="77777777" w:rsidR="007C6854" w:rsidRDefault="00E0219E">
            <w:pPr>
              <w:spacing w:line="360" w:lineRule="auto"/>
              <w:ind w:left="220"/>
              <w:jc w:val="both"/>
              <w:rPr>
                <w:rFonts w:eastAsia="Arial" w:cs="Arial"/>
              </w:rPr>
            </w:pPr>
            <w:r>
              <w:rPr>
                <w:rFonts w:eastAsia="Arial" w:cs="Arial"/>
              </w:rPr>
              <w:t>30-34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5A9C1D6E" w14:textId="77777777" w:rsidR="007C6854" w:rsidRDefault="00E0219E">
            <w:pPr>
              <w:spacing w:line="360" w:lineRule="auto"/>
              <w:ind w:left="220"/>
              <w:jc w:val="center"/>
              <w:rPr>
                <w:rFonts w:eastAsia="Arial" w:cs="Arial"/>
              </w:rPr>
            </w:pPr>
            <w:r>
              <w:rPr>
                <w:rFonts w:eastAsia="Arial" w:cs="Arial"/>
              </w:rPr>
              <w:t>7,869,600</w:t>
            </w:r>
          </w:p>
        </w:tc>
      </w:tr>
      <w:tr w:rsidR="007C6854" w14:paraId="3C582FE9"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25DB" w14:textId="77777777" w:rsidR="007C6854" w:rsidRDefault="00E0219E">
            <w:pPr>
              <w:spacing w:line="360" w:lineRule="auto"/>
              <w:ind w:left="220"/>
              <w:jc w:val="both"/>
              <w:rPr>
                <w:rFonts w:eastAsia="Arial" w:cs="Arial"/>
              </w:rPr>
            </w:pPr>
            <w:r>
              <w:rPr>
                <w:rFonts w:eastAsia="Arial" w:cs="Arial"/>
              </w:rPr>
              <w:t>35-39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4BCE1714" w14:textId="77777777" w:rsidR="007C6854" w:rsidRDefault="00E0219E">
            <w:pPr>
              <w:spacing w:line="360" w:lineRule="auto"/>
              <w:ind w:left="220"/>
              <w:jc w:val="center"/>
              <w:rPr>
                <w:rFonts w:eastAsia="Arial" w:cs="Arial"/>
              </w:rPr>
            </w:pPr>
            <w:r>
              <w:rPr>
                <w:rFonts w:eastAsia="Arial" w:cs="Arial"/>
              </w:rPr>
              <w:t>7,017,600</w:t>
            </w:r>
          </w:p>
        </w:tc>
      </w:tr>
      <w:tr w:rsidR="007C6854" w14:paraId="6A2ACCC5"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2C8BA" w14:textId="77777777" w:rsidR="007C6854" w:rsidRDefault="00E0219E">
            <w:pPr>
              <w:spacing w:line="360" w:lineRule="auto"/>
              <w:ind w:left="220"/>
              <w:jc w:val="both"/>
              <w:rPr>
                <w:rFonts w:eastAsia="Arial" w:cs="Arial"/>
              </w:rPr>
            </w:pPr>
            <w:r>
              <w:rPr>
                <w:rFonts w:eastAsia="Arial" w:cs="Arial"/>
              </w:rPr>
              <w:t>40-44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1D4B3B33" w14:textId="77777777" w:rsidR="007C6854" w:rsidRDefault="00E0219E">
            <w:pPr>
              <w:spacing w:line="360" w:lineRule="auto"/>
              <w:ind w:left="220"/>
              <w:jc w:val="center"/>
              <w:rPr>
                <w:rFonts w:eastAsia="Arial" w:cs="Arial"/>
              </w:rPr>
            </w:pPr>
            <w:r>
              <w:rPr>
                <w:rFonts w:eastAsia="Arial" w:cs="Arial"/>
              </w:rPr>
              <w:t>6,308,000</w:t>
            </w:r>
          </w:p>
        </w:tc>
      </w:tr>
      <w:tr w:rsidR="007C6854" w14:paraId="6443063B"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E9915" w14:textId="77777777" w:rsidR="007C6854" w:rsidRDefault="00E0219E">
            <w:pPr>
              <w:spacing w:line="360" w:lineRule="auto"/>
              <w:ind w:left="220"/>
              <w:jc w:val="both"/>
              <w:rPr>
                <w:rFonts w:eastAsia="Arial" w:cs="Arial"/>
              </w:rPr>
            </w:pPr>
            <w:r>
              <w:rPr>
                <w:rFonts w:eastAsia="Arial" w:cs="Arial"/>
              </w:rPr>
              <w:t>45-49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7043633D" w14:textId="77777777" w:rsidR="007C6854" w:rsidRDefault="00E0219E">
            <w:pPr>
              <w:spacing w:line="360" w:lineRule="auto"/>
              <w:ind w:left="220"/>
              <w:jc w:val="center"/>
              <w:rPr>
                <w:rFonts w:eastAsia="Arial" w:cs="Arial"/>
              </w:rPr>
            </w:pPr>
            <w:r>
              <w:rPr>
                <w:rFonts w:eastAsia="Arial" w:cs="Arial"/>
              </w:rPr>
              <w:t>5,613,200</w:t>
            </w:r>
          </w:p>
        </w:tc>
      </w:tr>
      <w:tr w:rsidR="007C6854" w14:paraId="6EBA7D20"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F500" w14:textId="77777777" w:rsidR="007C6854" w:rsidRDefault="00E0219E">
            <w:pPr>
              <w:spacing w:line="360" w:lineRule="auto"/>
              <w:ind w:left="220"/>
              <w:jc w:val="both"/>
              <w:rPr>
                <w:rFonts w:eastAsia="Arial" w:cs="Arial"/>
              </w:rPr>
            </w:pPr>
            <w:r>
              <w:rPr>
                <w:rFonts w:eastAsia="Arial" w:cs="Arial"/>
              </w:rPr>
              <w:t>50-54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5B8DEC98" w14:textId="77777777" w:rsidR="007C6854" w:rsidRDefault="00E0219E">
            <w:pPr>
              <w:spacing w:line="360" w:lineRule="auto"/>
              <w:ind w:left="220"/>
              <w:jc w:val="center"/>
              <w:rPr>
                <w:rFonts w:eastAsia="Arial" w:cs="Arial"/>
              </w:rPr>
            </w:pPr>
            <w:r>
              <w:rPr>
                <w:rFonts w:eastAsia="Arial" w:cs="Arial"/>
              </w:rPr>
              <w:t>4,918,500</w:t>
            </w:r>
          </w:p>
        </w:tc>
      </w:tr>
      <w:tr w:rsidR="007C6854" w14:paraId="037D9B6C"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22C6" w14:textId="77777777" w:rsidR="007C6854" w:rsidRDefault="00E0219E">
            <w:pPr>
              <w:spacing w:line="360" w:lineRule="auto"/>
              <w:ind w:left="220"/>
              <w:jc w:val="both"/>
              <w:rPr>
                <w:rFonts w:eastAsia="Arial" w:cs="Arial"/>
              </w:rPr>
            </w:pPr>
            <w:r>
              <w:rPr>
                <w:rFonts w:eastAsia="Arial" w:cs="Arial"/>
              </w:rPr>
              <w:t>55-59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73C5BA01" w14:textId="77777777" w:rsidR="007C6854" w:rsidRDefault="00E0219E">
            <w:pPr>
              <w:spacing w:line="360" w:lineRule="auto"/>
              <w:ind w:left="220"/>
              <w:jc w:val="center"/>
              <w:rPr>
                <w:rFonts w:eastAsia="Arial" w:cs="Arial"/>
              </w:rPr>
            </w:pPr>
            <w:r>
              <w:rPr>
                <w:rFonts w:eastAsia="Arial" w:cs="Arial"/>
              </w:rPr>
              <w:t>4,067,300</w:t>
            </w:r>
          </w:p>
        </w:tc>
      </w:tr>
      <w:tr w:rsidR="007C6854" w14:paraId="64ED1356"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36CF" w14:textId="77777777" w:rsidR="007C6854" w:rsidRDefault="00E0219E">
            <w:pPr>
              <w:spacing w:line="360" w:lineRule="auto"/>
              <w:ind w:left="220"/>
              <w:jc w:val="both"/>
              <w:rPr>
                <w:rFonts w:eastAsia="Arial" w:cs="Arial"/>
              </w:rPr>
            </w:pPr>
            <w:r>
              <w:rPr>
                <w:rFonts w:eastAsia="Arial" w:cs="Arial"/>
              </w:rPr>
              <w:t>60-64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5D035BFE" w14:textId="77777777" w:rsidR="007C6854" w:rsidRDefault="00E0219E">
            <w:pPr>
              <w:spacing w:line="360" w:lineRule="auto"/>
              <w:ind w:left="220"/>
              <w:jc w:val="center"/>
              <w:rPr>
                <w:rFonts w:eastAsia="Arial" w:cs="Arial"/>
              </w:rPr>
            </w:pPr>
            <w:r>
              <w:rPr>
                <w:rFonts w:eastAsia="Arial" w:cs="Arial"/>
              </w:rPr>
              <w:t>3,164,900</w:t>
            </w:r>
          </w:p>
        </w:tc>
      </w:tr>
      <w:tr w:rsidR="007C6854" w14:paraId="22A96836"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B1F1" w14:textId="77777777" w:rsidR="007C6854" w:rsidRDefault="00E0219E">
            <w:pPr>
              <w:spacing w:line="360" w:lineRule="auto"/>
              <w:ind w:left="220"/>
              <w:jc w:val="both"/>
              <w:rPr>
                <w:rFonts w:eastAsia="Arial" w:cs="Arial"/>
              </w:rPr>
            </w:pPr>
            <w:r>
              <w:rPr>
                <w:rFonts w:eastAsia="Arial" w:cs="Arial"/>
              </w:rPr>
              <w:t>65-69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39B65360" w14:textId="77777777" w:rsidR="007C6854" w:rsidRDefault="00E0219E">
            <w:pPr>
              <w:spacing w:line="360" w:lineRule="auto"/>
              <w:ind w:left="220"/>
              <w:jc w:val="center"/>
              <w:rPr>
                <w:rFonts w:eastAsia="Arial" w:cs="Arial"/>
              </w:rPr>
            </w:pPr>
            <w:r>
              <w:rPr>
                <w:rFonts w:eastAsia="Arial" w:cs="Arial"/>
              </w:rPr>
              <w:t>2,268,800</w:t>
            </w:r>
          </w:p>
        </w:tc>
      </w:tr>
      <w:tr w:rsidR="007C6854" w14:paraId="631AF257"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FAD64" w14:textId="77777777" w:rsidR="007C6854" w:rsidRDefault="00E0219E">
            <w:pPr>
              <w:spacing w:line="360" w:lineRule="auto"/>
              <w:ind w:left="220"/>
              <w:jc w:val="both"/>
              <w:rPr>
                <w:rFonts w:eastAsia="Arial" w:cs="Arial"/>
              </w:rPr>
            </w:pPr>
            <w:r>
              <w:rPr>
                <w:rFonts w:eastAsia="Arial" w:cs="Arial"/>
              </w:rPr>
              <w:t>70-74</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6C7BC3FF" w14:textId="77777777" w:rsidR="007C6854" w:rsidRDefault="00E0219E">
            <w:pPr>
              <w:spacing w:line="360" w:lineRule="auto"/>
              <w:ind w:left="220"/>
              <w:jc w:val="center"/>
              <w:rPr>
                <w:rFonts w:eastAsia="Arial" w:cs="Arial"/>
              </w:rPr>
            </w:pPr>
            <w:r>
              <w:rPr>
                <w:rFonts w:eastAsia="Arial" w:cs="Arial"/>
              </w:rPr>
              <w:t>1,494,600</w:t>
            </w:r>
          </w:p>
        </w:tc>
      </w:tr>
      <w:tr w:rsidR="007C6854" w14:paraId="2A527E63"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FD23E" w14:textId="77777777" w:rsidR="007C6854" w:rsidRDefault="00E0219E">
            <w:pPr>
              <w:spacing w:line="360" w:lineRule="auto"/>
              <w:ind w:left="220"/>
              <w:jc w:val="both"/>
              <w:rPr>
                <w:rFonts w:eastAsia="Arial" w:cs="Arial"/>
              </w:rPr>
            </w:pPr>
            <w:r>
              <w:rPr>
                <w:rFonts w:eastAsia="Arial" w:cs="Arial"/>
              </w:rPr>
              <w:t>75-79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0EC157D0" w14:textId="77777777" w:rsidR="007C6854" w:rsidRDefault="00E0219E">
            <w:pPr>
              <w:spacing w:line="360" w:lineRule="auto"/>
              <w:ind w:left="220"/>
              <w:jc w:val="center"/>
              <w:rPr>
                <w:rFonts w:eastAsia="Arial" w:cs="Arial"/>
              </w:rPr>
            </w:pPr>
            <w:r>
              <w:rPr>
                <w:rFonts w:eastAsia="Arial" w:cs="Arial"/>
              </w:rPr>
              <w:t>927,600</w:t>
            </w:r>
          </w:p>
        </w:tc>
      </w:tr>
      <w:tr w:rsidR="007C6854" w14:paraId="66A9998E"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75BCE" w14:textId="77777777" w:rsidR="007C6854" w:rsidRDefault="00E0219E">
            <w:pPr>
              <w:spacing w:line="360" w:lineRule="auto"/>
              <w:ind w:left="220"/>
              <w:jc w:val="both"/>
              <w:rPr>
                <w:rFonts w:eastAsia="Arial" w:cs="Arial"/>
              </w:rPr>
            </w:pPr>
            <w:r>
              <w:rPr>
                <w:rFonts w:eastAsia="Arial" w:cs="Arial"/>
              </w:rPr>
              <w:t>80+</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3019BE63" w14:textId="77777777" w:rsidR="007C6854" w:rsidRDefault="00E0219E">
            <w:pPr>
              <w:spacing w:line="360" w:lineRule="auto"/>
              <w:ind w:left="220"/>
              <w:jc w:val="center"/>
              <w:rPr>
                <w:rFonts w:eastAsia="Arial" w:cs="Arial"/>
              </w:rPr>
            </w:pPr>
            <w:r>
              <w:rPr>
                <w:rFonts w:eastAsia="Arial" w:cs="Arial"/>
              </w:rPr>
              <w:t>882,800</w:t>
            </w:r>
          </w:p>
        </w:tc>
      </w:tr>
      <w:tr w:rsidR="007C6854" w14:paraId="12EE9C2F"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4C244" w14:textId="77777777" w:rsidR="007C6854" w:rsidRDefault="00E0219E">
            <w:pPr>
              <w:spacing w:line="360" w:lineRule="auto"/>
              <w:ind w:left="220"/>
              <w:jc w:val="both"/>
              <w:rPr>
                <w:rFonts w:eastAsia="Arial" w:cs="Arial"/>
              </w:rPr>
            </w:pPr>
            <w:r>
              <w:rPr>
                <w:rFonts w:eastAsia="Arial" w:cs="Arial"/>
              </w:rPr>
              <w:t>Total 20-69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014D70D7" w14:textId="77777777" w:rsidR="007C6854" w:rsidRDefault="00E0219E">
            <w:pPr>
              <w:spacing w:line="360" w:lineRule="auto"/>
              <w:ind w:left="220"/>
              <w:jc w:val="center"/>
              <w:rPr>
                <w:rFonts w:eastAsia="Arial" w:cs="Arial"/>
              </w:rPr>
            </w:pPr>
            <w:r>
              <w:rPr>
                <w:rFonts w:eastAsia="Arial" w:cs="Arial"/>
              </w:rPr>
              <w:t>63,473,100</w:t>
            </w:r>
          </w:p>
        </w:tc>
      </w:tr>
      <w:tr w:rsidR="007C6854" w14:paraId="724D6B51" w14:textId="77777777">
        <w:trPr>
          <w:trHeight w:val="190"/>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A73C4" w14:textId="77777777" w:rsidR="007C6854" w:rsidRDefault="00E0219E">
            <w:pPr>
              <w:spacing w:line="360" w:lineRule="auto"/>
              <w:ind w:left="220"/>
              <w:jc w:val="both"/>
              <w:rPr>
                <w:rFonts w:eastAsia="Arial" w:cs="Arial"/>
              </w:rPr>
            </w:pPr>
            <w:r>
              <w:rPr>
                <w:rFonts w:eastAsia="Arial" w:cs="Arial"/>
              </w:rPr>
              <w:t>Total 2018</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4B68107D" w14:textId="77777777" w:rsidR="007C6854" w:rsidRDefault="00E0219E">
            <w:pPr>
              <w:spacing w:line="360" w:lineRule="auto"/>
              <w:ind w:left="220"/>
              <w:jc w:val="center"/>
              <w:rPr>
                <w:rFonts w:eastAsia="Arial" w:cs="Arial"/>
              </w:rPr>
            </w:pPr>
            <w:r>
              <w:rPr>
                <w:rFonts w:eastAsia="Arial" w:cs="Arial"/>
              </w:rPr>
              <w:t>106,598,600</w:t>
            </w:r>
          </w:p>
        </w:tc>
      </w:tr>
      <w:tr w:rsidR="007C6854" w14:paraId="07B27626" w14:textId="77777777">
        <w:trPr>
          <w:trHeight w:val="191"/>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EF73" w14:textId="77777777" w:rsidR="007C6854" w:rsidRDefault="00E0219E">
            <w:pPr>
              <w:spacing w:line="360" w:lineRule="auto"/>
              <w:ind w:left="220"/>
              <w:jc w:val="both"/>
              <w:rPr>
                <w:rFonts w:eastAsia="Arial" w:cs="Arial"/>
                <w:b/>
              </w:rPr>
            </w:pPr>
            <w:r>
              <w:rPr>
                <w:rFonts w:eastAsia="Arial" w:cs="Arial"/>
                <w:b/>
              </w:rPr>
              <w:lastRenderedPageBreak/>
              <w:t>Percentage 20-69</w:t>
            </w: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6760CD57" w14:textId="77777777" w:rsidR="007C6854" w:rsidRDefault="00E0219E">
            <w:pPr>
              <w:spacing w:line="360" w:lineRule="auto"/>
              <w:ind w:left="220"/>
              <w:jc w:val="center"/>
              <w:rPr>
                <w:rFonts w:eastAsia="Arial" w:cs="Arial"/>
                <w:b/>
              </w:rPr>
            </w:pPr>
            <w:r>
              <w:rPr>
                <w:rFonts w:eastAsia="Arial" w:cs="Arial"/>
                <w:b/>
              </w:rPr>
              <w:t>60%</w:t>
            </w:r>
          </w:p>
        </w:tc>
      </w:tr>
    </w:tbl>
    <w:p w14:paraId="646B46BA" w14:textId="77777777" w:rsidR="007C6854" w:rsidRDefault="00E0219E">
      <w:pPr>
        <w:spacing w:line="360" w:lineRule="auto"/>
        <w:ind w:left="1680" w:firstLine="240"/>
        <w:rPr>
          <w:rFonts w:eastAsia="Arial" w:cs="Arial"/>
          <w:szCs w:val="24"/>
        </w:rPr>
      </w:pPr>
      <w:r>
        <w:rPr>
          <w:rFonts w:eastAsia="Arial" w:cs="Arial"/>
          <w:szCs w:val="24"/>
        </w:rPr>
        <w:t>Source: PSA, 2010</w:t>
      </w:r>
    </w:p>
    <w:p w14:paraId="02852CE2" w14:textId="77777777" w:rsidR="007C6854" w:rsidRDefault="00E0219E">
      <w:pPr>
        <w:pStyle w:val="Heading2"/>
        <w:jc w:val="center"/>
        <w:rPr>
          <w:rFonts w:eastAsia="Arial" w:cs="Arial"/>
          <w:sz w:val="24"/>
          <w:szCs w:val="24"/>
        </w:rPr>
      </w:pPr>
      <w:bookmarkStart w:id="80" w:name="_heading=h.4h042r0" w:colFirst="0" w:colLast="0"/>
      <w:bookmarkEnd w:id="80"/>
      <w:r>
        <w:br w:type="page"/>
      </w:r>
      <w:r>
        <w:rPr>
          <w:rFonts w:eastAsia="Arial" w:cs="Arial"/>
          <w:sz w:val="24"/>
          <w:szCs w:val="24"/>
        </w:rPr>
        <w:lastRenderedPageBreak/>
        <w:t>Appendix I. Summary of the Research Construct</w:t>
      </w:r>
    </w:p>
    <w:p w14:paraId="4A178F60" w14:textId="77777777" w:rsidR="007C6854" w:rsidRDefault="007C6854">
      <w:pPr>
        <w:spacing w:after="160" w:line="360" w:lineRule="auto"/>
        <w:ind w:left="220"/>
        <w:rPr>
          <w:rFonts w:eastAsia="Arial" w:cs="Arial"/>
          <w:szCs w:val="24"/>
        </w:rPr>
      </w:pPr>
    </w:p>
    <w:p w14:paraId="04E43557" w14:textId="77777777" w:rsidR="007C6854" w:rsidRDefault="00E0219E">
      <w:pPr>
        <w:spacing w:line="360" w:lineRule="auto"/>
        <w:ind w:left="220" w:firstLine="240"/>
        <w:jc w:val="both"/>
        <w:rPr>
          <w:rFonts w:eastAsia="Arial" w:cs="Arial"/>
          <w:szCs w:val="24"/>
        </w:rPr>
      </w:pPr>
      <w:r>
        <w:rPr>
          <w:rFonts w:eastAsia="Arial" w:cs="Arial"/>
          <w:szCs w:val="24"/>
        </w:rPr>
        <w:t>The research theory/model construct and the study variables and information were explored during the survey.</w:t>
      </w:r>
    </w:p>
    <w:p w14:paraId="41DEFE75" w14:textId="77777777" w:rsidR="007C6854" w:rsidRDefault="00E0219E">
      <w:pPr>
        <w:spacing w:line="360" w:lineRule="auto"/>
        <w:ind w:left="220" w:firstLine="241"/>
        <w:jc w:val="center"/>
        <w:rPr>
          <w:rFonts w:eastAsia="Arial" w:cs="Arial"/>
          <w:b/>
          <w:szCs w:val="24"/>
        </w:rPr>
      </w:pPr>
      <w:bookmarkStart w:id="81" w:name="_heading=h.tyjcwt" w:colFirst="0" w:colLast="0"/>
      <w:bookmarkEnd w:id="81"/>
      <w:r>
        <w:rPr>
          <w:rFonts w:eastAsia="Arial" w:cs="Arial"/>
          <w:szCs w:val="24"/>
        </w:rPr>
        <w:t>Theory/Model Construct, Study Variables, &amp; Indicators</w:t>
      </w:r>
    </w:p>
    <w:tbl>
      <w:tblPr>
        <w:tblStyle w:val="affff3"/>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3177"/>
        <w:gridCol w:w="3177"/>
      </w:tblGrid>
      <w:tr w:rsidR="007C6854" w14:paraId="05E065B1" w14:textId="77777777">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22D49CA8" w14:textId="77777777" w:rsidR="007C6854" w:rsidRDefault="00E0219E">
            <w:pPr>
              <w:spacing w:after="160" w:line="360" w:lineRule="auto"/>
              <w:rPr>
                <w:rFonts w:eastAsia="Arial" w:cs="Arial"/>
                <w:b/>
                <w:szCs w:val="24"/>
              </w:rPr>
            </w:pPr>
            <w:r>
              <w:rPr>
                <w:rFonts w:eastAsia="Arial" w:cs="Arial"/>
                <w:b/>
                <w:szCs w:val="24"/>
              </w:rPr>
              <w:t>Theory/Model</w:t>
            </w:r>
          </w:p>
        </w:tc>
        <w:tc>
          <w:tcPr>
            <w:tcW w:w="3177" w:type="dxa"/>
            <w:tcBorders>
              <w:top w:val="single" w:sz="4" w:space="0" w:color="000000"/>
              <w:left w:val="nil"/>
              <w:bottom w:val="single" w:sz="4" w:space="0" w:color="000000"/>
              <w:right w:val="single" w:sz="4" w:space="0" w:color="000000"/>
            </w:tcBorders>
            <w:shd w:val="clear" w:color="auto" w:fill="auto"/>
          </w:tcPr>
          <w:p w14:paraId="518A9DD1" w14:textId="77777777" w:rsidR="007C6854" w:rsidRDefault="00E0219E">
            <w:pPr>
              <w:spacing w:after="160" w:line="360" w:lineRule="auto"/>
              <w:ind w:left="220"/>
              <w:rPr>
                <w:rFonts w:eastAsia="Arial" w:cs="Arial"/>
                <w:b/>
                <w:szCs w:val="24"/>
              </w:rPr>
            </w:pPr>
            <w:r>
              <w:rPr>
                <w:rFonts w:eastAsia="Arial" w:cs="Arial"/>
                <w:b/>
                <w:szCs w:val="24"/>
              </w:rPr>
              <w:t>Survey Category</w:t>
            </w:r>
          </w:p>
        </w:tc>
        <w:tc>
          <w:tcPr>
            <w:tcW w:w="3177" w:type="dxa"/>
            <w:tcBorders>
              <w:top w:val="single" w:sz="4" w:space="0" w:color="000000"/>
              <w:left w:val="nil"/>
              <w:bottom w:val="single" w:sz="4" w:space="0" w:color="000000"/>
              <w:right w:val="single" w:sz="4" w:space="0" w:color="000000"/>
            </w:tcBorders>
            <w:shd w:val="clear" w:color="auto" w:fill="auto"/>
          </w:tcPr>
          <w:p w14:paraId="4DD52B06" w14:textId="77777777" w:rsidR="007C6854" w:rsidRDefault="00E0219E">
            <w:pPr>
              <w:spacing w:after="160" w:line="360" w:lineRule="auto"/>
              <w:ind w:left="220"/>
              <w:rPr>
                <w:rFonts w:eastAsia="Arial" w:cs="Arial"/>
                <w:b/>
                <w:szCs w:val="24"/>
              </w:rPr>
            </w:pPr>
            <w:r>
              <w:rPr>
                <w:rFonts w:eastAsia="Arial" w:cs="Arial"/>
                <w:b/>
                <w:szCs w:val="24"/>
              </w:rPr>
              <w:t>Information</w:t>
            </w:r>
          </w:p>
        </w:tc>
      </w:tr>
      <w:tr w:rsidR="007C6854" w14:paraId="6C305C10" w14:textId="77777777">
        <w:tc>
          <w:tcPr>
            <w:tcW w:w="3177" w:type="dxa"/>
            <w:vMerge w:val="restart"/>
            <w:tcBorders>
              <w:top w:val="single" w:sz="4" w:space="0" w:color="000000"/>
              <w:left w:val="single" w:sz="4" w:space="0" w:color="000000"/>
              <w:right w:val="single" w:sz="4" w:space="0" w:color="000000"/>
            </w:tcBorders>
            <w:shd w:val="clear" w:color="auto" w:fill="auto"/>
          </w:tcPr>
          <w:p w14:paraId="0CA9E8FB" w14:textId="77777777" w:rsidR="007C6854" w:rsidRDefault="00E0219E">
            <w:pPr>
              <w:spacing w:after="160" w:line="360" w:lineRule="auto"/>
              <w:ind w:left="220"/>
              <w:rPr>
                <w:rFonts w:eastAsia="Arial" w:cs="Arial"/>
                <w:szCs w:val="24"/>
              </w:rPr>
            </w:pPr>
            <w:r>
              <w:rPr>
                <w:rFonts w:eastAsia="Arial" w:cs="Arial"/>
                <w:szCs w:val="24"/>
              </w:rPr>
              <w:t>Urban HEART</w:t>
            </w:r>
          </w:p>
          <w:p w14:paraId="6D5BA911" w14:textId="77777777" w:rsidR="007C6854" w:rsidRDefault="00E0219E">
            <w:pPr>
              <w:spacing w:after="160" w:line="360" w:lineRule="auto"/>
              <w:ind w:left="220"/>
              <w:rPr>
                <w:rFonts w:eastAsia="Arial" w:cs="Arial"/>
                <w:szCs w:val="24"/>
              </w:rPr>
            </w:pPr>
            <w:proofErr w:type="spellStart"/>
            <w:r>
              <w:rPr>
                <w:rFonts w:eastAsia="Arial" w:cs="Arial"/>
                <w:szCs w:val="24"/>
              </w:rPr>
              <w:t>STEPwise</w:t>
            </w:r>
            <w:proofErr w:type="spellEnd"/>
            <w:r>
              <w:rPr>
                <w:rFonts w:eastAsia="Arial" w:cs="Arial"/>
                <w:szCs w:val="24"/>
              </w:rPr>
              <w:t xml:space="preserve"> Approach</w:t>
            </w:r>
          </w:p>
        </w:tc>
        <w:tc>
          <w:tcPr>
            <w:tcW w:w="3177" w:type="dxa"/>
            <w:vMerge w:val="restart"/>
            <w:tcBorders>
              <w:top w:val="single" w:sz="4" w:space="0" w:color="000000"/>
              <w:left w:val="nil"/>
              <w:right w:val="single" w:sz="4" w:space="0" w:color="000000"/>
            </w:tcBorders>
            <w:shd w:val="clear" w:color="auto" w:fill="auto"/>
          </w:tcPr>
          <w:p w14:paraId="7071E0BE" w14:textId="77777777" w:rsidR="007C6854" w:rsidRDefault="00E0219E">
            <w:pPr>
              <w:spacing w:after="160" w:line="360" w:lineRule="auto"/>
              <w:ind w:left="220"/>
              <w:rPr>
                <w:rFonts w:eastAsia="Arial" w:cs="Arial"/>
                <w:szCs w:val="24"/>
              </w:rPr>
            </w:pPr>
            <w:r>
              <w:rPr>
                <w:rFonts w:eastAsia="Arial" w:cs="Arial"/>
                <w:szCs w:val="24"/>
              </w:rPr>
              <w:t>Pre-existing condition</w:t>
            </w:r>
          </w:p>
          <w:p w14:paraId="5BC7C4B2" w14:textId="77777777" w:rsidR="007C6854" w:rsidRDefault="00E0219E">
            <w:pPr>
              <w:spacing w:after="160" w:line="360" w:lineRule="auto"/>
              <w:ind w:left="220"/>
              <w:rPr>
                <w:rFonts w:eastAsia="Arial" w:cs="Arial"/>
                <w:szCs w:val="24"/>
              </w:rPr>
            </w:pPr>
            <w:r>
              <w:rPr>
                <w:rFonts w:eastAsia="Arial" w:cs="Arial"/>
                <w:szCs w:val="24"/>
              </w:rPr>
              <w:t xml:space="preserve"> </w:t>
            </w:r>
          </w:p>
        </w:tc>
        <w:tc>
          <w:tcPr>
            <w:tcW w:w="3177" w:type="dxa"/>
            <w:tcBorders>
              <w:top w:val="single" w:sz="4" w:space="0" w:color="000000"/>
              <w:left w:val="nil"/>
              <w:bottom w:val="single" w:sz="4" w:space="0" w:color="000000"/>
              <w:right w:val="single" w:sz="4" w:space="0" w:color="000000"/>
            </w:tcBorders>
            <w:shd w:val="clear" w:color="auto" w:fill="auto"/>
          </w:tcPr>
          <w:p w14:paraId="19D1BB41" w14:textId="77777777" w:rsidR="007C6854" w:rsidRDefault="00E0219E">
            <w:pPr>
              <w:numPr>
                <w:ilvl w:val="0"/>
                <w:numId w:val="35"/>
              </w:numPr>
              <w:spacing w:after="160" w:line="360" w:lineRule="auto"/>
              <w:rPr>
                <w:rFonts w:eastAsia="Arial" w:cs="Arial"/>
                <w:szCs w:val="24"/>
              </w:rPr>
            </w:pPr>
            <w:r>
              <w:rPr>
                <w:rFonts w:eastAsia="Arial" w:cs="Arial"/>
                <w:szCs w:val="24"/>
              </w:rPr>
              <w:t xml:space="preserve">Hypertension </w:t>
            </w:r>
          </w:p>
          <w:p w14:paraId="1E09773F" w14:textId="77777777" w:rsidR="007C6854" w:rsidRDefault="007C6854">
            <w:pPr>
              <w:spacing w:after="160" w:line="360" w:lineRule="auto"/>
              <w:ind w:left="220"/>
              <w:rPr>
                <w:rFonts w:eastAsia="Arial" w:cs="Arial"/>
                <w:szCs w:val="24"/>
              </w:rPr>
            </w:pPr>
          </w:p>
        </w:tc>
      </w:tr>
      <w:tr w:rsidR="007C6854" w14:paraId="18C2CC75" w14:textId="77777777">
        <w:tc>
          <w:tcPr>
            <w:tcW w:w="3177" w:type="dxa"/>
            <w:vMerge/>
            <w:tcBorders>
              <w:top w:val="single" w:sz="4" w:space="0" w:color="000000"/>
              <w:left w:val="single" w:sz="4" w:space="0" w:color="000000"/>
              <w:right w:val="single" w:sz="4" w:space="0" w:color="000000"/>
            </w:tcBorders>
            <w:shd w:val="clear" w:color="auto" w:fill="auto"/>
          </w:tcPr>
          <w:p w14:paraId="1648CA26" w14:textId="77777777" w:rsidR="007C6854" w:rsidRDefault="007C6854">
            <w:pPr>
              <w:widowControl w:val="0"/>
              <w:pBdr>
                <w:top w:val="nil"/>
                <w:left w:val="nil"/>
                <w:bottom w:val="nil"/>
                <w:right w:val="nil"/>
                <w:between w:val="nil"/>
              </w:pBdr>
              <w:spacing w:line="276" w:lineRule="auto"/>
              <w:rPr>
                <w:rFonts w:eastAsia="Arial" w:cs="Arial"/>
                <w:szCs w:val="24"/>
              </w:rPr>
            </w:pPr>
          </w:p>
        </w:tc>
        <w:tc>
          <w:tcPr>
            <w:tcW w:w="3177" w:type="dxa"/>
            <w:vMerge/>
            <w:tcBorders>
              <w:top w:val="single" w:sz="4" w:space="0" w:color="000000"/>
              <w:left w:val="nil"/>
              <w:right w:val="single" w:sz="4" w:space="0" w:color="000000"/>
            </w:tcBorders>
            <w:shd w:val="clear" w:color="auto" w:fill="auto"/>
          </w:tcPr>
          <w:p w14:paraId="017FE2DC" w14:textId="77777777" w:rsidR="007C6854" w:rsidRDefault="007C6854">
            <w:pPr>
              <w:widowControl w:val="0"/>
              <w:pBdr>
                <w:top w:val="nil"/>
                <w:left w:val="nil"/>
                <w:bottom w:val="nil"/>
                <w:right w:val="nil"/>
                <w:between w:val="nil"/>
              </w:pBdr>
              <w:spacing w:line="276" w:lineRule="auto"/>
              <w:rPr>
                <w:rFonts w:eastAsia="Arial" w:cs="Arial"/>
                <w:szCs w:val="24"/>
              </w:rPr>
            </w:pPr>
          </w:p>
        </w:tc>
        <w:tc>
          <w:tcPr>
            <w:tcW w:w="3177" w:type="dxa"/>
            <w:tcBorders>
              <w:top w:val="single" w:sz="4" w:space="0" w:color="000000"/>
              <w:left w:val="nil"/>
              <w:bottom w:val="single" w:sz="4" w:space="0" w:color="000000"/>
              <w:right w:val="single" w:sz="4" w:space="0" w:color="000000"/>
            </w:tcBorders>
            <w:shd w:val="clear" w:color="auto" w:fill="auto"/>
          </w:tcPr>
          <w:p w14:paraId="222EB73D" w14:textId="77777777" w:rsidR="007C6854" w:rsidRDefault="00E0219E">
            <w:pPr>
              <w:numPr>
                <w:ilvl w:val="0"/>
                <w:numId w:val="35"/>
              </w:numPr>
              <w:spacing w:after="160" w:line="360" w:lineRule="auto"/>
              <w:rPr>
                <w:rFonts w:eastAsia="Arial" w:cs="Arial"/>
                <w:szCs w:val="24"/>
              </w:rPr>
            </w:pPr>
            <w:r>
              <w:rPr>
                <w:rFonts w:eastAsia="Arial" w:cs="Arial"/>
                <w:szCs w:val="24"/>
              </w:rPr>
              <w:t xml:space="preserve">Self-reported use of antihypertensive medication prescribed by a doctor or a health worker in the past two weeks and/or </w:t>
            </w:r>
          </w:p>
          <w:p w14:paraId="7538642B" w14:textId="77777777" w:rsidR="007C6854" w:rsidRDefault="00E0219E">
            <w:pPr>
              <w:numPr>
                <w:ilvl w:val="0"/>
                <w:numId w:val="35"/>
              </w:numPr>
              <w:spacing w:after="160" w:line="360" w:lineRule="auto"/>
              <w:rPr>
                <w:rFonts w:eastAsia="Arial" w:cs="Arial"/>
                <w:szCs w:val="24"/>
              </w:rPr>
            </w:pPr>
            <w:r>
              <w:rPr>
                <w:rFonts w:eastAsia="Arial" w:cs="Arial"/>
                <w:szCs w:val="24"/>
              </w:rPr>
              <w:t xml:space="preserve">Have you ever been told by a doctor or health worker of having raised blood pressure or hypertension in the past 12 months? </w:t>
            </w:r>
          </w:p>
          <w:p w14:paraId="0F67B621" w14:textId="77777777" w:rsidR="007C6854" w:rsidRDefault="007C6854">
            <w:pPr>
              <w:spacing w:after="160" w:line="360" w:lineRule="auto"/>
              <w:rPr>
                <w:rFonts w:eastAsia="Arial" w:cs="Arial"/>
                <w:szCs w:val="24"/>
              </w:rPr>
            </w:pPr>
          </w:p>
        </w:tc>
      </w:tr>
      <w:tr w:rsidR="007C6854" w14:paraId="49E1CAEA" w14:textId="77777777">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2A6E63" w14:textId="77777777" w:rsidR="007C6854" w:rsidRDefault="00E0219E">
            <w:pPr>
              <w:spacing w:after="160" w:line="360" w:lineRule="auto"/>
              <w:ind w:left="220"/>
              <w:rPr>
                <w:rFonts w:eastAsia="Arial" w:cs="Arial"/>
                <w:szCs w:val="24"/>
              </w:rPr>
            </w:pPr>
            <w:r>
              <w:rPr>
                <w:rFonts w:eastAsia="Arial" w:cs="Arial"/>
                <w:szCs w:val="24"/>
              </w:rPr>
              <w:t>Urban HEART</w:t>
            </w:r>
          </w:p>
          <w:p w14:paraId="6AD9832F" w14:textId="77777777" w:rsidR="007C6854" w:rsidRDefault="00E0219E">
            <w:pPr>
              <w:spacing w:after="160" w:line="360" w:lineRule="auto"/>
              <w:ind w:left="220"/>
              <w:rPr>
                <w:rFonts w:eastAsia="Arial" w:cs="Arial"/>
                <w:szCs w:val="24"/>
              </w:rPr>
            </w:pPr>
            <w:r>
              <w:rPr>
                <w:rFonts w:eastAsia="Arial" w:cs="Arial"/>
                <w:szCs w:val="24"/>
              </w:rPr>
              <w:t>STEPWISE Approach</w:t>
            </w:r>
          </w:p>
        </w:tc>
        <w:tc>
          <w:tcPr>
            <w:tcW w:w="3177" w:type="dxa"/>
            <w:tcBorders>
              <w:top w:val="single" w:sz="4" w:space="0" w:color="000000"/>
              <w:left w:val="nil"/>
              <w:bottom w:val="single" w:sz="4" w:space="0" w:color="000000"/>
              <w:right w:val="single" w:sz="4" w:space="0" w:color="000000"/>
            </w:tcBorders>
            <w:shd w:val="clear" w:color="auto" w:fill="auto"/>
          </w:tcPr>
          <w:p w14:paraId="358A9D42" w14:textId="77777777" w:rsidR="007C6854" w:rsidRDefault="00E0219E">
            <w:pPr>
              <w:spacing w:after="160" w:line="360" w:lineRule="auto"/>
              <w:ind w:left="220"/>
              <w:rPr>
                <w:rFonts w:eastAsia="Arial" w:cs="Arial"/>
                <w:szCs w:val="24"/>
              </w:rPr>
            </w:pPr>
            <w:r>
              <w:rPr>
                <w:rFonts w:eastAsia="Arial" w:cs="Arial"/>
                <w:szCs w:val="24"/>
              </w:rPr>
              <w:t>Socio-Demographic</w:t>
            </w:r>
          </w:p>
        </w:tc>
        <w:tc>
          <w:tcPr>
            <w:tcW w:w="3177" w:type="dxa"/>
            <w:tcBorders>
              <w:top w:val="single" w:sz="4" w:space="0" w:color="000000"/>
              <w:left w:val="nil"/>
              <w:bottom w:val="single" w:sz="4" w:space="0" w:color="000000"/>
              <w:right w:val="single" w:sz="4" w:space="0" w:color="000000"/>
            </w:tcBorders>
            <w:shd w:val="clear" w:color="auto" w:fill="auto"/>
          </w:tcPr>
          <w:p w14:paraId="21BFB822"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Age Group (by 5)</w:t>
            </w:r>
          </w:p>
          <w:p w14:paraId="5307AAF2"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Gender (Male / Female)</w:t>
            </w:r>
          </w:p>
          <w:p w14:paraId="6835E166"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lastRenderedPageBreak/>
              <w:t>Marital status (Never married, currently married, Separated, Widowed, Cohabitating)</w:t>
            </w:r>
          </w:p>
          <w:p w14:paraId="7614FDF0"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Employment Status (primary work status in the past 12 months))</w:t>
            </w:r>
          </w:p>
          <w:p w14:paraId="1E5ED202"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Family annual income (family monthly income x 12)</w:t>
            </w:r>
          </w:p>
          <w:p w14:paraId="36AB46E8"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Wealth category [using the Philippine Institute for Development Studies Income Class Cluster (PIDS, 2018)]</w:t>
            </w:r>
          </w:p>
          <w:p w14:paraId="63CC0440"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Religion (Belief or Religious affiliation)</w:t>
            </w:r>
          </w:p>
          <w:p w14:paraId="24CC0084"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 xml:space="preserve">Ethnicity (e.g. Tagalog, Ilocano, Kapampangan, Waray, Cebuano, </w:t>
            </w:r>
            <w:proofErr w:type="spellStart"/>
            <w:r>
              <w:rPr>
                <w:rFonts w:eastAsia="Arial" w:cs="Arial"/>
                <w:szCs w:val="24"/>
              </w:rPr>
              <w:t>etc</w:t>
            </w:r>
            <w:proofErr w:type="spellEnd"/>
            <w:r>
              <w:rPr>
                <w:rFonts w:eastAsia="Arial" w:cs="Arial"/>
                <w:szCs w:val="24"/>
              </w:rPr>
              <w:t>)</w:t>
            </w:r>
          </w:p>
          <w:p w14:paraId="413C85B2"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Health Insurance (e.g. Private and PhilHealth)</w:t>
            </w:r>
          </w:p>
        </w:tc>
      </w:tr>
      <w:tr w:rsidR="007C6854" w14:paraId="3E7FAFE5" w14:textId="77777777">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6325742" w14:textId="77777777" w:rsidR="007C6854" w:rsidRDefault="00E0219E">
            <w:pPr>
              <w:spacing w:after="160" w:line="360" w:lineRule="auto"/>
              <w:ind w:left="220"/>
              <w:rPr>
                <w:rFonts w:eastAsia="Arial" w:cs="Arial"/>
                <w:szCs w:val="24"/>
              </w:rPr>
            </w:pPr>
            <w:r>
              <w:rPr>
                <w:rFonts w:eastAsia="Arial" w:cs="Arial"/>
                <w:szCs w:val="24"/>
              </w:rPr>
              <w:lastRenderedPageBreak/>
              <w:t xml:space="preserve">Osborne, </w:t>
            </w:r>
            <w:proofErr w:type="spellStart"/>
            <w:r>
              <w:rPr>
                <w:rFonts w:eastAsia="Arial" w:cs="Arial"/>
                <w:szCs w:val="24"/>
              </w:rPr>
              <w:t>Batterham</w:t>
            </w:r>
            <w:proofErr w:type="spellEnd"/>
            <w:r>
              <w:rPr>
                <w:rFonts w:eastAsia="Arial" w:cs="Arial"/>
                <w:szCs w:val="24"/>
              </w:rPr>
              <w:t>, Elsworth, Hawkins, &amp; Buchbinder (2013)</w:t>
            </w:r>
          </w:p>
        </w:tc>
        <w:tc>
          <w:tcPr>
            <w:tcW w:w="3177" w:type="dxa"/>
            <w:tcBorders>
              <w:top w:val="single" w:sz="4" w:space="0" w:color="000000"/>
              <w:left w:val="nil"/>
              <w:bottom w:val="single" w:sz="4" w:space="0" w:color="000000"/>
              <w:right w:val="single" w:sz="4" w:space="0" w:color="000000"/>
            </w:tcBorders>
            <w:shd w:val="clear" w:color="auto" w:fill="auto"/>
          </w:tcPr>
          <w:p w14:paraId="044A8088" w14:textId="77777777" w:rsidR="007C6854" w:rsidRDefault="00E0219E">
            <w:pPr>
              <w:spacing w:after="160" w:line="360" w:lineRule="auto"/>
              <w:ind w:left="220"/>
              <w:rPr>
                <w:rFonts w:eastAsia="Arial" w:cs="Arial"/>
                <w:szCs w:val="24"/>
              </w:rPr>
            </w:pPr>
            <w:r>
              <w:rPr>
                <w:rFonts w:eastAsia="Arial" w:cs="Arial"/>
                <w:szCs w:val="24"/>
              </w:rPr>
              <w:t xml:space="preserve">Health Literacy </w:t>
            </w:r>
          </w:p>
        </w:tc>
        <w:tc>
          <w:tcPr>
            <w:tcW w:w="3177" w:type="dxa"/>
            <w:tcBorders>
              <w:top w:val="single" w:sz="4" w:space="0" w:color="000000"/>
              <w:left w:val="nil"/>
              <w:bottom w:val="single" w:sz="4" w:space="0" w:color="000000"/>
              <w:right w:val="single" w:sz="4" w:space="0" w:color="000000"/>
            </w:tcBorders>
            <w:shd w:val="clear" w:color="auto" w:fill="auto"/>
          </w:tcPr>
          <w:p w14:paraId="39319721" w14:textId="77777777" w:rsidR="007C6854" w:rsidRDefault="00E0219E">
            <w:pPr>
              <w:numPr>
                <w:ilvl w:val="0"/>
                <w:numId w:val="35"/>
              </w:numPr>
              <w:spacing w:after="160" w:line="360" w:lineRule="auto"/>
              <w:ind w:left="220" w:firstLine="0"/>
              <w:rPr>
                <w:rFonts w:eastAsia="Arial" w:cs="Arial"/>
                <w:szCs w:val="24"/>
              </w:rPr>
            </w:pPr>
            <w:r>
              <w:rPr>
                <w:rFonts w:eastAsia="Arial" w:cs="Arial"/>
                <w:szCs w:val="24"/>
              </w:rPr>
              <w:t>Nine Scale Questions that will assess 1) basic/ functional health literacy, 2) Communicative/interactive health literacy, and 3) Critical Literacy</w:t>
            </w:r>
          </w:p>
        </w:tc>
      </w:tr>
    </w:tbl>
    <w:p w14:paraId="438BB50A" w14:textId="77777777" w:rsidR="007C6854" w:rsidRDefault="007C6854">
      <w:pPr>
        <w:spacing w:line="360" w:lineRule="auto"/>
        <w:ind w:left="220" w:firstLine="240"/>
        <w:rPr>
          <w:rFonts w:eastAsia="Arial" w:cs="Arial"/>
          <w:b/>
          <w:szCs w:val="24"/>
        </w:rPr>
      </w:pPr>
    </w:p>
    <w:p w14:paraId="61AD1A18" w14:textId="77777777" w:rsidR="007C6854" w:rsidRDefault="00E0219E">
      <w:pPr>
        <w:pStyle w:val="Heading2"/>
        <w:jc w:val="center"/>
        <w:rPr>
          <w:rFonts w:eastAsia="Arial" w:cs="Arial"/>
          <w:sz w:val="24"/>
          <w:szCs w:val="24"/>
        </w:rPr>
      </w:pPr>
      <w:bookmarkStart w:id="82" w:name="_heading=h.2w5ecyt" w:colFirst="0" w:colLast="0"/>
      <w:bookmarkEnd w:id="82"/>
      <w:r>
        <w:rPr>
          <w:rFonts w:eastAsia="Arial" w:cs="Arial"/>
          <w:sz w:val="24"/>
          <w:szCs w:val="24"/>
        </w:rPr>
        <w:t xml:space="preserve">Appendix J: Database and </w:t>
      </w:r>
      <w:proofErr w:type="spellStart"/>
      <w:r>
        <w:rPr>
          <w:rFonts w:eastAsia="Arial" w:cs="Arial"/>
          <w:sz w:val="24"/>
          <w:szCs w:val="24"/>
        </w:rPr>
        <w:t>Rscript</w:t>
      </w:r>
      <w:proofErr w:type="spellEnd"/>
      <w:r>
        <w:rPr>
          <w:rFonts w:eastAsia="Arial" w:cs="Arial"/>
          <w:sz w:val="24"/>
          <w:szCs w:val="24"/>
        </w:rPr>
        <w:t xml:space="preserve"> file on Data Analysis</w:t>
      </w:r>
    </w:p>
    <w:p w14:paraId="48CF0646" w14:textId="77777777" w:rsidR="007C6854" w:rsidRDefault="007C6854"/>
    <w:p w14:paraId="4930996D" w14:textId="77777777" w:rsidR="007C6854" w:rsidRDefault="00E0219E">
      <w:pPr>
        <w:spacing w:after="160" w:line="360" w:lineRule="auto"/>
        <w:rPr>
          <w:rFonts w:eastAsia="Arial" w:cs="Arial"/>
          <w:szCs w:val="24"/>
        </w:rPr>
      </w:pPr>
      <w:r>
        <w:rPr>
          <w:rFonts w:eastAsia="Arial" w:cs="Arial"/>
          <w:szCs w:val="24"/>
        </w:rPr>
        <w:t xml:space="preserve">Database: </w:t>
      </w:r>
      <w:hyperlink r:id="rId233">
        <w:r>
          <w:rPr>
            <w:rFonts w:eastAsia="Arial" w:cs="Arial"/>
            <w:color w:val="1155CC"/>
            <w:szCs w:val="24"/>
            <w:u w:val="single"/>
          </w:rPr>
          <w:t>https://1drv.ms/x/s!AkVzLxrZ8RUyh-cPi9wskmlF7xu_hw?e=EnRANh</w:t>
        </w:r>
      </w:hyperlink>
      <w:r>
        <w:rPr>
          <w:rFonts w:eastAsia="Arial" w:cs="Arial"/>
          <w:szCs w:val="24"/>
        </w:rPr>
        <w:t xml:space="preserve"> </w:t>
      </w:r>
    </w:p>
    <w:p w14:paraId="687AB6F3" w14:textId="77777777" w:rsidR="007C6854" w:rsidRDefault="00E0219E">
      <w:pPr>
        <w:spacing w:after="160" w:line="360" w:lineRule="auto"/>
        <w:rPr>
          <w:rFonts w:eastAsia="Arial" w:cs="Arial"/>
          <w:szCs w:val="24"/>
        </w:rPr>
      </w:pPr>
      <w:proofErr w:type="spellStart"/>
      <w:r>
        <w:rPr>
          <w:rFonts w:eastAsia="Arial" w:cs="Arial"/>
          <w:szCs w:val="24"/>
        </w:rPr>
        <w:t>Rscript</w:t>
      </w:r>
      <w:proofErr w:type="spellEnd"/>
      <w:r>
        <w:rPr>
          <w:rFonts w:eastAsia="Arial" w:cs="Arial"/>
          <w:szCs w:val="24"/>
        </w:rPr>
        <w:t xml:space="preserve"> File: </w:t>
      </w:r>
      <w:hyperlink r:id="rId234">
        <w:r>
          <w:rPr>
            <w:rFonts w:eastAsia="Arial" w:cs="Arial"/>
            <w:color w:val="1155CC"/>
            <w:szCs w:val="24"/>
            <w:u w:val="single"/>
          </w:rPr>
          <w:t>IH300_Rscript_Final.R</w:t>
        </w:r>
      </w:hyperlink>
    </w:p>
    <w:p w14:paraId="46C965A3" w14:textId="77777777" w:rsidR="007C6854" w:rsidRDefault="007C6854">
      <w:pPr>
        <w:spacing w:line="360" w:lineRule="auto"/>
        <w:rPr>
          <w:rFonts w:eastAsia="Arial" w:cs="Arial"/>
          <w:b/>
          <w:szCs w:val="24"/>
        </w:rPr>
      </w:pPr>
    </w:p>
    <w:sectPr w:rsidR="007C6854">
      <w:headerReference w:type="default" r:id="rId235"/>
      <w:type w:val="continuous"/>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0F998" w14:textId="77777777" w:rsidR="00E31D28" w:rsidRDefault="00E31D28">
      <w:pPr>
        <w:spacing w:after="0" w:line="240" w:lineRule="auto"/>
      </w:pPr>
      <w:r>
        <w:separator/>
      </w:r>
    </w:p>
  </w:endnote>
  <w:endnote w:type="continuationSeparator" w:id="0">
    <w:p w14:paraId="4FEB323E" w14:textId="77777777" w:rsidR="00E31D28" w:rsidRDefault="00E31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5DB" w14:textId="77777777" w:rsidR="00786180" w:rsidRPr="00BE4720" w:rsidRDefault="00786180">
    <w:pPr>
      <w:jc w:val="right"/>
      <w:rPr>
        <w:rFonts w:cs="Arial"/>
        <w:sz w:val="20"/>
        <w:szCs w:val="20"/>
      </w:rPr>
    </w:pPr>
    <w:r w:rsidRPr="00BE4720">
      <w:rPr>
        <w:rFonts w:eastAsia="Arial" w:cs="Arial"/>
        <w:sz w:val="22"/>
      </w:rPr>
      <w:t>Descriptive-Correlational Study of Health Literacy among Urban Poor Settlers with Hypertension…</w:t>
    </w:r>
    <w:r w:rsidRPr="00BE4720">
      <w:rPr>
        <w:rFonts w:cs="Arial"/>
        <w:sz w:val="22"/>
      </w:rPr>
      <w:t>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2BD7"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DCA4"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xi</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4958"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xii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0440"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xiii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FB74"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xiv</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99EA"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xv</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9F2E"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xvi</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26CB" w14:textId="77777777" w:rsidR="00786180" w:rsidRPr="00BE4720" w:rsidRDefault="00786180">
    <w:pPr>
      <w:pBdr>
        <w:top w:val="nil"/>
        <w:left w:val="nil"/>
        <w:bottom w:val="nil"/>
        <w:right w:val="nil"/>
        <w:between w:val="nil"/>
      </w:pBdr>
      <w:tabs>
        <w:tab w:val="center" w:pos="4680"/>
        <w:tab w:val="right" w:pos="9360"/>
      </w:tabs>
      <w:spacing w:after="0" w:line="240" w:lineRule="auto"/>
      <w:jc w:val="right"/>
      <w:rPr>
        <w:rFonts w:eastAsia="Arial"/>
        <w:color w:val="000000"/>
        <w:sz w:val="22"/>
        <w:szCs w:val="20"/>
      </w:rPr>
    </w:pPr>
  </w:p>
  <w:p w14:paraId="0D071CCE" w14:textId="77777777" w:rsidR="00786180" w:rsidRPr="00BE4720" w:rsidRDefault="00786180">
    <w:pPr>
      <w:pBdr>
        <w:top w:val="nil"/>
        <w:left w:val="nil"/>
        <w:bottom w:val="nil"/>
        <w:right w:val="nil"/>
        <w:between w:val="nil"/>
      </w:pBdr>
      <w:tabs>
        <w:tab w:val="center" w:pos="4680"/>
        <w:tab w:val="right" w:pos="9360"/>
      </w:tabs>
      <w:spacing w:after="0" w:line="240" w:lineRule="auto"/>
      <w:jc w:val="right"/>
      <w:rPr>
        <w:rFonts w:eastAsia="Arial"/>
        <w:color w:val="000000"/>
        <w:sz w:val="22"/>
        <w:szCs w:val="20"/>
      </w:rPr>
    </w:pPr>
  </w:p>
  <w:p w14:paraId="64E8C341" w14:textId="77777777" w:rsidR="00786180" w:rsidRPr="00BE4720" w:rsidRDefault="00786180">
    <w:pPr>
      <w:pBdr>
        <w:top w:val="nil"/>
        <w:left w:val="nil"/>
        <w:bottom w:val="nil"/>
        <w:right w:val="nil"/>
        <w:between w:val="nil"/>
      </w:pBdr>
      <w:tabs>
        <w:tab w:val="center" w:pos="4680"/>
        <w:tab w:val="right" w:pos="9360"/>
      </w:tabs>
      <w:spacing w:after="0" w:line="240" w:lineRule="auto"/>
      <w:jc w:val="right"/>
      <w:rPr>
        <w:rFonts w:eastAsia="Arial"/>
        <w:color w:val="000000"/>
        <w:sz w:val="22"/>
        <w:szCs w:val="20"/>
      </w:rPr>
    </w:pPr>
  </w:p>
  <w:p w14:paraId="50978C33" w14:textId="77777777" w:rsidR="00786180" w:rsidRPr="00BE4720" w:rsidRDefault="00786180">
    <w:pPr>
      <w:pBdr>
        <w:top w:val="nil"/>
        <w:left w:val="nil"/>
        <w:bottom w:val="nil"/>
        <w:right w:val="nil"/>
        <w:between w:val="nil"/>
      </w:pBdr>
      <w:tabs>
        <w:tab w:val="center" w:pos="4680"/>
        <w:tab w:val="right" w:pos="9360"/>
      </w:tabs>
      <w:spacing w:after="0" w:line="240" w:lineRule="auto"/>
      <w:jc w:val="right"/>
      <w:rPr>
        <w:rFonts w:eastAsia="Arial"/>
        <w:color w:val="000000"/>
        <w:sz w:val="22"/>
        <w:szCs w:val="20"/>
      </w:rPr>
    </w:pPr>
    <w:r w:rsidRPr="00BE4720">
      <w:rPr>
        <w:rFonts w:eastAsia="Arial"/>
        <w:color w:val="000000"/>
        <w:sz w:val="22"/>
        <w:szCs w:val="20"/>
      </w:rPr>
      <w:t xml:space="preserve">Descriptive-Correlational Study of Health Literacy among urban poor settlers with hypertension… </w:t>
    </w:r>
    <w:r w:rsidRPr="00BE4720">
      <w:rPr>
        <w:rFonts w:eastAsia="Arial"/>
        <w:color w:val="000000"/>
        <w:sz w:val="22"/>
        <w:szCs w:val="20"/>
      </w:rPr>
      <w:fldChar w:fldCharType="begin"/>
    </w:r>
    <w:r w:rsidRPr="00BE4720">
      <w:rPr>
        <w:rFonts w:eastAsia="Arial"/>
        <w:color w:val="000000"/>
        <w:sz w:val="22"/>
        <w:szCs w:val="20"/>
      </w:rPr>
      <w:instrText>PAGE</w:instrText>
    </w:r>
    <w:r w:rsidRPr="00BE4720">
      <w:rPr>
        <w:rFonts w:eastAsia="Arial"/>
        <w:color w:val="000000"/>
        <w:sz w:val="22"/>
        <w:szCs w:val="20"/>
      </w:rPr>
      <w:fldChar w:fldCharType="separate"/>
    </w:r>
    <w:r w:rsidRPr="00BE4720">
      <w:rPr>
        <w:rFonts w:eastAsia="Arial"/>
        <w:noProof/>
        <w:color w:val="000000"/>
        <w:sz w:val="22"/>
        <w:szCs w:val="20"/>
      </w:rPr>
      <w:t>1</w:t>
    </w:r>
    <w:r w:rsidRPr="00BE4720">
      <w:rPr>
        <w:rFonts w:eastAsia="Arial"/>
        <w:color w:val="000000"/>
        <w:sz w:val="22"/>
        <w:szCs w:val="20"/>
      </w:rPr>
      <w:fldChar w:fldCharType="end"/>
    </w:r>
  </w:p>
  <w:p w14:paraId="60EA5678" w14:textId="77777777" w:rsidR="00786180" w:rsidRPr="00BE4720" w:rsidRDefault="00786180">
    <w:pPr>
      <w:pBdr>
        <w:top w:val="nil"/>
        <w:left w:val="nil"/>
        <w:bottom w:val="nil"/>
        <w:right w:val="nil"/>
        <w:between w:val="nil"/>
      </w:pBdr>
      <w:tabs>
        <w:tab w:val="center" w:pos="4680"/>
        <w:tab w:val="right" w:pos="936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E3B3" w14:textId="77777777" w:rsidR="00786180" w:rsidRPr="00BE4720" w:rsidRDefault="00786180">
    <w:pPr>
      <w:jc w:val="right"/>
      <w:rPr>
        <w:rFonts w:eastAsia="Arial" w:cs="Arial"/>
        <w:sz w:val="22"/>
      </w:rPr>
    </w:pPr>
    <w:r w:rsidRPr="00BE4720">
      <w:rPr>
        <w:rFonts w:eastAsia="Arial" w:cs="Arial"/>
        <w:sz w:val="22"/>
      </w:rPr>
      <w:t xml:space="preserve">Descriptive-Correlational Study of Health Literacy among Urban Poor Settlers with Hypertension… </w:t>
    </w:r>
    <w:r w:rsidRPr="00BE4720">
      <w:rPr>
        <w:rFonts w:ascii="MS Gothic" w:eastAsia="MS Gothic" w:hAnsi="MS Gothic" w:cs="MS Gothic" w:hint="eastAsia"/>
        <w:sz w:val="22"/>
      </w:rPr>
      <w:t>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44D5" w14:textId="77777777" w:rsidR="00786180" w:rsidRPr="00BE4720" w:rsidRDefault="00786180">
    <w:pPr>
      <w:jc w:val="right"/>
      <w:rPr>
        <w:rFonts w:cs="Arial"/>
        <w:sz w:val="20"/>
        <w:szCs w:val="20"/>
      </w:rPr>
    </w:pPr>
    <w:r w:rsidRPr="00BE4720">
      <w:rPr>
        <w:rFonts w:eastAsia="Arial" w:cs="Arial"/>
        <w:sz w:val="22"/>
      </w:rPr>
      <w:t>Descriptive-Correlational Study of Health Literacy among Urban Poor Settlers with Hypertension…</w:t>
    </w:r>
    <w:r w:rsidRPr="00BE4720">
      <w:rPr>
        <w:rFonts w:cs="Arial"/>
        <w:sz w:val="22"/>
      </w:rP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1B05" w14:textId="77777777" w:rsidR="00786180" w:rsidRPr="00BE4720" w:rsidRDefault="00786180">
    <w:pPr>
      <w:jc w:val="right"/>
      <w:rPr>
        <w:rFonts w:cs="Arial"/>
        <w:sz w:val="20"/>
        <w:szCs w:val="20"/>
      </w:rPr>
    </w:pPr>
    <w:r w:rsidRPr="00BE4720">
      <w:rPr>
        <w:rFonts w:eastAsia="Arial" w:cs="Arial"/>
        <w:sz w:val="22"/>
      </w:rPr>
      <w:t>Descriptive-Correlational Study of Health Literacy among Urban Poor Settlers with Hypertension…</w:t>
    </w:r>
    <w:r w:rsidRPr="00BE4720">
      <w:rPr>
        <w:rFonts w:cs="Arial"/>
        <w:sz w:val="22"/>
      </w:rPr>
      <w:t>iv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B9F7" w14:textId="77777777" w:rsidR="00786180" w:rsidRPr="00BE4720" w:rsidRDefault="00786180">
    <w:pPr>
      <w:jc w:val="right"/>
      <w:rPr>
        <w:rFonts w:cs="Arial"/>
        <w:sz w:val="20"/>
        <w:szCs w:val="20"/>
      </w:rPr>
    </w:pPr>
    <w:r w:rsidRPr="00BE4720">
      <w:rPr>
        <w:rFonts w:eastAsia="Arial" w:cs="Arial"/>
        <w:sz w:val="22"/>
      </w:rPr>
      <w:t>Descriptive-Correlational Study of Health Literacy among Urban Poor Settlers with Hypertension…</w:t>
    </w:r>
    <w:r w:rsidRPr="00BE4720">
      <w:rPr>
        <w:rFonts w:cs="Arial"/>
        <w:sz w:val="22"/>
      </w:rPr>
      <w:t>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F99E" w14:textId="77777777" w:rsidR="00786180" w:rsidRPr="00BE4720" w:rsidRDefault="00786180">
    <w:pPr>
      <w:jc w:val="right"/>
      <w:rPr>
        <w:rFonts w:cs="Arial"/>
        <w:sz w:val="20"/>
        <w:szCs w:val="20"/>
      </w:rPr>
    </w:pPr>
    <w:r w:rsidRPr="00BE4720">
      <w:rPr>
        <w:rFonts w:eastAsia="Arial" w:cs="Arial"/>
        <w:sz w:val="22"/>
      </w:rPr>
      <w:t>Descriptive-Correlational Study of Health Literacy among Urban Poor Settlers with Hypertension…</w:t>
    </w:r>
    <w:r w:rsidRPr="00BE4720">
      <w:rPr>
        <w:rFonts w:cs="Arial"/>
        <w:sz w:val="22"/>
      </w:rPr>
      <w:t>vi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3994"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vii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52C0"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viii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2B5B" w14:textId="77777777" w:rsidR="00786180" w:rsidRPr="00BE4720" w:rsidRDefault="00786180">
    <w:pPr>
      <w:jc w:val="right"/>
      <w:rPr>
        <w:rFonts w:eastAsia="Arial" w:cs="Arial"/>
        <w:sz w:val="22"/>
      </w:rPr>
    </w:pPr>
    <w:r w:rsidRPr="00BE4720">
      <w:rPr>
        <w:rFonts w:eastAsia="Arial" w:cs="Arial"/>
        <w:sz w:val="22"/>
      </w:rPr>
      <w:t>Descriptive-Correlational Study of Health Literacy among Urban Poor Settlers with Hypertension… 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500DE" w14:textId="77777777" w:rsidR="00E31D28" w:rsidRDefault="00E31D28">
      <w:pPr>
        <w:spacing w:after="0" w:line="240" w:lineRule="auto"/>
      </w:pPr>
      <w:r>
        <w:separator/>
      </w:r>
    </w:p>
  </w:footnote>
  <w:footnote w:type="continuationSeparator" w:id="0">
    <w:p w14:paraId="199BDEDA" w14:textId="77777777" w:rsidR="00E31D28" w:rsidRDefault="00E31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3A36" w14:textId="77777777" w:rsidR="00786180" w:rsidRDefault="00786180"/>
  <w:p w14:paraId="5A6611C4" w14:textId="77777777" w:rsidR="00786180" w:rsidRDefault="00786180">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C5DE" w14:textId="77777777" w:rsidR="00786180" w:rsidRDefault="00786180"/>
  <w:p w14:paraId="46EE7E09" w14:textId="77777777" w:rsidR="00786180" w:rsidRDefault="00786180">
    <w:pP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0279" w14:textId="77777777" w:rsidR="00786180" w:rsidRDefault="0078618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2D4B" w14:textId="77777777" w:rsidR="00786180" w:rsidRDefault="00786180">
    <w:pPr>
      <w:tabs>
        <w:tab w:val="center" w:pos="4680"/>
        <w:tab w:val="right" w:pos="9360"/>
      </w:tabs>
      <w:spacing w:after="160" w:line="360" w:lineRule="auto"/>
      <w:ind w:firstLine="720"/>
      <w:jc w:val="both"/>
      <w:rPr>
        <w:rFonts w:eastAsia="Arial" w:cs="Arial"/>
        <w:szCs w:val="24"/>
      </w:rPr>
    </w:pPr>
  </w:p>
  <w:p w14:paraId="6E804FB7" w14:textId="77777777" w:rsidR="00786180" w:rsidRDefault="00786180">
    <w:pPr>
      <w:pBdr>
        <w:top w:val="nil"/>
        <w:left w:val="nil"/>
        <w:bottom w:val="nil"/>
        <w:right w:val="nil"/>
        <w:between w:val="nil"/>
      </w:pBdr>
      <w:tabs>
        <w:tab w:val="center" w:pos="4680"/>
        <w:tab w:val="right" w:pos="9360"/>
      </w:tabs>
      <w:spacing w:after="0" w:line="240" w:lineRule="auto"/>
      <w:rPr>
        <w:rFonts w:eastAsia="Arial" w:cs="Arial"/>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1647" w14:textId="77777777" w:rsidR="00786180" w:rsidRDefault="00786180"/>
  <w:p w14:paraId="5A4B556B" w14:textId="77777777" w:rsidR="00786180" w:rsidRDefault="00786180">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2281" w14:textId="77777777" w:rsidR="00786180" w:rsidRDefault="00786180"/>
  <w:p w14:paraId="4BE3AFE4" w14:textId="77777777" w:rsidR="00786180" w:rsidRDefault="00786180">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BA27" w14:textId="77777777" w:rsidR="00786180" w:rsidRDefault="00786180"/>
  <w:p w14:paraId="5C1B66C6" w14:textId="77777777" w:rsidR="00786180" w:rsidRDefault="00786180">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520C" w14:textId="77777777" w:rsidR="00786180" w:rsidRDefault="00786180"/>
  <w:p w14:paraId="67B96B1A" w14:textId="77777777" w:rsidR="00786180" w:rsidRDefault="00786180">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44C9" w14:textId="77777777" w:rsidR="00786180" w:rsidRDefault="00786180"/>
  <w:p w14:paraId="57DF9EFF" w14:textId="77777777" w:rsidR="00786180" w:rsidRDefault="00786180">
    <w:pP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32D8" w14:textId="77777777" w:rsidR="00786180" w:rsidRDefault="00786180"/>
  <w:p w14:paraId="4FEA678D" w14:textId="77777777" w:rsidR="00786180" w:rsidRDefault="00786180">
    <w:pP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F0ED" w14:textId="77777777" w:rsidR="00786180" w:rsidRDefault="00786180"/>
  <w:p w14:paraId="1426B0B5" w14:textId="77777777" w:rsidR="00786180" w:rsidRDefault="00786180">
    <w:pP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2852" w14:textId="77777777" w:rsidR="00786180" w:rsidRDefault="00786180"/>
  <w:p w14:paraId="46E09287" w14:textId="77777777" w:rsidR="00786180" w:rsidRDefault="0078618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39A3"/>
    <w:multiLevelType w:val="multilevel"/>
    <w:tmpl w:val="A8869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112B69"/>
    <w:multiLevelType w:val="multilevel"/>
    <w:tmpl w:val="1462352A"/>
    <w:lvl w:ilvl="0">
      <w:start w:val="1"/>
      <w:numFmt w:val="bullet"/>
      <w:lvlText w:val="●"/>
      <w:lvlJc w:val="left"/>
      <w:pPr>
        <w:ind w:left="420" w:hanging="420"/>
      </w:pPr>
      <w:rPr>
        <w:rFonts w:ascii="Noto Sans" w:eastAsia="Noto Sans" w:hAnsi="Noto Sans" w:cs="Noto San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077DEB"/>
    <w:multiLevelType w:val="multilevel"/>
    <w:tmpl w:val="E0B28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6031B3"/>
    <w:multiLevelType w:val="multilevel"/>
    <w:tmpl w:val="DE748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BE6D42"/>
    <w:multiLevelType w:val="multilevel"/>
    <w:tmpl w:val="9AFA122C"/>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18DC6FD1"/>
    <w:multiLevelType w:val="multilevel"/>
    <w:tmpl w:val="CE701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19133D"/>
    <w:multiLevelType w:val="multilevel"/>
    <w:tmpl w:val="67D49F6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1AB65CAB"/>
    <w:multiLevelType w:val="multilevel"/>
    <w:tmpl w:val="FF949C80"/>
    <w:lvl w:ilvl="0">
      <w:start w:val="1"/>
      <w:numFmt w:val="decimal"/>
      <w:lvlText w:val="%1."/>
      <w:lvlJc w:val="left"/>
      <w:pPr>
        <w:ind w:left="425" w:hanging="425"/>
      </w:pPr>
      <w:rPr>
        <w:rFonts w:ascii="Arial" w:eastAsia="Times New Roman" w:hAnsi="Arial" w:cs="Arial" w:hint="default"/>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ADF0B06"/>
    <w:multiLevelType w:val="multilevel"/>
    <w:tmpl w:val="3D3CA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3B2610"/>
    <w:multiLevelType w:val="multilevel"/>
    <w:tmpl w:val="EAAC508C"/>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222B08E9"/>
    <w:multiLevelType w:val="multilevel"/>
    <w:tmpl w:val="10444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376008"/>
    <w:multiLevelType w:val="multilevel"/>
    <w:tmpl w:val="A52AD44E"/>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31670023"/>
    <w:multiLevelType w:val="multilevel"/>
    <w:tmpl w:val="C85AA24E"/>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37FF69AE"/>
    <w:multiLevelType w:val="multilevel"/>
    <w:tmpl w:val="F0266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02728C"/>
    <w:multiLevelType w:val="multilevel"/>
    <w:tmpl w:val="4DA0742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5" w15:restartNumberingAfterBreak="0">
    <w:nsid w:val="39AE792C"/>
    <w:multiLevelType w:val="multilevel"/>
    <w:tmpl w:val="CCBA8DCC"/>
    <w:lvl w:ilvl="0">
      <w:start w:val="1"/>
      <w:numFmt w:val="lowerLetter"/>
      <w:lvlText w:val="%1)"/>
      <w:lvlJc w:val="left"/>
      <w:pPr>
        <w:ind w:left="65" w:hanging="425"/>
      </w:pPr>
    </w:lvl>
    <w:lvl w:ilvl="1">
      <w:start w:val="1"/>
      <w:numFmt w:val="lowerLetter"/>
      <w:lvlText w:val="%2)"/>
      <w:lvlJc w:val="left"/>
      <w:pPr>
        <w:ind w:left="60" w:hanging="420"/>
      </w:pPr>
    </w:lvl>
    <w:lvl w:ilvl="2">
      <w:start w:val="1"/>
      <w:numFmt w:val="lowerRoman"/>
      <w:lvlText w:val="%3."/>
      <w:lvlJc w:val="left"/>
      <w:pPr>
        <w:ind w:left="900" w:hanging="420"/>
      </w:pPr>
    </w:lvl>
    <w:lvl w:ilvl="3">
      <w:start w:val="1"/>
      <w:numFmt w:val="decimal"/>
      <w:lvlText w:val="%4."/>
      <w:lvlJc w:val="left"/>
      <w:pPr>
        <w:ind w:left="1320" w:hanging="420"/>
      </w:pPr>
    </w:lvl>
    <w:lvl w:ilvl="4">
      <w:start w:val="1"/>
      <w:numFmt w:val="lowerLetter"/>
      <w:lvlText w:val="%5)"/>
      <w:lvlJc w:val="left"/>
      <w:pPr>
        <w:ind w:left="1740" w:hanging="420"/>
      </w:pPr>
    </w:lvl>
    <w:lvl w:ilvl="5">
      <w:start w:val="1"/>
      <w:numFmt w:val="lowerRoman"/>
      <w:lvlText w:val="%6."/>
      <w:lvlJc w:val="lef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left"/>
      <w:pPr>
        <w:ind w:left="3420" w:hanging="420"/>
      </w:pPr>
    </w:lvl>
  </w:abstractNum>
  <w:abstractNum w:abstractNumId="16" w15:restartNumberingAfterBreak="0">
    <w:nsid w:val="3FED2967"/>
    <w:multiLevelType w:val="multilevel"/>
    <w:tmpl w:val="FBD844E2"/>
    <w:lvl w:ilvl="0">
      <w:start w:val="4"/>
      <w:numFmt w:val="low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4008231A"/>
    <w:multiLevelType w:val="multilevel"/>
    <w:tmpl w:val="CEC87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A35FA7"/>
    <w:multiLevelType w:val="multilevel"/>
    <w:tmpl w:val="CBEEED18"/>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46B26571"/>
    <w:multiLevelType w:val="multilevel"/>
    <w:tmpl w:val="F84C3616"/>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4AAD00FB"/>
    <w:multiLevelType w:val="multilevel"/>
    <w:tmpl w:val="7F5A3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38D001B"/>
    <w:multiLevelType w:val="multilevel"/>
    <w:tmpl w:val="815AD34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15:restartNumberingAfterBreak="0">
    <w:nsid w:val="55A30F4C"/>
    <w:multiLevelType w:val="multilevel"/>
    <w:tmpl w:val="25827572"/>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57E079D7"/>
    <w:multiLevelType w:val="multilevel"/>
    <w:tmpl w:val="0952E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CC4761"/>
    <w:multiLevelType w:val="multilevel"/>
    <w:tmpl w:val="2F36707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5" w15:restartNumberingAfterBreak="0">
    <w:nsid w:val="59E7311A"/>
    <w:multiLevelType w:val="multilevel"/>
    <w:tmpl w:val="F7703AC6"/>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5F017F8B"/>
    <w:multiLevelType w:val="multilevel"/>
    <w:tmpl w:val="9C225DB6"/>
    <w:lvl w:ilvl="0">
      <w:start w:val="1"/>
      <w:numFmt w:val="decimal"/>
      <w:lvlText w:val="%1."/>
      <w:lvlJc w:val="left"/>
      <w:pPr>
        <w:ind w:left="-850" w:hanging="425"/>
      </w:pPr>
      <w:rPr>
        <w:b w:val="0"/>
      </w:rPr>
    </w:lvl>
    <w:lvl w:ilvl="1">
      <w:start w:val="1"/>
      <w:numFmt w:val="lowerLetter"/>
      <w:lvlText w:val="%2."/>
      <w:lvlJc w:val="left"/>
      <w:pPr>
        <w:ind w:left="-1275" w:firstLine="0"/>
      </w:pPr>
    </w:lvl>
    <w:lvl w:ilvl="2">
      <w:start w:val="1"/>
      <w:numFmt w:val="lowerRoman"/>
      <w:lvlText w:val="%3."/>
      <w:lvlJc w:val="right"/>
      <w:pPr>
        <w:ind w:left="-1275" w:firstLine="0"/>
      </w:pPr>
    </w:lvl>
    <w:lvl w:ilvl="3">
      <w:start w:val="1"/>
      <w:numFmt w:val="decimal"/>
      <w:lvlText w:val="%4."/>
      <w:lvlJc w:val="left"/>
      <w:pPr>
        <w:ind w:left="-1275" w:firstLine="0"/>
      </w:pPr>
    </w:lvl>
    <w:lvl w:ilvl="4">
      <w:start w:val="1"/>
      <w:numFmt w:val="lowerLetter"/>
      <w:lvlText w:val="%5."/>
      <w:lvlJc w:val="left"/>
      <w:pPr>
        <w:ind w:left="-1275" w:firstLine="0"/>
      </w:pPr>
    </w:lvl>
    <w:lvl w:ilvl="5">
      <w:start w:val="1"/>
      <w:numFmt w:val="lowerRoman"/>
      <w:lvlText w:val="%6."/>
      <w:lvlJc w:val="right"/>
      <w:pPr>
        <w:ind w:left="-1275" w:firstLine="0"/>
      </w:pPr>
    </w:lvl>
    <w:lvl w:ilvl="6">
      <w:start w:val="1"/>
      <w:numFmt w:val="decimal"/>
      <w:lvlText w:val="%7."/>
      <w:lvlJc w:val="left"/>
      <w:pPr>
        <w:ind w:left="-1275" w:firstLine="0"/>
      </w:pPr>
    </w:lvl>
    <w:lvl w:ilvl="7">
      <w:start w:val="1"/>
      <w:numFmt w:val="lowerLetter"/>
      <w:lvlText w:val="%8."/>
      <w:lvlJc w:val="left"/>
      <w:pPr>
        <w:ind w:left="-1275" w:firstLine="0"/>
      </w:pPr>
    </w:lvl>
    <w:lvl w:ilvl="8">
      <w:start w:val="1"/>
      <w:numFmt w:val="lowerRoman"/>
      <w:lvlText w:val="%9."/>
      <w:lvlJc w:val="right"/>
      <w:pPr>
        <w:ind w:left="-1275" w:firstLine="0"/>
      </w:pPr>
    </w:lvl>
  </w:abstractNum>
  <w:abstractNum w:abstractNumId="27" w15:restartNumberingAfterBreak="0">
    <w:nsid w:val="5F2D7959"/>
    <w:multiLevelType w:val="multilevel"/>
    <w:tmpl w:val="5C5CB10C"/>
    <w:lvl w:ilvl="0">
      <w:start w:val="1"/>
      <w:numFmt w:val="lowerRoman"/>
      <w:lvlText w:val="%1."/>
      <w:lvlJc w:val="left"/>
      <w:pPr>
        <w:ind w:left="425" w:hanging="425"/>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1136031"/>
    <w:multiLevelType w:val="multilevel"/>
    <w:tmpl w:val="2A649462"/>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61750865"/>
    <w:multiLevelType w:val="multilevel"/>
    <w:tmpl w:val="7BE81A5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0" w15:restartNumberingAfterBreak="0">
    <w:nsid w:val="64E16722"/>
    <w:multiLevelType w:val="multilevel"/>
    <w:tmpl w:val="B88C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9D0218"/>
    <w:multiLevelType w:val="multilevel"/>
    <w:tmpl w:val="E0EEB1A8"/>
    <w:lvl w:ilvl="0">
      <w:start w:val="1"/>
      <w:numFmt w:val="lowerRoman"/>
      <w:lvlText w:val="%1."/>
      <w:lvlJc w:val="left"/>
      <w:pPr>
        <w:ind w:left="425" w:hanging="425"/>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E377341"/>
    <w:multiLevelType w:val="multilevel"/>
    <w:tmpl w:val="A1688296"/>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6EFC0C78"/>
    <w:multiLevelType w:val="multilevel"/>
    <w:tmpl w:val="0FFE0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15A6660"/>
    <w:multiLevelType w:val="multilevel"/>
    <w:tmpl w:val="7CCCF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4C75CB"/>
    <w:multiLevelType w:val="multilevel"/>
    <w:tmpl w:val="9BA20EFE"/>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 w15:restartNumberingAfterBreak="0">
    <w:nsid w:val="75C1315B"/>
    <w:multiLevelType w:val="multilevel"/>
    <w:tmpl w:val="37120792"/>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7A420EC6"/>
    <w:multiLevelType w:val="multilevel"/>
    <w:tmpl w:val="D2E0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9416366">
    <w:abstractNumId w:val="29"/>
  </w:num>
  <w:num w:numId="2" w16cid:durableId="621570112">
    <w:abstractNumId w:val="17"/>
  </w:num>
  <w:num w:numId="3" w16cid:durableId="1979803650">
    <w:abstractNumId w:val="11"/>
  </w:num>
  <w:num w:numId="4" w16cid:durableId="694503716">
    <w:abstractNumId w:val="7"/>
  </w:num>
  <w:num w:numId="5" w16cid:durableId="1830055732">
    <w:abstractNumId w:val="37"/>
  </w:num>
  <w:num w:numId="6" w16cid:durableId="1551112168">
    <w:abstractNumId w:val="27"/>
  </w:num>
  <w:num w:numId="7" w16cid:durableId="250168295">
    <w:abstractNumId w:val="23"/>
  </w:num>
  <w:num w:numId="8" w16cid:durableId="44186130">
    <w:abstractNumId w:val="32"/>
  </w:num>
  <w:num w:numId="9" w16cid:durableId="618416762">
    <w:abstractNumId w:val="10"/>
  </w:num>
  <w:num w:numId="10" w16cid:durableId="1378358971">
    <w:abstractNumId w:val="25"/>
  </w:num>
  <w:num w:numId="11" w16cid:durableId="1280798875">
    <w:abstractNumId w:val="0"/>
  </w:num>
  <w:num w:numId="12" w16cid:durableId="26374016">
    <w:abstractNumId w:val="24"/>
  </w:num>
  <w:num w:numId="13" w16cid:durableId="1690715389">
    <w:abstractNumId w:val="3"/>
  </w:num>
  <w:num w:numId="14" w16cid:durableId="713771323">
    <w:abstractNumId w:val="18"/>
  </w:num>
  <w:num w:numId="15" w16cid:durableId="521287312">
    <w:abstractNumId w:val="15"/>
  </w:num>
  <w:num w:numId="16" w16cid:durableId="1428770039">
    <w:abstractNumId w:val="8"/>
  </w:num>
  <w:num w:numId="17" w16cid:durableId="887886062">
    <w:abstractNumId w:val="28"/>
  </w:num>
  <w:num w:numId="18" w16cid:durableId="418257866">
    <w:abstractNumId w:val="2"/>
  </w:num>
  <w:num w:numId="19" w16cid:durableId="1824882662">
    <w:abstractNumId w:val="34"/>
  </w:num>
  <w:num w:numId="20" w16cid:durableId="1355885091">
    <w:abstractNumId w:val="26"/>
  </w:num>
  <w:num w:numId="21" w16cid:durableId="1946107536">
    <w:abstractNumId w:val="16"/>
  </w:num>
  <w:num w:numId="22" w16cid:durableId="1702049919">
    <w:abstractNumId w:val="35"/>
  </w:num>
  <w:num w:numId="23" w16cid:durableId="983462656">
    <w:abstractNumId w:val="19"/>
  </w:num>
  <w:num w:numId="24" w16cid:durableId="614874815">
    <w:abstractNumId w:val="6"/>
  </w:num>
  <w:num w:numId="25" w16cid:durableId="1892889037">
    <w:abstractNumId w:val="4"/>
  </w:num>
  <w:num w:numId="26" w16cid:durableId="82259843">
    <w:abstractNumId w:val="20"/>
  </w:num>
  <w:num w:numId="27" w16cid:durableId="780613555">
    <w:abstractNumId w:val="9"/>
  </w:num>
  <w:num w:numId="28" w16cid:durableId="816997984">
    <w:abstractNumId w:val="12"/>
  </w:num>
  <w:num w:numId="29" w16cid:durableId="489716771">
    <w:abstractNumId w:val="5"/>
  </w:num>
  <w:num w:numId="30" w16cid:durableId="1789200534">
    <w:abstractNumId w:val="21"/>
  </w:num>
  <w:num w:numId="31" w16cid:durableId="460080174">
    <w:abstractNumId w:val="13"/>
  </w:num>
  <w:num w:numId="32" w16cid:durableId="1930457764">
    <w:abstractNumId w:val="30"/>
  </w:num>
  <w:num w:numId="33" w16cid:durableId="1224486001">
    <w:abstractNumId w:val="14"/>
  </w:num>
  <w:num w:numId="34" w16cid:durableId="2043893253">
    <w:abstractNumId w:val="22"/>
  </w:num>
  <w:num w:numId="35" w16cid:durableId="1091855605">
    <w:abstractNumId w:val="1"/>
  </w:num>
  <w:num w:numId="36" w16cid:durableId="1767992327">
    <w:abstractNumId w:val="33"/>
  </w:num>
  <w:num w:numId="37" w16cid:durableId="509102512">
    <w:abstractNumId w:val="36"/>
  </w:num>
  <w:num w:numId="38" w16cid:durableId="4111948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854"/>
    <w:rsid w:val="00007D2E"/>
    <w:rsid w:val="000150F8"/>
    <w:rsid w:val="00046FE8"/>
    <w:rsid w:val="00066614"/>
    <w:rsid w:val="000C4586"/>
    <w:rsid w:val="00113E43"/>
    <w:rsid w:val="001712A1"/>
    <w:rsid w:val="001D2966"/>
    <w:rsid w:val="001F0252"/>
    <w:rsid w:val="001F291B"/>
    <w:rsid w:val="001F45F6"/>
    <w:rsid w:val="002F290B"/>
    <w:rsid w:val="00491ED3"/>
    <w:rsid w:val="00495AE1"/>
    <w:rsid w:val="00501378"/>
    <w:rsid w:val="00535869"/>
    <w:rsid w:val="005437B0"/>
    <w:rsid w:val="00546E5E"/>
    <w:rsid w:val="005A7F0C"/>
    <w:rsid w:val="005B0D3A"/>
    <w:rsid w:val="005C6D2F"/>
    <w:rsid w:val="006A7D6C"/>
    <w:rsid w:val="006D1740"/>
    <w:rsid w:val="006D2678"/>
    <w:rsid w:val="0074797D"/>
    <w:rsid w:val="007759A3"/>
    <w:rsid w:val="00786180"/>
    <w:rsid w:val="007C6854"/>
    <w:rsid w:val="007E15C2"/>
    <w:rsid w:val="007F1B1E"/>
    <w:rsid w:val="00844861"/>
    <w:rsid w:val="00862045"/>
    <w:rsid w:val="00894763"/>
    <w:rsid w:val="008B7903"/>
    <w:rsid w:val="008F6F1A"/>
    <w:rsid w:val="00930910"/>
    <w:rsid w:val="00956858"/>
    <w:rsid w:val="009D41B3"/>
    <w:rsid w:val="00A165AD"/>
    <w:rsid w:val="00A8068A"/>
    <w:rsid w:val="00AA27B2"/>
    <w:rsid w:val="00B200BA"/>
    <w:rsid w:val="00B4521D"/>
    <w:rsid w:val="00BD7563"/>
    <w:rsid w:val="00BE4720"/>
    <w:rsid w:val="00C00846"/>
    <w:rsid w:val="00C774CE"/>
    <w:rsid w:val="00CA0720"/>
    <w:rsid w:val="00CC7CE1"/>
    <w:rsid w:val="00CF2D7A"/>
    <w:rsid w:val="00DA41CA"/>
    <w:rsid w:val="00E0219E"/>
    <w:rsid w:val="00E13500"/>
    <w:rsid w:val="00E31D28"/>
    <w:rsid w:val="00E36171"/>
    <w:rsid w:val="00E77ABE"/>
    <w:rsid w:val="00E865ED"/>
    <w:rsid w:val="00E95D0C"/>
    <w:rsid w:val="00F362B2"/>
    <w:rsid w:val="00FD5DC4"/>
    <w:rsid w:val="00FF6BF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E14D6"/>
  <w15:docId w15:val="{CBDAC060-A228-463E-8C5C-FAE58289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903"/>
    <w:rPr>
      <w:rFonts w:ascii="Arial" w:hAnsi="Arial"/>
      <w:sz w:val="24"/>
    </w:rPr>
  </w:style>
  <w:style w:type="paragraph" w:styleId="Heading1">
    <w:name w:val="heading 1"/>
    <w:basedOn w:val="Normal"/>
    <w:next w:val="Normal"/>
    <w:link w:val="Heading1Char"/>
    <w:uiPriority w:val="9"/>
    <w:qFormat/>
    <w:rsid w:val="0030402C"/>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0402C"/>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30402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30402C"/>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rsid w:val="0030402C"/>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30402C"/>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402C"/>
    <w:pPr>
      <w:keepNext/>
      <w:keepLines/>
      <w:spacing w:before="480" w:after="120"/>
    </w:pPr>
    <w:rPr>
      <w:b/>
      <w:sz w:val="72"/>
      <w:szCs w:val="72"/>
    </w:rPr>
  </w:style>
  <w:style w:type="character" w:customStyle="1" w:styleId="Heading1Char">
    <w:name w:val="Heading 1 Char"/>
    <w:basedOn w:val="DefaultParagraphFont"/>
    <w:link w:val="Heading1"/>
    <w:uiPriority w:val="9"/>
    <w:rsid w:val="0030402C"/>
    <w:rPr>
      <w:rFonts w:ascii="Calibri" w:eastAsia="Calibri" w:hAnsi="Calibri" w:cs="Calibri"/>
      <w:b/>
      <w:sz w:val="48"/>
      <w:szCs w:val="48"/>
      <w:lang w:val="en-US" w:eastAsia="en-PH"/>
    </w:rPr>
  </w:style>
  <w:style w:type="character" w:customStyle="1" w:styleId="Heading2Char">
    <w:name w:val="Heading 2 Char"/>
    <w:basedOn w:val="DefaultParagraphFont"/>
    <w:link w:val="Heading2"/>
    <w:uiPriority w:val="9"/>
    <w:rsid w:val="0030402C"/>
    <w:rPr>
      <w:rFonts w:ascii="Calibri" w:eastAsia="Calibri" w:hAnsi="Calibri" w:cs="Calibri"/>
      <w:b/>
      <w:sz w:val="36"/>
      <w:szCs w:val="36"/>
      <w:lang w:val="en-US" w:eastAsia="en-PH"/>
    </w:rPr>
  </w:style>
  <w:style w:type="character" w:customStyle="1" w:styleId="Heading3Char">
    <w:name w:val="Heading 3 Char"/>
    <w:basedOn w:val="DefaultParagraphFont"/>
    <w:link w:val="Heading3"/>
    <w:uiPriority w:val="9"/>
    <w:rsid w:val="0030402C"/>
    <w:rPr>
      <w:rFonts w:ascii="Calibri" w:eastAsia="Calibri" w:hAnsi="Calibri" w:cs="Calibri"/>
      <w:b/>
      <w:sz w:val="28"/>
      <w:szCs w:val="28"/>
      <w:lang w:val="en-US" w:eastAsia="en-PH"/>
    </w:rPr>
  </w:style>
  <w:style w:type="character" w:customStyle="1" w:styleId="Heading4Char">
    <w:name w:val="Heading 4 Char"/>
    <w:basedOn w:val="DefaultParagraphFont"/>
    <w:link w:val="Heading4"/>
    <w:uiPriority w:val="9"/>
    <w:semiHidden/>
    <w:rsid w:val="0030402C"/>
    <w:rPr>
      <w:rFonts w:ascii="Calibri" w:eastAsia="Calibri" w:hAnsi="Calibri" w:cs="Calibri"/>
      <w:b/>
      <w:sz w:val="24"/>
      <w:szCs w:val="24"/>
      <w:lang w:val="en-US" w:eastAsia="en-PH"/>
    </w:rPr>
  </w:style>
  <w:style w:type="character" w:customStyle="1" w:styleId="Heading5Char">
    <w:name w:val="Heading 5 Char"/>
    <w:basedOn w:val="DefaultParagraphFont"/>
    <w:link w:val="Heading5"/>
    <w:uiPriority w:val="9"/>
    <w:semiHidden/>
    <w:rsid w:val="0030402C"/>
    <w:rPr>
      <w:rFonts w:ascii="Calibri" w:eastAsia="Calibri" w:hAnsi="Calibri" w:cs="Calibri"/>
      <w:b/>
      <w:lang w:val="en-US" w:eastAsia="en-PH"/>
    </w:rPr>
  </w:style>
  <w:style w:type="character" w:customStyle="1" w:styleId="Heading6Char">
    <w:name w:val="Heading 6 Char"/>
    <w:basedOn w:val="DefaultParagraphFont"/>
    <w:link w:val="Heading6"/>
    <w:uiPriority w:val="9"/>
    <w:semiHidden/>
    <w:rsid w:val="0030402C"/>
    <w:rPr>
      <w:rFonts w:ascii="Calibri" w:eastAsia="Calibri" w:hAnsi="Calibri" w:cs="Calibri"/>
      <w:b/>
      <w:sz w:val="20"/>
      <w:szCs w:val="20"/>
      <w:lang w:val="en-US" w:eastAsia="en-PH"/>
    </w:rPr>
  </w:style>
  <w:style w:type="character" w:customStyle="1" w:styleId="TitleChar">
    <w:name w:val="Title Char"/>
    <w:basedOn w:val="DefaultParagraphFont"/>
    <w:link w:val="Title"/>
    <w:uiPriority w:val="10"/>
    <w:rsid w:val="0030402C"/>
    <w:rPr>
      <w:rFonts w:ascii="Calibri" w:eastAsia="Calibri" w:hAnsi="Calibri" w:cs="Calibri"/>
      <w:b/>
      <w:sz w:val="72"/>
      <w:szCs w:val="72"/>
      <w:lang w:val="en-US" w:eastAsia="en-PH"/>
    </w:rPr>
  </w:style>
  <w:style w:type="paragraph" w:styleId="BalloonText">
    <w:name w:val="Balloon Text"/>
    <w:basedOn w:val="Normal"/>
    <w:link w:val="BalloonTextChar"/>
    <w:rsid w:val="003040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30402C"/>
    <w:rPr>
      <w:rFonts w:ascii="Times New Roman" w:eastAsia="Calibri" w:hAnsi="Times New Roman" w:cs="Times New Roman"/>
      <w:sz w:val="18"/>
      <w:szCs w:val="18"/>
      <w:lang w:val="en-US" w:eastAsia="en-PH"/>
    </w:rPr>
  </w:style>
  <w:style w:type="paragraph" w:styleId="CommentText">
    <w:name w:val="annotation text"/>
    <w:basedOn w:val="Normal"/>
    <w:link w:val="CommentTextChar"/>
    <w:rsid w:val="0030402C"/>
    <w:pPr>
      <w:spacing w:line="240" w:lineRule="auto"/>
    </w:pPr>
    <w:rPr>
      <w:sz w:val="20"/>
      <w:szCs w:val="20"/>
    </w:rPr>
  </w:style>
  <w:style w:type="character" w:customStyle="1" w:styleId="CommentTextChar">
    <w:name w:val="Comment Text Char"/>
    <w:basedOn w:val="DefaultParagraphFont"/>
    <w:link w:val="CommentText"/>
    <w:rsid w:val="0030402C"/>
    <w:rPr>
      <w:rFonts w:ascii="Calibri" w:eastAsia="Calibri" w:hAnsi="Calibri" w:cs="Calibri"/>
      <w:sz w:val="20"/>
      <w:szCs w:val="20"/>
      <w:lang w:val="en-US" w:eastAsia="en-PH"/>
    </w:rPr>
  </w:style>
  <w:style w:type="paragraph" w:styleId="CommentSubject">
    <w:name w:val="annotation subject"/>
    <w:basedOn w:val="CommentText"/>
    <w:next w:val="CommentText"/>
    <w:link w:val="CommentSubjectChar"/>
    <w:rsid w:val="0030402C"/>
    <w:rPr>
      <w:b/>
      <w:bCs/>
    </w:rPr>
  </w:style>
  <w:style w:type="character" w:customStyle="1" w:styleId="CommentSubjectChar">
    <w:name w:val="Comment Subject Char"/>
    <w:basedOn w:val="CommentTextChar"/>
    <w:link w:val="CommentSubject"/>
    <w:rsid w:val="0030402C"/>
    <w:rPr>
      <w:rFonts w:ascii="Calibri" w:eastAsia="Calibri" w:hAnsi="Calibri" w:cs="Calibri"/>
      <w:b/>
      <w:bCs/>
      <w:sz w:val="20"/>
      <w:szCs w:val="20"/>
      <w:lang w:val="en-US" w:eastAsia="en-PH"/>
    </w:rPr>
  </w:style>
  <w:style w:type="paragraph" w:styleId="HTMLPreformatted">
    <w:name w:val="HTML Preformatted"/>
    <w:basedOn w:val="Normal"/>
    <w:link w:val="HTMLPreformattedChar"/>
    <w:uiPriority w:val="99"/>
    <w:unhideWhenUsed/>
    <w:rsid w:val="00304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402C"/>
    <w:rPr>
      <w:rFonts w:ascii="Courier New" w:eastAsia="Times New Roman" w:hAnsi="Courier New" w:cs="Courier New"/>
      <w:sz w:val="20"/>
      <w:szCs w:val="20"/>
      <w:lang w:val="en-US" w:eastAsia="en-PH"/>
    </w:rPr>
  </w:style>
  <w:style w:type="paragraph" w:styleId="NormalWeb">
    <w:name w:val="Normal (Web)"/>
    <w:basedOn w:val="Normal"/>
    <w:uiPriority w:val="99"/>
    <w:unhideWhenUsed/>
    <w:rsid w:val="0030402C"/>
    <w:pPr>
      <w:spacing w:before="100" w:beforeAutospacing="1" w:after="100" w:afterAutospacing="1"/>
    </w:pPr>
  </w:style>
  <w:style w:type="character" w:styleId="CommentReference">
    <w:name w:val="annotation reference"/>
    <w:rsid w:val="0030402C"/>
    <w:rPr>
      <w:sz w:val="16"/>
      <w:szCs w:val="16"/>
    </w:rPr>
  </w:style>
  <w:style w:type="character" w:styleId="FollowedHyperlink">
    <w:name w:val="FollowedHyperlink"/>
    <w:rsid w:val="0030402C"/>
    <w:rPr>
      <w:color w:val="954F72"/>
      <w:u w:val="single"/>
    </w:rPr>
  </w:style>
  <w:style w:type="character" w:styleId="Hyperlink">
    <w:name w:val="Hyperlink"/>
    <w:uiPriority w:val="99"/>
    <w:qFormat/>
    <w:rsid w:val="0030402C"/>
    <w:rPr>
      <w:color w:val="0000FF"/>
      <w:u w:val="single"/>
    </w:rPr>
  </w:style>
  <w:style w:type="table" w:styleId="TableGrid">
    <w:name w:val="Table Grid"/>
    <w:basedOn w:val="TableNormal"/>
    <w:uiPriority w:val="39"/>
    <w:rsid w:val="003040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0402C"/>
    <w:pPr>
      <w:autoSpaceDE w:val="0"/>
      <w:autoSpaceDN w:val="0"/>
      <w:adjustRightInd w:val="0"/>
    </w:pPr>
    <w:rPr>
      <w:rFonts w:ascii="Arial" w:hAnsi="Arial" w:cs="Arial"/>
      <w:color w:val="000000"/>
      <w:sz w:val="24"/>
      <w:szCs w:val="24"/>
    </w:rPr>
  </w:style>
  <w:style w:type="paragraph" w:styleId="ListParagraph">
    <w:name w:val="List Paragraph"/>
    <w:uiPriority w:val="34"/>
    <w:qFormat/>
    <w:rsid w:val="0030402C"/>
    <w:pPr>
      <w:ind w:left="720"/>
    </w:pPr>
    <w:rPr>
      <w:color w:val="000000"/>
      <w:u w:color="000000"/>
    </w:rPr>
  </w:style>
  <w:style w:type="character" w:customStyle="1" w:styleId="15">
    <w:name w:val="15"/>
    <w:rsid w:val="0030402C"/>
    <w:rPr>
      <w:rFonts w:ascii="Cambria" w:hAnsi="Cambria" w:hint="default"/>
      <w:color w:val="0000FF"/>
      <w:u w:val="single"/>
    </w:rPr>
  </w:style>
  <w:style w:type="character" w:customStyle="1" w:styleId="16">
    <w:name w:val="16"/>
    <w:rsid w:val="0030402C"/>
    <w:rPr>
      <w:rFonts w:ascii="Cambria" w:hAnsi="Cambria" w:hint="default"/>
      <w:color w:val="800080"/>
      <w:u w:val="single"/>
    </w:rPr>
  </w:style>
  <w:style w:type="character" w:customStyle="1" w:styleId="UnresolvedMention1">
    <w:name w:val="Unresolved Mention1"/>
    <w:uiPriority w:val="99"/>
    <w:semiHidden/>
    <w:unhideWhenUsed/>
    <w:rsid w:val="0030402C"/>
    <w:rPr>
      <w:color w:val="808080"/>
      <w:shd w:val="clear" w:color="auto" w:fill="E6E6E6"/>
    </w:rPr>
  </w:style>
  <w:style w:type="character" w:styleId="PlaceholderText">
    <w:name w:val="Placeholder Text"/>
    <w:uiPriority w:val="99"/>
    <w:semiHidden/>
    <w:rsid w:val="0030402C"/>
    <w:rPr>
      <w:color w:val="808080"/>
    </w:rPr>
  </w:style>
  <w:style w:type="character" w:customStyle="1" w:styleId="cit">
    <w:name w:val="cit"/>
    <w:basedOn w:val="DefaultParagraphFont"/>
    <w:rsid w:val="0030402C"/>
  </w:style>
  <w:style w:type="character" w:customStyle="1" w:styleId="doi">
    <w:name w:val="doi"/>
    <w:basedOn w:val="DefaultParagraphFont"/>
    <w:rsid w:val="0030402C"/>
  </w:style>
  <w:style w:type="paragraph" w:styleId="NoSpacing">
    <w:name w:val="No Spacing"/>
    <w:uiPriority w:val="1"/>
    <w:qFormat/>
    <w:rsid w:val="0030402C"/>
    <w:pPr>
      <w:spacing w:after="0" w:line="240" w:lineRule="auto"/>
    </w:pPr>
  </w:style>
  <w:style w:type="character" w:customStyle="1" w:styleId="UnresolvedMention2">
    <w:name w:val="Unresolved Mention2"/>
    <w:uiPriority w:val="99"/>
    <w:semiHidden/>
    <w:unhideWhenUsed/>
    <w:rsid w:val="0030402C"/>
    <w:rPr>
      <w:color w:val="808080"/>
      <w:shd w:val="clear" w:color="auto" w:fill="E6E6E6"/>
    </w:rPr>
  </w:style>
  <w:style w:type="paragraph" w:styleId="Revision">
    <w:name w:val="Revision"/>
    <w:hidden/>
    <w:uiPriority w:val="99"/>
    <w:semiHidden/>
    <w:rsid w:val="0030402C"/>
    <w:pPr>
      <w:spacing w:after="0" w:line="240" w:lineRule="auto"/>
    </w:pPr>
  </w:style>
  <w:style w:type="paragraph" w:styleId="DocumentMap">
    <w:name w:val="Document Map"/>
    <w:basedOn w:val="Normal"/>
    <w:link w:val="DocumentMapChar"/>
    <w:rsid w:val="0030402C"/>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rsid w:val="0030402C"/>
    <w:rPr>
      <w:rFonts w:ascii="Times New Roman" w:eastAsia="Calibri" w:hAnsi="Times New Roman" w:cs="Times New Roman"/>
      <w:sz w:val="24"/>
      <w:szCs w:val="24"/>
      <w:lang w:val="en-US" w:eastAsia="en-PH"/>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0402C"/>
    <w:rPr>
      <w:rFonts w:ascii="Georgia" w:eastAsia="Georgia" w:hAnsi="Georgia" w:cs="Georgia"/>
      <w:i/>
      <w:color w:val="666666"/>
      <w:sz w:val="48"/>
      <w:szCs w:val="48"/>
      <w:lang w:val="en-US" w:eastAsia="en-PH"/>
    </w:rPr>
  </w:style>
  <w:style w:type="character" w:styleId="UnresolvedMention">
    <w:name w:val="Unresolved Mention"/>
    <w:basedOn w:val="DefaultParagraphFont"/>
    <w:uiPriority w:val="99"/>
    <w:semiHidden/>
    <w:unhideWhenUsed/>
    <w:rsid w:val="00924B3A"/>
    <w:rPr>
      <w:color w:val="605E5C"/>
      <w:shd w:val="clear" w:color="auto" w:fill="E1DFDD"/>
    </w:rPr>
  </w:style>
  <w:style w:type="paragraph" w:styleId="Header">
    <w:name w:val="header"/>
    <w:basedOn w:val="Normal"/>
    <w:link w:val="HeaderChar"/>
    <w:uiPriority w:val="99"/>
    <w:unhideWhenUsed/>
    <w:rsid w:val="00F01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5F8"/>
    <w:rPr>
      <w:rFonts w:ascii="Calibri" w:eastAsia="Calibri" w:hAnsi="Calibri" w:cs="Calibri"/>
      <w:lang w:val="en-US" w:eastAsia="en-PH"/>
    </w:rPr>
  </w:style>
  <w:style w:type="paragraph" w:styleId="Footer">
    <w:name w:val="footer"/>
    <w:basedOn w:val="Normal"/>
    <w:link w:val="FooterChar"/>
    <w:uiPriority w:val="99"/>
    <w:unhideWhenUsed/>
    <w:rsid w:val="00F01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5F8"/>
    <w:rPr>
      <w:rFonts w:ascii="Calibri" w:eastAsia="Calibri" w:hAnsi="Calibri" w:cs="Calibri"/>
      <w:lang w:val="en-US" w:eastAsia="en-PH"/>
    </w:rPr>
  </w:style>
  <w:style w:type="character" w:styleId="LineNumber">
    <w:name w:val="line number"/>
    <w:basedOn w:val="DefaultParagraphFont"/>
    <w:uiPriority w:val="99"/>
    <w:semiHidden/>
    <w:unhideWhenUsed/>
    <w:rsid w:val="00E14F68"/>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8471E6"/>
    <w:pPr>
      <w:tabs>
        <w:tab w:val="right" w:pos="9350"/>
      </w:tabs>
      <w:spacing w:after="100"/>
    </w:pPr>
  </w:style>
  <w:style w:type="paragraph" w:styleId="TOCHeading">
    <w:name w:val="TOC Heading"/>
    <w:basedOn w:val="Heading1"/>
    <w:next w:val="Normal"/>
    <w:uiPriority w:val="39"/>
    <w:unhideWhenUsed/>
    <w:qFormat/>
    <w:rsid w:val="00F27EEA"/>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F27EEA"/>
    <w:pPr>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F27EEA"/>
    <w:pPr>
      <w:spacing w:after="100" w:line="259" w:lineRule="auto"/>
      <w:ind w:left="440"/>
    </w:pPr>
    <w:rPr>
      <w:rFonts w:asciiTheme="minorHAnsi" w:eastAsiaTheme="minorEastAsia" w:hAnsiTheme="minorHAnsi" w:cs="Times New Roman"/>
    </w:r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mchealthservres.biomedcentral.com/articles/10.1186/s12913-019-4571-6" TargetMode="External"/><Relationship Id="rId21" Type="http://schemas.openxmlformats.org/officeDocument/2006/relationships/header" Target="header4.xml"/><Relationship Id="rId42" Type="http://schemas.openxmlformats.org/officeDocument/2006/relationships/hyperlink" Target="tel:(+6349)%20536-6001%20to%2006%20local%20821,%20333" TargetMode="External"/><Relationship Id="rId63" Type="http://schemas.openxmlformats.org/officeDocument/2006/relationships/hyperlink" Target="https://www.cdc.gov/policy/polaris/healthtopics/highbloodpressure/index.html" TargetMode="External"/><Relationship Id="rId84" Type="http://schemas.openxmlformats.org/officeDocument/2006/relationships/hyperlink" Target="https://www.jstage.jst.go.jp/article/jhep/42/4/42_450/_article" TargetMode="External"/><Relationship Id="rId138" Type="http://schemas.openxmlformats.org/officeDocument/2006/relationships/hyperlink" Target="https://www.ncbi.nlm.nih.gov/pmc/articles/PMC7803069/" TargetMode="External"/><Relationship Id="rId159" Type="http://schemas.openxmlformats.org/officeDocument/2006/relationships/hyperlink" Target="https://psa.gov.ph/sites/default/files/phdsd/PH_SDGWatch_Goal04.pdf" TargetMode="External"/><Relationship Id="rId170" Type="http://schemas.openxmlformats.org/officeDocument/2006/relationships/hyperlink" Target="https://www.ncbi.nlm.nih.gov/pmc/articles/PMC5058882/" TargetMode="External"/><Relationship Id="rId191" Type="http://schemas.openxmlformats.org/officeDocument/2006/relationships/hyperlink" Target="https://www.ncbi.nlm.nih.gov/pmc/articles/PMC9126056/" TargetMode="External"/><Relationship Id="rId205" Type="http://schemas.openxmlformats.org/officeDocument/2006/relationships/hyperlink" Target="https://jamanetwork.com/journals/jamainternalmedicine/fullarticle/191123" TargetMode="External"/><Relationship Id="rId226" Type="http://schemas.openxmlformats.org/officeDocument/2006/relationships/image" Target="media/image9.jpg"/><Relationship Id="rId107" Type="http://schemas.openxmlformats.org/officeDocument/2006/relationships/hyperlink" Target="https://dx.doi.org/10.4103%2F0253-7176.116232" TargetMode="Externa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yperlink" Target="https://epirhandbook.com/en/index.html" TargetMode="External"/><Relationship Id="rId74" Type="http://schemas.openxmlformats.org/officeDocument/2006/relationships/hyperlink" Target="https://dx.doi.org/10.14744/AnatolJCardiol.2017.7452" TargetMode="External"/><Relationship Id="rId128" Type="http://schemas.openxmlformats.org/officeDocument/2006/relationships/hyperlink" Target="https://www.ncbi.nlm.nih.gov/pmc/articles/PMC8707038/" TargetMode="External"/><Relationship Id="rId149" Type="http://schemas.openxmlformats.org/officeDocument/2006/relationships/hyperlink" Target="http://rssoncr.psa.gov.ph/article/2015-census-population-final-results-pateros" TargetMode="External"/><Relationship Id="rId5" Type="http://schemas.openxmlformats.org/officeDocument/2006/relationships/settings" Target="settings.xml"/><Relationship Id="rId95" Type="http://schemas.openxmlformats.org/officeDocument/2006/relationships/hyperlink" Target="https://doi.org/10.1111/jch.14431" TargetMode="External"/><Relationship Id="rId160" Type="http://schemas.openxmlformats.org/officeDocument/2006/relationships/hyperlink" Target="https://psa.gov.ph/sites/default/files/2021%20Full%20Year%20Official%20Poverty%20Statistics%20Tables_f.xlsx" TargetMode="External"/><Relationship Id="rId181" Type="http://schemas.openxmlformats.org/officeDocument/2006/relationships/hyperlink" Target="https://pubmed.ncbi.nlm.nih.gov/25843827/" TargetMode="External"/><Relationship Id="rId216" Type="http://schemas.openxmlformats.org/officeDocument/2006/relationships/hyperlink" Target="https://score.tools.who.int/fileadmin/uploads/score/Documents/Survey_populations_and_health_risks/STEPs/STEPS%20Question%20by%20Question%20Guide.pdf" TargetMode="External"/><Relationship Id="rId237" Type="http://schemas.openxmlformats.org/officeDocument/2006/relationships/theme" Target="theme/theme1.xml"/><Relationship Id="rId22" Type="http://schemas.openxmlformats.org/officeDocument/2006/relationships/footer" Target="footer7.xml"/><Relationship Id="rId43" Type="http://schemas.openxmlformats.org/officeDocument/2006/relationships/hyperlink" Target="https://www.statista.com/statistics/455910/urbanization-in-philippines/" TargetMode="External"/><Relationship Id="rId64" Type="http://schemas.openxmlformats.org/officeDocument/2006/relationships/hyperlink" Target="https://www.cdc.gov/healthliteracy/learn/index.html" TargetMode="External"/><Relationship Id="rId118" Type="http://schemas.openxmlformats.org/officeDocument/2006/relationships/hyperlink" Target="https://www.ncbi.nlm.nih.gov/pmc/articles/PMC2517973/" TargetMode="External"/><Relationship Id="rId139" Type="http://schemas.openxmlformats.org/officeDocument/2006/relationships/hyperlink" Target="https://doi.org/10.3928%2F24748307-20170307-02" TargetMode="External"/><Relationship Id="rId85" Type="http://schemas.openxmlformats.org/officeDocument/2006/relationships/hyperlink" Target="https://www.sciencedirect.com/science/article/pii/S2352013217302971" TargetMode="External"/><Relationship Id="rId150" Type="http://schemas.openxmlformats.org/officeDocument/2006/relationships/hyperlink" Target="https://dhsprogram.com/pubs/pdf/FR347/FR347.pdf" TargetMode="External"/><Relationship Id="rId171" Type="http://schemas.openxmlformats.org/officeDocument/2006/relationships/hyperlink" Target="https://doi.org/10.1093/heapro/16.2.207" TargetMode="External"/><Relationship Id="rId192" Type="http://schemas.openxmlformats.org/officeDocument/2006/relationships/hyperlink" Target="https://stats.stackexchange.com/q/410154" TargetMode="External"/><Relationship Id="rId206" Type="http://schemas.openxmlformats.org/officeDocument/2006/relationships/hyperlink" Target="https://www.who.int/nmh/ncd-tools/indicators/GMF_Indicator_Definitions_Version_NOV2014.pdf" TargetMode="External"/><Relationship Id="rId227" Type="http://schemas.openxmlformats.org/officeDocument/2006/relationships/image" Target="media/image10.jpg"/><Relationship Id="rId12" Type="http://schemas.openxmlformats.org/officeDocument/2006/relationships/footer" Target="footer1.xml"/><Relationship Id="rId33" Type="http://schemas.openxmlformats.org/officeDocument/2006/relationships/footer" Target="footer14.xml"/><Relationship Id="rId108" Type="http://schemas.openxmlformats.org/officeDocument/2006/relationships/hyperlink" Target="https://www.ncbi.nlm.nih.gov/pmc/articles/PMC3775042/" TargetMode="External"/><Relationship Id="rId129" Type="http://schemas.openxmlformats.org/officeDocument/2006/relationships/hyperlink" Target="https://bmcpublichealth.biomedcentral.com/articles/10.1186/s12889-020-09165-8" TargetMode="External"/><Relationship Id="rId54" Type="http://schemas.openxmlformats.org/officeDocument/2006/relationships/hyperlink" Target="https://doi.org/10.1155/2018/6959165" TargetMode="External"/><Relationship Id="rId75" Type="http://schemas.openxmlformats.org/officeDocument/2006/relationships/hyperlink" Target="https://www.sciencedirect.com/science/article/abs/pii/S0277953611002401" TargetMode="External"/><Relationship Id="rId96" Type="http://schemas.openxmlformats.org/officeDocument/2006/relationships/hyperlink" Target="https://onlinelibrary.wiley.com/doi/10.1111/jch.14431" TargetMode="External"/><Relationship Id="rId140" Type="http://schemas.openxmlformats.org/officeDocument/2006/relationships/hyperlink" Target="https://www.pewresearch.org/social-trends/2018/05/22/demographic-and-economic-trends-in-urban-suburban-and-rural-communities/" TargetMode="External"/><Relationship Id="rId161" Type="http://schemas.openxmlformats.org/officeDocument/2006/relationships/hyperlink" Target="https://psa.gov.ph/sites/default/files/2021%20Full%20Year%20Official%20Poverty%20Statistics%20Tables_f.xlsx" TargetMode="External"/><Relationship Id="rId182" Type="http://schemas.openxmlformats.org/officeDocument/2006/relationships/hyperlink" Target="https://doi.org/10.1590/S0104-11692007000300022" TargetMode="External"/><Relationship Id="rId217" Type="http://schemas.openxmlformats.org/officeDocument/2006/relationships/hyperlink" Target="https://www.who.int/news-room/fact-sheets/detail/noncommunicable-diseases" TargetMode="External"/><Relationship Id="rId6" Type="http://schemas.openxmlformats.org/officeDocument/2006/relationships/webSettings" Target="webSettings.xml"/><Relationship Id="rId23" Type="http://schemas.openxmlformats.org/officeDocument/2006/relationships/footer" Target="footer8.xml"/><Relationship Id="rId119" Type="http://schemas.openxmlformats.org/officeDocument/2006/relationships/hyperlink" Target="https://www.ncbi.nlm.nih.gov/pmc/articles/PMC3364500/" TargetMode="External"/><Relationship Id="rId44" Type="http://schemas.openxmlformats.org/officeDocument/2006/relationships/hyperlink" Target="https://www.ncbi.nlm.nih.gov/pmc/articles/PMC7303647/" TargetMode="External"/><Relationship Id="rId65" Type="http://schemas.openxmlformats.org/officeDocument/2006/relationships/hyperlink" Target="https://wwwn.cdc.gov/Nchs/Data/Nhanes/2011-2012/Questionnaires/bpq.pdf" TargetMode="External"/><Relationship Id="rId86" Type="http://schemas.openxmlformats.org/officeDocument/2006/relationships/hyperlink" Target="https://doi.org/10.1007/s12197-020-09525-5" TargetMode="External"/><Relationship Id="rId130" Type="http://schemas.openxmlformats.org/officeDocument/2006/relationships/hyperlink" Target="https://www.ncbi.nlm.nih.gov/pmc/articles/PMC7224587/" TargetMode="External"/><Relationship Id="rId151" Type="http://schemas.openxmlformats.org/officeDocument/2006/relationships/hyperlink" Target="https://psa.gov.ph/sites/default/files/2019-FLEMMS-Final-Report_Signed_FULL%20VERSION_15%20January%202021rev.pdf" TargetMode="External"/><Relationship Id="rId172" Type="http://schemas.openxmlformats.org/officeDocument/2006/relationships/hyperlink" Target="https://doi.org/10.2196/43342" TargetMode="External"/><Relationship Id="rId193" Type="http://schemas.openxmlformats.org/officeDocument/2006/relationships/hyperlink" Target="https://stats.stackexchange.com/users/249106/xisco-bernal-tortosa" TargetMode="External"/><Relationship Id="rId207" Type="http://schemas.openxmlformats.org/officeDocument/2006/relationships/hyperlink" Target="https://www.who.int/health-topics/hypertension/" TargetMode="External"/><Relationship Id="rId228" Type="http://schemas.openxmlformats.org/officeDocument/2006/relationships/image" Target="media/image11.jpg"/><Relationship Id="rId13" Type="http://schemas.openxmlformats.org/officeDocument/2006/relationships/footer" Target="footer2.xml"/><Relationship Id="rId109" Type="http://schemas.openxmlformats.org/officeDocument/2006/relationships/hyperlink" Target="https://doi.org/10.15406/bbij.2016.04.00100" TargetMode="External"/><Relationship Id="rId34" Type="http://schemas.openxmlformats.org/officeDocument/2006/relationships/header" Target="header9.xml"/><Relationship Id="rId55" Type="http://schemas.openxmlformats.org/officeDocument/2006/relationships/hyperlink" Target="https://www.hindawi.com/journals/ijhy/2018/6959165/" TargetMode="External"/><Relationship Id="rId76" Type="http://schemas.openxmlformats.org/officeDocument/2006/relationships/hyperlink" Target="https://www.ncbi.nlm.nih.gov/pmc/articles/PMC5500949/" TargetMode="External"/><Relationship Id="rId97" Type="http://schemas.openxmlformats.org/officeDocument/2006/relationships/hyperlink" Target="https://www.ahajournals.org/doi/10.1161/HYPERTENSIONAHA.122.19861" TargetMode="External"/><Relationship Id="rId120" Type="http://schemas.openxmlformats.org/officeDocument/2006/relationships/hyperlink" Target="https://doi.org/10.1186/s12913-019-4465-7" TargetMode="External"/><Relationship Id="rId141" Type="http://schemas.openxmlformats.org/officeDocument/2006/relationships/hyperlink" Target="https://scholarworks.iu.edu/dspace/bitstream/handle/2022/24498/FSSE17_Internal_Consistency_Reliability.pdf?sequence=1&amp;isAllowed=y" TargetMode="External"/><Relationship Id="rId7" Type="http://schemas.openxmlformats.org/officeDocument/2006/relationships/footnotes" Target="footnotes.xml"/><Relationship Id="rId162" Type="http://schemas.openxmlformats.org/officeDocument/2006/relationships/hyperlink" Target="https://psa.gov.ph/population-and-housing/node/167692" TargetMode="External"/><Relationship Id="rId183" Type="http://schemas.openxmlformats.org/officeDocument/2006/relationships/hyperlink" Target="https://www.webmd.com/covid/coronavirus-high-blood-pressure" TargetMode="External"/><Relationship Id="rId218" Type="http://schemas.openxmlformats.org/officeDocument/2006/relationships/hyperlink" Target="https://www.who.int/news-room/fact-sheets/detail/hypertension" TargetMode="External"/><Relationship Id="rId24" Type="http://schemas.openxmlformats.org/officeDocument/2006/relationships/header" Target="header5.xml"/><Relationship Id="rId45" Type="http://schemas.openxmlformats.org/officeDocument/2006/relationships/hyperlink" Target="https://www.atlantis-press.com/article/125970594.pdf" TargetMode="External"/><Relationship Id="rId66" Type="http://schemas.openxmlformats.org/officeDocument/2006/relationships/hyperlink" Target="https://www.ncbi.nlm.nih.gov/pmc/articles/PMC7926608/" TargetMode="External"/><Relationship Id="rId87" Type="http://schemas.openxmlformats.org/officeDocument/2006/relationships/hyperlink" Target="https://www.alnap.org/system/files/content/resource/files/main/finite.pdf" TargetMode="External"/><Relationship Id="rId110" Type="http://schemas.openxmlformats.org/officeDocument/2006/relationships/hyperlink" Target="https://medcraveonline.com/BBIJ/the-level-of-collapse-we-are-allowed-comparison-of-different-response-scales-in-safety-attitudes-questionnaire.html" TargetMode="External"/><Relationship Id="rId131" Type="http://schemas.openxmlformats.org/officeDocument/2006/relationships/hyperlink" Target="https://doi.org/10.1186/s12889-015-1835-x" TargetMode="External"/><Relationship Id="rId152" Type="http://schemas.openxmlformats.org/officeDocument/2006/relationships/hyperlink" Target="https://scholar.google.com/scholar_lookup?journal=2019+FLEMMS:+functional+literacy,+education+and+mass+media+survey&amp;publication_year=2019&amp;" TargetMode="External"/><Relationship Id="rId173" Type="http://schemas.openxmlformats.org/officeDocument/2006/relationships/hyperlink" Target="https://www.ncbi.nlm.nih.gov/pubmed/37018027" TargetMode="External"/><Relationship Id="rId194" Type="http://schemas.openxmlformats.org/officeDocument/2006/relationships/hyperlink" Target="https://doi.org/10.1371/journal.pone.0260919" TargetMode="External"/><Relationship Id="rId208" Type="http://schemas.openxmlformats.org/officeDocument/2006/relationships/hyperlink" Target="https://www.who.int/healthpromotion/about/HPR%20Glossary%201998.pdf?ua=1" TargetMode="External"/><Relationship Id="rId229" Type="http://schemas.openxmlformats.org/officeDocument/2006/relationships/hyperlink" Target="https://1drv.ms/w/s!AkVzLxrZ8RUyhPxKbwF0DjrOpS7Msg?e=opIIaQ" TargetMode="External"/><Relationship Id="rId14" Type="http://schemas.openxmlformats.org/officeDocument/2006/relationships/image" Target="media/image3.jpg"/><Relationship Id="rId35" Type="http://schemas.openxmlformats.org/officeDocument/2006/relationships/footer" Target="footer15.xml"/><Relationship Id="rId56" Type="http://schemas.openxmlformats.org/officeDocument/2006/relationships/hyperlink" Target="https://ajph.aphapublications.org/doi/abs/10.2105/AJPH.92.8.1278" TargetMode="External"/><Relationship Id="rId77" Type="http://schemas.openxmlformats.org/officeDocument/2006/relationships/hyperlink" Target="https://extranet.who.int/ncdccs/Data/PHL_D1_PHIL%20PEN.pdf" TargetMode="External"/><Relationship Id="rId100" Type="http://schemas.openxmlformats.org/officeDocument/2006/relationships/hyperlink" Target="https://hpi.georgetown.edu/healthlit/" TargetMode="External"/><Relationship Id="rId8" Type="http://schemas.openxmlformats.org/officeDocument/2006/relationships/endnotes" Target="endnotes.xml"/><Relationship Id="rId98" Type="http://schemas.openxmlformats.org/officeDocument/2006/relationships/hyperlink" Target="https://doi.org/10.1161/HYPERTENSIONAHA.111.189100" TargetMode="External"/><Relationship Id="rId121" Type="http://schemas.openxmlformats.org/officeDocument/2006/relationships/hyperlink" Target="https://link.springer.com/article/10.1007/s40615-018-00550-z" TargetMode="External"/><Relationship Id="rId142" Type="http://schemas.openxmlformats.org/officeDocument/2006/relationships/hyperlink" Target="https://www.doh.gov.ph/sites/default/files/publications/17th-National-Health-Research-Forum-for-Action.pdf" TargetMode="External"/><Relationship Id="rId163" Type="http://schemas.openxmlformats.org/officeDocument/2006/relationships/hyperlink" Target="http://pcup.gov.ph/index.php/facts-and-figures/the-pcup-client-the-urban-poor" TargetMode="External"/><Relationship Id="rId184" Type="http://schemas.openxmlformats.org/officeDocument/2006/relationships/hyperlink" Target="https://www.spss-tutorials.com/spss-shapiro-wilk-test-for-normality/" TargetMode="External"/><Relationship Id="rId219" Type="http://schemas.openxmlformats.org/officeDocument/2006/relationships/hyperlink" Target="https://www.who.int/news-room/fact-sheets/detail/hypertension" TargetMode="External"/><Relationship Id="rId230" Type="http://schemas.openxmlformats.org/officeDocument/2006/relationships/hyperlink" Target="https://ee.kobotoolbox.org/x/IYbriDUP" TargetMode="External"/><Relationship Id="rId25" Type="http://schemas.openxmlformats.org/officeDocument/2006/relationships/footer" Target="footer9.xml"/><Relationship Id="rId46" Type="http://schemas.openxmlformats.org/officeDocument/2006/relationships/hyperlink" Target="https://actamedicaphilippina.upm.edu.ph/index.php/acta/article/download/397/358/" TargetMode="External"/><Relationship Id="rId67" Type="http://schemas.openxmlformats.org/officeDocument/2006/relationships/hyperlink" Target="https://psa.gov.ph/poverty-press-releases/nid/167972" TargetMode="External"/><Relationship Id="rId88" Type="http://schemas.openxmlformats.org/officeDocument/2006/relationships/hyperlink" Target="https://doi.org/10.1038/s41440-021-00784-1" TargetMode="External"/><Relationship Id="rId111" Type="http://schemas.openxmlformats.org/officeDocument/2006/relationships/hyperlink" Target="https://research-methodology.net/sampling-in-primary-data-collection/purposive-sampling/" TargetMode="External"/><Relationship Id="rId132" Type="http://schemas.openxmlformats.org/officeDocument/2006/relationships/hyperlink" Target="https://bmcpublichealth.biomedcentral.com/articles/10.1186/s12889-015-1835-x" TargetMode="External"/><Relationship Id="rId153" Type="http://schemas.openxmlformats.org/officeDocument/2006/relationships/hyperlink" Target="https://www.ncbi.nlm.nih.gov/pmc/articles/PMC9126056/" TargetMode="External"/><Relationship Id="rId174" Type="http://schemas.openxmlformats.org/officeDocument/2006/relationships/hyperlink" Target="https://www.jmir.org/2023/1/e43342" TargetMode="External"/><Relationship Id="rId195" Type="http://schemas.openxmlformats.org/officeDocument/2006/relationships/hyperlink" Target="https://www.ahajournals.org/doi/10.1161/HYPERTENSIONAHA.120.15026" TargetMode="External"/><Relationship Id="rId209" Type="http://schemas.openxmlformats.org/officeDocument/2006/relationships/hyperlink" Target="https://healthworkerpreparedness.files.wordpress.com/2015/05/trainersguide.pdf" TargetMode="External"/><Relationship Id="rId190" Type="http://schemas.openxmlformats.org/officeDocument/2006/relationships/hyperlink" Target="https://doi.org/10.3928%2F24748307-20220419-01" TargetMode="External"/><Relationship Id="rId204" Type="http://schemas.openxmlformats.org/officeDocument/2006/relationships/hyperlink" Target="https://journals.plos.org/plosone/article?id=10.1371/journal.pone.0195340" TargetMode="External"/><Relationship Id="rId220" Type="http://schemas.openxmlformats.org/officeDocument/2006/relationships/hyperlink" Target="https://www.who.int/publications/i/item/9789240009226" TargetMode="External"/><Relationship Id="rId225" Type="http://schemas.openxmlformats.org/officeDocument/2006/relationships/image" Target="media/image8.jpg"/><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hyperlink" Target="https://ajph.aphapublications.org/doi/abs/10.2105/AJPH.92.8.1278" TargetMode="External"/><Relationship Id="rId106" Type="http://schemas.openxmlformats.org/officeDocument/2006/relationships/hyperlink" Target="https://www.ncbi.nlm.nih.gov/pmc/articles/PMC3775042/" TargetMode="External"/><Relationship Id="rId127" Type="http://schemas.openxmlformats.org/officeDocument/2006/relationships/hyperlink" Target="https://www.hindawi.com/journals/ijhy/2010/410794/" TargetMode="External"/><Relationship Id="rId10" Type="http://schemas.openxmlformats.org/officeDocument/2006/relationships/image" Target="media/image2.jpg"/><Relationship Id="rId31" Type="http://schemas.openxmlformats.org/officeDocument/2006/relationships/footer" Target="footer13.xml"/><Relationship Id="rId52" Type="http://schemas.openxmlformats.org/officeDocument/2006/relationships/hyperlink" Target="https://doi.org/10.1038/s41371-021-00486-8" TargetMode="External"/><Relationship Id="rId73" Type="http://schemas.openxmlformats.org/officeDocument/2006/relationships/hyperlink" Target="https://www.ncbi.nlm.nih.gov/pmc/articles/PMC5512197/" TargetMode="External"/><Relationship Id="rId78" Type="http://schemas.openxmlformats.org/officeDocument/2006/relationships/hyperlink" Target="https://doh.gov.ph/sites/default/files/publications/2019PHS_Final_092121.pdf" TargetMode="External"/><Relationship Id="rId94" Type="http://schemas.openxmlformats.org/officeDocument/2006/relationships/hyperlink" Target="https://www.ncbi.nlm.nih.gov/pubmed/31420029" TargetMode="External"/><Relationship Id="rId99" Type="http://schemas.openxmlformats.org/officeDocument/2006/relationships/hyperlink" Target="https://www.sciencedirect.com/science/article/abs/pii/S0738399114004133?via%3Dihub" TargetMode="External"/><Relationship Id="rId101" Type="http://schemas.openxmlformats.org/officeDocument/2006/relationships/hyperlink" Target="https://www.ncbi.nlm.nih.gov/pmc/articles/PMC6391993/" TargetMode="External"/><Relationship Id="rId122" Type="http://schemas.openxmlformats.org/officeDocument/2006/relationships/hyperlink" Target="http://ijomeh.eu/Non-communicable-diseases-in-the-asia-pacific-region-prevalence-risk-factors-and-community-based-prevention,1929,0,2.html" TargetMode="External"/><Relationship Id="rId143" Type="http://schemas.openxmlformats.org/officeDocument/2006/relationships/hyperlink" Target="https://www.doh.gov.ph/sites/default/files/publications/2016_PHILIPPINE-HEALTH-STATISTICS.pdf" TargetMode="External"/><Relationship Id="rId148" Type="http://schemas.openxmlformats.org/officeDocument/2006/relationships/hyperlink" Target="https://psa.gov.ph/content/highlights-household-population-number-households-and-average-household-size-philippines" TargetMode="External"/><Relationship Id="rId164" Type="http://schemas.openxmlformats.org/officeDocument/2006/relationships/hyperlink" Target="https://journals.plos.org/plosone/article?id=10.1371/journal.pone.0254988" TargetMode="External"/><Relationship Id="rId169" Type="http://schemas.openxmlformats.org/officeDocument/2006/relationships/hyperlink" Target="https://www.frontiersin.org/articles/10.3389/fpubh.2022.798797/full" TargetMode="External"/><Relationship Id="rId185" Type="http://schemas.openxmlformats.org/officeDocument/2006/relationships/hyperlink" Target="https://www.statista.com/statistics/578779/age-structure-in-philippines/"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bmcpublichealth.biomedcentral.com/articles/10.1186/s12889-023-15716-6" TargetMode="External"/><Relationship Id="rId210" Type="http://schemas.openxmlformats.org/officeDocument/2006/relationships/hyperlink" Target="https://www.who.int/healthinfo/global_burden_disease/GlobalHealthRisks_report_full.pdf?ua=1&amp;ua=1" TargetMode="External"/><Relationship Id="rId215" Type="http://schemas.openxmlformats.org/officeDocument/2006/relationships/hyperlink" Target="https://apps.who.int/iris/bitstream/handle/10665/43376/9241593830_eng.pdf?sequence=1%26isAllowed=y" TargetMode="External"/><Relationship Id="rId236" Type="http://schemas.openxmlformats.org/officeDocument/2006/relationships/fontTable" Target="fontTable.xml"/><Relationship Id="rId26" Type="http://schemas.openxmlformats.org/officeDocument/2006/relationships/header" Target="header6.xml"/><Relationship Id="rId231" Type="http://schemas.openxmlformats.org/officeDocument/2006/relationships/image" Target="media/image12.png"/><Relationship Id="rId47" Type="http://schemas.openxmlformats.org/officeDocument/2006/relationships/hyperlink" Target="http://www.adb.org/sites/default/files/publication/179758/adbi-wp556.pdf" TargetMode="External"/><Relationship Id="rId68" Type="http://schemas.openxmlformats.org/officeDocument/2006/relationships/hyperlink" Target="https://doi.org/10.1093/ajh/hpab011" TargetMode="External"/><Relationship Id="rId89" Type="http://schemas.openxmlformats.org/officeDocument/2006/relationships/hyperlink" Target="https://www.nature.com/articles/s41440-021-00784-1" TargetMode="External"/><Relationship Id="rId112" Type="http://schemas.openxmlformats.org/officeDocument/2006/relationships/hyperlink" Target="https://link.springer.com/article/10.1007/s11135-017-0584-6" TargetMode="External"/><Relationship Id="rId133" Type="http://schemas.openxmlformats.org/officeDocument/2006/relationships/hyperlink" Target="https://www.nnc.gov.ph/40-10-kumainments/2510-managing-hypertension" TargetMode="External"/><Relationship Id="rId154" Type="http://schemas.openxmlformats.org/officeDocument/2006/relationships/hyperlink" Target="http://www.psa.gov.ph/poverty-press-releases/nid/138411" TargetMode="External"/><Relationship Id="rId175" Type="http://schemas.openxmlformats.org/officeDocument/2006/relationships/hyperlink" Target="https://www.ncbi.nlm.nih.gov/pubmed/28303441" TargetMode="External"/><Relationship Id="rId196" Type="http://schemas.openxmlformats.org/officeDocument/2006/relationships/hyperlink" Target="https://www.unitedhealthgroup.com/content/dam/UHG/PDF/About/Health-Literacy-Brief.pdf" TargetMode="External"/><Relationship Id="rId200" Type="http://schemas.openxmlformats.org/officeDocument/2006/relationships/hyperlink" Target="http://www.undp.org/content/undp/en/home/sustainable-development-goals/goal-11-sustainable-cities-and-communities.html" TargetMode="External"/><Relationship Id="rId16" Type="http://schemas.openxmlformats.org/officeDocument/2006/relationships/footer" Target="footer3.xml"/><Relationship Id="rId221" Type="http://schemas.openxmlformats.org/officeDocument/2006/relationships/image" Target="media/image6.png"/><Relationship Id="rId37" Type="http://schemas.openxmlformats.org/officeDocument/2006/relationships/footer" Target="footer16.xml"/><Relationship Id="rId58" Type="http://schemas.openxmlformats.org/officeDocument/2006/relationships/hyperlink" Target="https://ajph.aphapublications.org/doi/10.2105/ajph.92.8.1278?url_ver=Z39.88-2003&amp;rfr_id=ori%3Arid%3Acrossref.org&amp;rfr_dat=cr_pub++0pubmed" TargetMode="External"/><Relationship Id="rId79" Type="http://schemas.openxmlformats.org/officeDocument/2006/relationships/hyperlink" Target="https://doi.org/10.1093/eurheartj/suab061" TargetMode="External"/><Relationship Id="rId102" Type="http://schemas.openxmlformats.org/officeDocument/2006/relationships/hyperlink" Target="http://www.health-literacy.eu" TargetMode="External"/><Relationship Id="rId123" Type="http://schemas.openxmlformats.org/officeDocument/2006/relationships/hyperlink" Target="https://bmcpublichealth.biomedcentral.com/articles/10.1186/s12889-020-09947-0" TargetMode="External"/><Relationship Id="rId144" Type="http://schemas.openxmlformats.org/officeDocument/2006/relationships/hyperlink" Target="https://pidswebs.pids.gov.ph/CDN/PUBLICATIONS/pidspn1818.pdf" TargetMode="External"/><Relationship Id="rId90" Type="http://schemas.openxmlformats.org/officeDocument/2006/relationships/hyperlink" Target="https://www.fnri.dost.gov.ph/images//sources/eNNS2018/Adults_and_Elderly.pdf" TargetMode="External"/><Relationship Id="rId165" Type="http://schemas.openxmlformats.org/officeDocument/2006/relationships/hyperlink" Target="https://www.r-project.org/" TargetMode="External"/><Relationship Id="rId186" Type="http://schemas.openxmlformats.org/officeDocument/2006/relationships/hyperlink" Target="https://jech.bmj.com/content/jech/76/5/451.full.pdf" TargetMode="External"/><Relationship Id="rId211" Type="http://schemas.openxmlformats.org/officeDocument/2006/relationships/hyperlink" Target="https://apps.who.int/iris/bitstream/handle/10665/79061/9789241500784_eng.pdf?sequence=1&amp;isAllowed=y" TargetMode="External"/><Relationship Id="rId232" Type="http://schemas.openxmlformats.org/officeDocument/2006/relationships/image" Target="media/image13.png"/><Relationship Id="rId27" Type="http://schemas.openxmlformats.org/officeDocument/2006/relationships/footer" Target="footer10.xml"/><Relationship Id="rId48" Type="http://schemas.openxmlformats.org/officeDocument/2006/relationships/hyperlink" Target="https://www.ncbi.nlm.nih.gov/pubmed/25369353" TargetMode="External"/><Relationship Id="rId69" Type="http://schemas.openxmlformats.org/officeDocument/2006/relationships/hyperlink" Target="https://doi.org/10.1007/s11906-022-01183-8" TargetMode="External"/><Relationship Id="rId113" Type="http://schemas.openxmlformats.org/officeDocument/2006/relationships/hyperlink" Target="https://www.ncbi.nlm.nih.gov/pmc/articles/PMC7710228/" TargetMode="External"/><Relationship Id="rId134" Type="http://schemas.openxmlformats.org/officeDocument/2006/relationships/hyperlink" Target="https://www.ncbi.nlm.nih.gov/pubmed/18952344" TargetMode="External"/><Relationship Id="rId80" Type="http://schemas.openxmlformats.org/officeDocument/2006/relationships/hyperlink" Target="https://academic.oup.com/eurheartjsupp/article/23/Supplement_B/B120/6279139" TargetMode="External"/><Relationship Id="rId155" Type="http://schemas.openxmlformats.org/officeDocument/2006/relationships/hyperlink" Target="https://psa.gov.ph/sites/default/files/2018%20NMS%20Final%20Report.pdf" TargetMode="External"/><Relationship Id="rId176" Type="http://schemas.openxmlformats.org/officeDocument/2006/relationships/hyperlink" Target="https://doi.org/10.1038/s41440-022-01134-5" TargetMode="External"/><Relationship Id="rId197" Type="http://schemas.openxmlformats.org/officeDocument/2006/relationships/hyperlink" Target="https://www.un.org/millenniumgoals/2015_MDG_Report/pdf/MDG%202015%20rev%20(July%201).pdf" TargetMode="External"/><Relationship Id="rId201" Type="http://schemas.openxmlformats.org/officeDocument/2006/relationships/hyperlink" Target="https://doi.org/10.1080/02640414.2021.1939964" TargetMode="External"/><Relationship Id="rId222" Type="http://schemas.openxmlformats.org/officeDocument/2006/relationships/header" Target="header11.xml"/><Relationship Id="rId17" Type="http://schemas.openxmlformats.org/officeDocument/2006/relationships/header" Target="header3.xml"/><Relationship Id="rId38" Type="http://schemas.openxmlformats.org/officeDocument/2006/relationships/image" Target="media/image4.png"/><Relationship Id="rId59" Type="http://schemas.openxmlformats.org/officeDocument/2006/relationships/hyperlink" Target="https://www.sciencedirect.com/science/article/pii/S187704281301608X" TargetMode="External"/><Relationship Id="rId103" Type="http://schemas.openxmlformats.org/officeDocument/2006/relationships/hyperlink" Target="https://cdn1.sph.harvard.edu/wp-content/uploads/sites/135/2015/09/neu_rev_hls-eu_report_2015_05_13_lit.pdf" TargetMode="External"/><Relationship Id="rId124" Type="http://schemas.openxmlformats.org/officeDocument/2006/relationships/hyperlink" Target="https://www.ncbi.nlm.nih.gov/pmc/articles/PMC4102336/" TargetMode="External"/><Relationship Id="rId70" Type="http://schemas.openxmlformats.org/officeDocument/2006/relationships/hyperlink" Target="https://link.springer.com/article/10.1007/s11906-022-01183-8" TargetMode="External"/><Relationship Id="rId91" Type="http://schemas.openxmlformats.org/officeDocument/2006/relationships/hyperlink" Target="https://www.fnri.dost.gov.ph/images//sources/eNNS2018/Adults_and_Elderly.pdf" TargetMode="External"/><Relationship Id="rId145" Type="http://schemas.openxmlformats.org/officeDocument/2006/relationships/hyperlink" Target="https://psa.gov.ph/sites/default/files/Philippines%20NDHS%20KIR.pdf" TargetMode="External"/><Relationship Id="rId166" Type="http://schemas.openxmlformats.org/officeDocument/2006/relationships/hyperlink" Target="https://www.ncbi.nlm.nih.gov/pubmed/10982012" TargetMode="External"/><Relationship Id="rId187" Type="http://schemas.openxmlformats.org/officeDocument/2006/relationships/hyperlink" Target="https://impact.economist.com/perspectives/sites/default/files/lon_-_es_-_health_literacy_paper_v8_0.pdf" TargetMode="External"/><Relationship Id="rId1" Type="http://schemas.openxmlformats.org/officeDocument/2006/relationships/customXml" Target="../customXml/item1.xml"/><Relationship Id="rId212" Type="http://schemas.openxmlformats.org/officeDocument/2006/relationships/hyperlink" Target="https://www.who.int/ncds/management/Manual_of_Procedures_on_WHO_PEN_PHL.pdf" TargetMode="External"/><Relationship Id="rId233" Type="http://schemas.openxmlformats.org/officeDocument/2006/relationships/hyperlink" Target="https://1drv.ms/x/s!AkVzLxrZ8RUyh-cPi9wskmlF7xu_hw?e=EnRANh" TargetMode="External"/><Relationship Id="rId28" Type="http://schemas.openxmlformats.org/officeDocument/2006/relationships/footer" Target="footer11.xml"/><Relationship Id="rId49" Type="http://schemas.openxmlformats.org/officeDocument/2006/relationships/hyperlink" Target="https://www.sciencedirect.com/science/article/pii/S0033350614001954?via%3Dihub" TargetMode="External"/><Relationship Id="rId114" Type="http://schemas.openxmlformats.org/officeDocument/2006/relationships/hyperlink" Target="https://www.ncbi.nlm.nih.gov/pmc/articles/PMC8160950/" TargetMode="External"/><Relationship Id="rId60" Type="http://schemas.openxmlformats.org/officeDocument/2006/relationships/hyperlink" Target="https://www.scribbr.com/statistics/confidence-interval/" TargetMode="External"/><Relationship Id="rId81" Type="http://schemas.openxmlformats.org/officeDocument/2006/relationships/hyperlink" Target="http://citeseerx.ist.psu.edu/viewdoc/download?doi=10.1.1.726.6237&amp;rep=rep1&amp;type=pdf" TargetMode="External"/><Relationship Id="rId135" Type="http://schemas.openxmlformats.org/officeDocument/2006/relationships/hyperlink" Target="https://academic.oup.com/heapro/article/15/3/259/551108" TargetMode="External"/><Relationship Id="rId156" Type="http://schemas.openxmlformats.org/officeDocument/2006/relationships/hyperlink" Target="http://rssocar.psa.gov.ph/population/2018%20National%20Migration%20Survey%3A%20Migration%20Experiences%20of%20Filipinos" TargetMode="External"/><Relationship Id="rId177" Type="http://schemas.openxmlformats.org/officeDocument/2006/relationships/hyperlink" Target="https://www.nature.com/articles/s41440-022-01134-5" TargetMode="External"/><Relationship Id="rId198" Type="http://schemas.openxmlformats.org/officeDocument/2006/relationships/hyperlink" Target="https://population.un.org/wup/DataQuery/" TargetMode="External"/><Relationship Id="rId202" Type="http://schemas.openxmlformats.org/officeDocument/2006/relationships/hyperlink" Target="https://www.ncbi.nlm.nih.gov/pmc/articles/PMC5808538/" TargetMode="External"/><Relationship Id="rId223" Type="http://schemas.openxmlformats.org/officeDocument/2006/relationships/footer" Target="footer17.xml"/><Relationship Id="rId18" Type="http://schemas.openxmlformats.org/officeDocument/2006/relationships/footer" Target="footer4.xml"/><Relationship Id="rId39" Type="http://schemas.openxmlformats.org/officeDocument/2006/relationships/image" Target="media/image5.png"/><Relationship Id="rId50" Type="http://schemas.openxmlformats.org/officeDocument/2006/relationships/hyperlink" Target="https://doi.org/10.1093/ckj/sfac235" TargetMode="External"/><Relationship Id="rId104" Type="http://schemas.openxmlformats.org/officeDocument/2006/relationships/hyperlink" Target="https://www.ncbi.nlm.nih.gov/pmc/articles/PMC7864622/" TargetMode="External"/><Relationship Id="rId125" Type="http://schemas.openxmlformats.org/officeDocument/2006/relationships/hyperlink" Target="https://dx.doi.org/10.1161%2FCIRCULATIONAHA.115.018912" TargetMode="External"/><Relationship Id="rId146" Type="http://schemas.openxmlformats.org/officeDocument/2006/relationships/hyperlink" Target="https://psa.gov.ph/sites/default/files/attachments/hsd/pressrelease/Table4_9.pdf" TargetMode="External"/><Relationship Id="rId167" Type="http://schemas.openxmlformats.org/officeDocument/2006/relationships/hyperlink" Target="https://www.ncbi.nlm.nih.gov/pmc/articles/PMC3549254/" TargetMode="External"/><Relationship Id="rId188" Type="http://schemas.openxmlformats.org/officeDocument/2006/relationships/hyperlink" Target="https://www.ncbi.nlm.nih.gov/pmc/articles/PMC8141385/" TargetMode="External"/><Relationship Id="rId71" Type="http://schemas.openxmlformats.org/officeDocument/2006/relationships/hyperlink" Target="https://cpbrd.congress.gov.ph/images/PDF%20Attachments/Facts%20in%20Figures/FF2022-20_Demographic_Profile_of_Poor_Households_in_the_Philippines.pdf" TargetMode="External"/><Relationship Id="rId92" Type="http://schemas.openxmlformats.org/officeDocument/2006/relationships/hyperlink" Target="https://www.cdc.gov/nchs/products/databriefs/db289.htm" TargetMode="External"/><Relationship Id="rId213" Type="http://schemas.openxmlformats.org/officeDocument/2006/relationships/hyperlink" Target="http://www.wpro.who.int/philippines/areas/health_systems/financing/philippines_health_system_review.pdf" TargetMode="External"/><Relationship Id="rId234" Type="http://schemas.openxmlformats.org/officeDocument/2006/relationships/hyperlink" Target="https://1drv.ms/u/s!AkVzLxrZ8RUyh-cOpEvGF2d4-m2TXA?e=HHgYFz" TargetMode="External"/><Relationship Id="rId2" Type="http://schemas.openxmlformats.org/officeDocument/2006/relationships/customXml" Target="../customXml/item2.xml"/><Relationship Id="rId29" Type="http://schemas.openxmlformats.org/officeDocument/2006/relationships/footer" Target="footer12.xml"/><Relationship Id="rId40" Type="http://schemas.openxmlformats.org/officeDocument/2006/relationships/hyperlink" Target="mailto:dmihpc@upou.edu.ph" TargetMode="External"/><Relationship Id="rId115" Type="http://schemas.openxmlformats.org/officeDocument/2006/relationships/hyperlink" Target="https://www.ncbi.nlm.nih.gov/pmc/articles/PMC5455324/" TargetMode="External"/><Relationship Id="rId136" Type="http://schemas.openxmlformats.org/officeDocument/2006/relationships/hyperlink" Target="https://www.healthypeople.gov/2020/topics-objectives/topic/social-determinants-of-health" TargetMode="External"/><Relationship Id="rId157" Type="http://schemas.openxmlformats.org/officeDocument/2006/relationships/hyperlink" Target="https://doi.org/10.3389/fpsyg.2020.02201" TargetMode="External"/><Relationship Id="rId178" Type="http://schemas.openxmlformats.org/officeDocument/2006/relationships/hyperlink" Target="https://asean-endocrinejournal.org/index.php/JAFES/article/view/595/html" TargetMode="External"/><Relationship Id="rId61" Type="http://schemas.openxmlformats.org/officeDocument/2006/relationships/hyperlink" Target="https://doi.org/10.1186/s12889-020-8421-6" TargetMode="External"/><Relationship Id="rId82" Type="http://schemas.openxmlformats.org/officeDocument/2006/relationships/hyperlink" Target="https://pubmed.ncbi.nlm.nih.gov/22214743/" TargetMode="External"/><Relationship Id="rId199" Type="http://schemas.openxmlformats.org/officeDocument/2006/relationships/hyperlink" Target="https://unhabitat.org/philippines" TargetMode="External"/><Relationship Id="rId203" Type="http://schemas.openxmlformats.org/officeDocument/2006/relationships/hyperlink" Target="https://doi.org/10.1371/journal.pone.0195340" TargetMode="External"/><Relationship Id="rId19" Type="http://schemas.openxmlformats.org/officeDocument/2006/relationships/footer" Target="footer5.xml"/><Relationship Id="rId224" Type="http://schemas.openxmlformats.org/officeDocument/2006/relationships/image" Target="media/image7.png"/><Relationship Id="rId30" Type="http://schemas.openxmlformats.org/officeDocument/2006/relationships/header" Target="header7.xml"/><Relationship Id="rId105" Type="http://schemas.openxmlformats.org/officeDocument/2006/relationships/hyperlink" Target="https://bmcprimcare.biomedcentral.com/articles/10.1186/1471-2296-14-40" TargetMode="External"/><Relationship Id="rId126" Type="http://schemas.openxmlformats.org/officeDocument/2006/relationships/hyperlink" Target="https://www.ncbi.nlm.nih.gov/pmc/articles/PMC4979614/" TargetMode="External"/><Relationship Id="rId147" Type="http://schemas.openxmlformats.org/officeDocument/2006/relationships/hyperlink" Target="https://psa.gov.ph/content/literacy-men-and-women-philippines-results-2008-functional-literacy-education-and-mass-media" TargetMode="External"/><Relationship Id="rId168" Type="http://schemas.openxmlformats.org/officeDocument/2006/relationships/hyperlink" Target="https://www.ncbi.nlm.nih.gov/pmc/articles/PMC6191248/" TargetMode="External"/><Relationship Id="rId51" Type="http://schemas.openxmlformats.org/officeDocument/2006/relationships/hyperlink" Target="https://academic.oup.com/ckj/article/16/4/619/6779690" TargetMode="External"/><Relationship Id="rId72" Type="http://schemas.openxmlformats.org/officeDocument/2006/relationships/hyperlink" Target="https://www.literacyworldwide.org/blog/literacy-daily/2015/08/06/literacy-in-the-philippines-the-stories-behind-the-numbers" TargetMode="External"/><Relationship Id="rId93" Type="http://schemas.openxmlformats.org/officeDocument/2006/relationships/hyperlink" Target="https://doi.org/10.1111/jsbm.12169" TargetMode="External"/><Relationship Id="rId189" Type="http://schemas.openxmlformats.org/officeDocument/2006/relationships/hyperlink" Target="https://bmcpublichealth.biomedcentral.com/articles/10.1186/s12889-015-2210-7" TargetMode="External"/><Relationship Id="rId3" Type="http://schemas.openxmlformats.org/officeDocument/2006/relationships/numbering" Target="numbering.xml"/><Relationship Id="rId214" Type="http://schemas.openxmlformats.org/officeDocument/2006/relationships/hyperlink" Target="https://apps.who.int/iris/bitstream/handle/10665/128038/9789241507509_eng.pdf?sequence=1" TargetMode="External"/><Relationship Id="rId235" Type="http://schemas.openxmlformats.org/officeDocument/2006/relationships/header" Target="header12.xml"/><Relationship Id="rId116" Type="http://schemas.openxmlformats.org/officeDocument/2006/relationships/hyperlink" Target="https://www.ncbi.nlm.nih.gov/pmc/articles/PMC7504386/" TargetMode="External"/><Relationship Id="rId137" Type="http://schemas.openxmlformats.org/officeDocument/2006/relationships/hyperlink" Target="https://bmcpublichealth.biomedcentral.com/articles/10.1186/1471-2458-13-658" TargetMode="External"/><Relationship Id="rId158" Type="http://schemas.openxmlformats.org/officeDocument/2006/relationships/hyperlink" Target="https://www.frontiersin.org/articles/10.3389/fpsyg.2020.02201/full" TargetMode="External"/><Relationship Id="rId20" Type="http://schemas.openxmlformats.org/officeDocument/2006/relationships/footer" Target="footer6.xml"/><Relationship Id="rId41" Type="http://schemas.openxmlformats.org/officeDocument/2006/relationships/hyperlink" Target="mailto:mdoruga@up.edu.ph" TargetMode="External"/><Relationship Id="rId62" Type="http://schemas.openxmlformats.org/officeDocument/2006/relationships/hyperlink" Target="https://bookdown.org/danieljcarter/r4steph/" TargetMode="External"/><Relationship Id="rId83" Type="http://schemas.openxmlformats.org/officeDocument/2006/relationships/hyperlink" Target="https://academic.oup.com/heapro/article/15/3/259/551108" TargetMode="External"/><Relationship Id="rId179" Type="http://schemas.openxmlformats.org/officeDocument/2006/relationships/hyperlink" Target="https://doi.org/10.1186/s12889-023-1571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pXsq+Co1/hFngRT5omb/cMOC7A==">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403C43-2C2C-439B-805D-6C575F41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125</Pages>
  <Words>30145</Words>
  <Characters>171833</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Rammell Eric Martinez</dc:creator>
  <cp:lastModifiedBy>Noreen Dianne Alazada</cp:lastModifiedBy>
  <cp:revision>53</cp:revision>
  <dcterms:created xsi:type="dcterms:W3CDTF">2023-11-27T10:52:00Z</dcterms:created>
  <dcterms:modified xsi:type="dcterms:W3CDTF">2023-11-29T07:28:00Z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21f85893ccb0d0471ebbc1ad873007abd0622ad89f16391ca7bca41e1cdadeb4</vt:lpwstr>
  </property>
</Properties>
</file>