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ageBreakBefore w:val="0"/>
        <w:rPr>
          <w:highlight w:val="white"/>
        </w:rPr>
      </w:pPr>
      <w:r w:rsidDel="00000000" w:rsidR="00000000" w:rsidRPr="00000000">
        <w:rPr>
          <w:rtl w:val="0"/>
        </w:rPr>
      </w:r>
    </w:p>
    <w:tbl>
      <w:tblPr>
        <w:tblStyle w:val="Table1"/>
        <w:tblW w:w="9660.0" w:type="dxa"/>
        <w:jc w:val="left"/>
        <w:tblInd w:w="-26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1230"/>
        <w:gridCol w:w="8430"/>
        <w:tblGridChange w:id="0">
          <w:tblGrid>
            <w:gridCol w:w="1230"/>
            <w:gridCol w:w="8430"/>
          </w:tblGrid>
        </w:tblGridChange>
      </w:tblGrid>
      <w:tr>
        <w:trPr>
          <w:cantSplit w:val="0"/>
          <w:trHeight w:val="1425" w:hRule="atLeast"/>
          <w:tblHeader w:val="0"/>
        </w:trPr>
        <w:tc>
          <w:tcPr>
            <w:tcBorders>
              <w:top w:color="000000" w:space="0" w:sz="6" w:val="single"/>
              <w:left w:color="000000" w:space="0" w:sz="6" w:val="single"/>
              <w:bottom w:color="000000" w:space="0" w:sz="6" w:val="single"/>
              <w:right w:color="000000" w:space="0" w:sz="6" w:val="single"/>
            </w:tcBorders>
            <w:tcMar>
              <w:top w:w="40.0" w:type="dxa"/>
              <w:left w:w="40.0" w:type="dxa"/>
              <w:bottom w:w="40.0" w:type="dxa"/>
              <w:right w:w="40.0" w:type="dxa"/>
            </w:tcMar>
            <w:vAlign w:val="top"/>
          </w:tcPr>
          <w:p w:rsidR="00000000" w:rsidDel="00000000" w:rsidP="00000000" w:rsidRDefault="00000000" w:rsidRPr="00000000" w14:paraId="00000002">
            <w:pPr>
              <w:pageBreakBefore w:val="0"/>
              <w:widowControl w:val="0"/>
              <w:rPr/>
            </w:pPr>
            <w:r w:rsidDel="00000000" w:rsidR="00000000" w:rsidRPr="00000000">
              <w:rPr>
                <w:rtl w:val="0"/>
              </w:rPr>
              <w:t xml:space="preserve">Author</w:t>
            </w:r>
          </w:p>
          <w:p w:rsidR="00000000" w:rsidDel="00000000" w:rsidP="00000000" w:rsidRDefault="00000000" w:rsidRPr="00000000" w14:paraId="00000003">
            <w:pPr>
              <w:pageBreakBefore w:val="0"/>
              <w:widowControl w:val="0"/>
              <w:rPr/>
            </w:pPr>
            <w:r w:rsidDel="00000000" w:rsidR="00000000" w:rsidRPr="00000000">
              <w:rPr>
                <w:rtl w:val="0"/>
              </w:rPr>
              <w:t xml:space="preserve">Title</w:t>
            </w:r>
          </w:p>
          <w:p w:rsidR="00000000" w:rsidDel="00000000" w:rsidP="00000000" w:rsidRDefault="00000000" w:rsidRPr="00000000" w14:paraId="00000004">
            <w:pPr>
              <w:pageBreakBefore w:val="0"/>
              <w:widowControl w:val="0"/>
              <w:rPr/>
            </w:pPr>
            <w:r w:rsidDel="00000000" w:rsidR="00000000" w:rsidRPr="00000000">
              <w:rPr>
                <w:rtl w:val="0"/>
              </w:rPr>
              <w:t xml:space="preserve">Year</w:t>
            </w:r>
          </w:p>
          <w:p w:rsidR="00000000" w:rsidDel="00000000" w:rsidP="00000000" w:rsidRDefault="00000000" w:rsidRPr="00000000" w14:paraId="00000005">
            <w:pPr>
              <w:pageBreakBefore w:val="0"/>
              <w:widowControl w:val="0"/>
              <w:rPr/>
            </w:pPr>
            <w:r w:rsidDel="00000000" w:rsidR="00000000" w:rsidRPr="00000000">
              <w:rPr>
                <w:rtl w:val="0"/>
              </w:rPr>
              <w:t xml:space="preserve">Program</w:t>
            </w:r>
            <w:r w:rsidDel="00000000" w:rsidR="00000000" w:rsidRPr="00000000">
              <w:rPr>
                <w:rtl w:val="0"/>
              </w:rPr>
            </w:r>
          </w:p>
        </w:tc>
        <w:tc>
          <w:tcPr>
            <w:tcBorders>
              <w:top w:color="000000" w:space="0" w:sz="6" w:val="single"/>
              <w:left w:color="cccccc" w:space="0" w:sz="6" w:val="single"/>
              <w:bottom w:color="000000" w:space="0" w:sz="6" w:val="single"/>
              <w:right w:color="000000" w:space="0" w:sz="6" w:val="single"/>
            </w:tcBorders>
            <w:tcMar>
              <w:top w:w="40.0" w:type="dxa"/>
              <w:left w:w="40.0" w:type="dxa"/>
              <w:bottom w:w="40.0" w:type="dxa"/>
              <w:right w:w="40.0" w:type="dxa"/>
            </w:tcMar>
            <w:vAlign w:val="bottom"/>
          </w:tcPr>
          <w:p w:rsidR="00000000" w:rsidDel="00000000" w:rsidP="00000000" w:rsidRDefault="00000000" w:rsidRPr="00000000" w14:paraId="00000006">
            <w:pPr>
              <w:pageBreakBefore w:val="0"/>
              <w:widowControl w:val="0"/>
              <w:rPr/>
            </w:pPr>
            <w:r w:rsidDel="00000000" w:rsidR="00000000" w:rsidRPr="00000000">
              <w:rPr>
                <w:rtl w:val="0"/>
              </w:rPr>
              <w:t xml:space="preserve">Castillo, Judith F.</w:t>
            </w:r>
          </w:p>
          <w:p w:rsidR="00000000" w:rsidDel="00000000" w:rsidP="00000000" w:rsidRDefault="00000000" w:rsidRPr="00000000" w14:paraId="00000007">
            <w:pPr>
              <w:pageBreakBefore w:val="0"/>
              <w:widowControl w:val="0"/>
              <w:rPr/>
            </w:pPr>
            <w:r w:rsidDel="00000000" w:rsidR="00000000" w:rsidRPr="00000000">
              <w:rPr>
                <w:rtl w:val="0"/>
              </w:rPr>
              <w:t xml:space="preserve">Analysis of problems Affecting the Biñan River System in Laguna.</w:t>
            </w:r>
          </w:p>
          <w:p w:rsidR="00000000" w:rsidDel="00000000" w:rsidP="00000000" w:rsidRDefault="00000000" w:rsidRPr="00000000" w14:paraId="00000008">
            <w:pPr>
              <w:pageBreakBefore w:val="0"/>
              <w:widowControl w:val="0"/>
              <w:rPr/>
            </w:pPr>
            <w:r w:rsidDel="00000000" w:rsidR="00000000" w:rsidRPr="00000000">
              <w:rPr>
                <w:rtl w:val="0"/>
              </w:rPr>
              <w:t xml:space="preserve">2006</w:t>
            </w:r>
          </w:p>
          <w:p w:rsidR="00000000" w:rsidDel="00000000" w:rsidP="00000000" w:rsidRDefault="00000000" w:rsidRPr="00000000" w14:paraId="00000009">
            <w:pPr>
              <w:pageBreakBefore w:val="0"/>
              <w:widowControl w:val="0"/>
              <w:rPr/>
            </w:pPr>
            <w:r w:rsidDel="00000000" w:rsidR="00000000" w:rsidRPr="00000000">
              <w:rPr>
                <w:rtl w:val="0"/>
              </w:rPr>
              <w:t xml:space="preserve">Master in Environment and Natural Resources Management</w:t>
            </w:r>
            <w:r w:rsidDel="00000000" w:rsidR="00000000" w:rsidRPr="00000000">
              <w:rPr>
                <w:rtl w:val="0"/>
              </w:rPr>
            </w:r>
          </w:p>
        </w:tc>
      </w:tr>
    </w:tbl>
    <w:p w:rsidR="00000000" w:rsidDel="00000000" w:rsidP="00000000" w:rsidRDefault="00000000" w:rsidRPr="00000000" w14:paraId="0000000A">
      <w:pPr>
        <w:pageBreakBefore w:val="0"/>
        <w:rPr>
          <w:highlight w:val="white"/>
        </w:rPr>
      </w:pPr>
      <w:r w:rsidDel="00000000" w:rsidR="00000000" w:rsidRPr="00000000">
        <w:rPr>
          <w:rtl w:val="0"/>
        </w:rPr>
      </w:r>
    </w:p>
    <w:p w:rsidR="00000000" w:rsidDel="00000000" w:rsidP="00000000" w:rsidRDefault="00000000" w:rsidRPr="00000000" w14:paraId="0000000B">
      <w:pPr>
        <w:pageBreakBefore w:val="0"/>
        <w:jc w:val="center"/>
        <w:rPr>
          <w:b w:val="1"/>
          <w:highlight w:val="white"/>
        </w:rPr>
      </w:pPr>
      <w:r w:rsidDel="00000000" w:rsidR="00000000" w:rsidRPr="00000000">
        <w:rPr>
          <w:b w:val="1"/>
          <w:highlight w:val="white"/>
          <w:rtl w:val="0"/>
        </w:rPr>
        <w:t xml:space="preserve">ABSTRACT</w:t>
      </w:r>
    </w:p>
    <w:p w:rsidR="00000000" w:rsidDel="00000000" w:rsidP="00000000" w:rsidRDefault="00000000" w:rsidRPr="00000000" w14:paraId="0000000C">
      <w:pPr>
        <w:pageBreakBefore w:val="0"/>
        <w:jc w:val="center"/>
        <w:rPr>
          <w:b w:val="1"/>
          <w:highlight w:val="white"/>
        </w:rPr>
      </w:pPr>
      <w:r w:rsidDel="00000000" w:rsidR="00000000" w:rsidRPr="00000000">
        <w:rPr>
          <w:rtl w:val="0"/>
        </w:rPr>
      </w:r>
    </w:p>
    <w:p w:rsidR="00000000" w:rsidDel="00000000" w:rsidP="00000000" w:rsidRDefault="00000000" w:rsidRPr="00000000" w14:paraId="0000000D">
      <w:pPr>
        <w:pageBreakBefore w:val="0"/>
        <w:jc w:val="both"/>
        <w:rPr>
          <w:highlight w:val="white"/>
        </w:rPr>
      </w:pPr>
      <w:r w:rsidDel="00000000" w:rsidR="00000000" w:rsidRPr="00000000">
        <w:rPr>
          <w:highlight w:val="white"/>
          <w:rtl w:val="0"/>
        </w:rPr>
        <w:t xml:space="preserve">        The study aimed to evaluate problems prevailing in the Biñan Micro-watershed's further degradation.</w:t>
      </w:r>
    </w:p>
    <w:p w:rsidR="00000000" w:rsidDel="00000000" w:rsidP="00000000" w:rsidRDefault="00000000" w:rsidRPr="00000000" w14:paraId="0000000E">
      <w:pPr>
        <w:pageBreakBefore w:val="0"/>
        <w:jc w:val="both"/>
        <w:rPr>
          <w:highlight w:val="white"/>
        </w:rPr>
      </w:pPr>
      <w:r w:rsidDel="00000000" w:rsidR="00000000" w:rsidRPr="00000000">
        <w:rPr>
          <w:highlight w:val="white"/>
          <w:rtl w:val="0"/>
        </w:rPr>
        <w:t xml:space="preserve">        Review and assessment of available documents combined with Focus Group Discussions (FGDs) were undertaken in order to identify issues and problems. Planning tools such as Problem Tree, Solution Tree and Strategy Analysis were all used to analyze the problems and formulate possible strategies.</w:t>
      </w:r>
    </w:p>
    <w:p w:rsidR="00000000" w:rsidDel="00000000" w:rsidP="00000000" w:rsidRDefault="00000000" w:rsidRPr="00000000" w14:paraId="0000000F">
      <w:pPr>
        <w:pageBreakBefore w:val="0"/>
        <w:jc w:val="both"/>
        <w:rPr>
          <w:highlight w:val="white"/>
        </w:rPr>
      </w:pPr>
      <w:r w:rsidDel="00000000" w:rsidR="00000000" w:rsidRPr="00000000">
        <w:rPr>
          <w:highlight w:val="white"/>
          <w:rtl w:val="0"/>
        </w:rPr>
        <w:t xml:space="preserve">        Results revealed that the deteriorating quality of water in the Biñan Micro-watershed. Siltation/sedimentation, pollution and rapid increase in population were all regarded as the major contributing factors to the deteriorating quality of the river.</w:t>
      </w:r>
    </w:p>
    <w:p w:rsidR="00000000" w:rsidDel="00000000" w:rsidP="00000000" w:rsidRDefault="00000000" w:rsidRPr="00000000" w14:paraId="00000010">
      <w:pPr>
        <w:pageBreakBefore w:val="0"/>
        <w:jc w:val="both"/>
        <w:rPr>
          <w:highlight w:val="white"/>
        </w:rPr>
      </w:pPr>
      <w:r w:rsidDel="00000000" w:rsidR="00000000" w:rsidRPr="00000000">
        <w:rPr>
          <w:highlight w:val="white"/>
          <w:rtl w:val="0"/>
        </w:rPr>
        <w:t xml:space="preserve">        Three (3) strategies which include integrated waste management, soil and water conservation strategy and advocacy were identified to help arrest the deteriorating quality of Biñan River system.</w:t>
      </w:r>
    </w:p>
    <w:p w:rsidR="00000000" w:rsidDel="00000000" w:rsidP="00000000" w:rsidRDefault="00000000" w:rsidRPr="00000000" w14:paraId="00000011">
      <w:pPr>
        <w:pageBreakBefore w:val="0"/>
        <w:jc w:val="both"/>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