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ageBreakBefore w:val="0"/>
        <w:rPr/>
      </w:pPr>
      <w:r w:rsidDel="00000000" w:rsidR="00000000" w:rsidRPr="00000000">
        <w:rPr>
          <w:rtl w:val="0"/>
        </w:rPr>
      </w:r>
    </w:p>
    <w:tbl>
      <w:tblPr>
        <w:tblStyle w:val="Table1"/>
        <w:tblW w:w="9570.0" w:type="dxa"/>
        <w:jc w:val="left"/>
        <w:tblInd w:w="-17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1125"/>
        <w:gridCol w:w="8445"/>
        <w:tblGridChange w:id="0">
          <w:tblGrid>
            <w:gridCol w:w="1125"/>
            <w:gridCol w:w="8445"/>
          </w:tblGrid>
        </w:tblGridChange>
      </w:tblGrid>
      <w:tr>
        <w:trPr>
          <w:cantSplit w:val="0"/>
          <w:trHeight w:val="1425" w:hRule="atLeast"/>
          <w:tblHeader w:val="0"/>
        </w:trPr>
        <w:tc>
          <w:tcPr>
            <w:tcBorders>
              <w:top w:color="000000" w:space="0" w:sz="6" w:val="single"/>
              <w:left w:color="000000" w:space="0" w:sz="6" w:val="single"/>
              <w:bottom w:color="000000" w:space="0" w:sz="6" w:val="single"/>
              <w:right w:color="000000" w:space="0" w:sz="6" w:val="single"/>
            </w:tcBorders>
            <w:tcMar>
              <w:top w:w="40.0" w:type="dxa"/>
              <w:left w:w="40.0" w:type="dxa"/>
              <w:bottom w:w="40.0" w:type="dxa"/>
              <w:right w:w="40.0" w:type="dxa"/>
            </w:tcMar>
            <w:vAlign w:val="top"/>
          </w:tcPr>
          <w:p w:rsidR="00000000" w:rsidDel="00000000" w:rsidP="00000000" w:rsidRDefault="00000000" w:rsidRPr="00000000" w14:paraId="00000002">
            <w:pPr>
              <w:pageBreakBefore w:val="0"/>
              <w:widowControl w:val="0"/>
              <w:rPr/>
            </w:pPr>
            <w:r w:rsidDel="00000000" w:rsidR="00000000" w:rsidRPr="00000000">
              <w:rPr>
                <w:rtl w:val="0"/>
              </w:rPr>
              <w:t xml:space="preserve">Author</w:t>
            </w:r>
          </w:p>
          <w:p w:rsidR="00000000" w:rsidDel="00000000" w:rsidP="00000000" w:rsidRDefault="00000000" w:rsidRPr="00000000" w14:paraId="00000003">
            <w:pPr>
              <w:pageBreakBefore w:val="0"/>
              <w:widowControl w:val="0"/>
              <w:rPr/>
            </w:pPr>
            <w:r w:rsidDel="00000000" w:rsidR="00000000" w:rsidRPr="00000000">
              <w:rPr>
                <w:rtl w:val="0"/>
              </w:rPr>
              <w:t xml:space="preserve">Title</w:t>
            </w:r>
          </w:p>
          <w:p w:rsidR="00000000" w:rsidDel="00000000" w:rsidP="00000000" w:rsidRDefault="00000000" w:rsidRPr="00000000" w14:paraId="00000004">
            <w:pPr>
              <w:pageBreakBefore w:val="0"/>
              <w:widowControl w:val="0"/>
              <w:rPr/>
            </w:pPr>
            <w:r w:rsidDel="00000000" w:rsidR="00000000" w:rsidRPr="00000000">
              <w:rPr>
                <w:rtl w:val="0"/>
              </w:rPr>
            </w:r>
          </w:p>
          <w:p w:rsidR="00000000" w:rsidDel="00000000" w:rsidP="00000000" w:rsidRDefault="00000000" w:rsidRPr="00000000" w14:paraId="00000005">
            <w:pPr>
              <w:pageBreakBefore w:val="0"/>
              <w:widowControl w:val="0"/>
              <w:rPr/>
            </w:pPr>
            <w:r w:rsidDel="00000000" w:rsidR="00000000" w:rsidRPr="00000000">
              <w:rPr>
                <w:rtl w:val="0"/>
              </w:rPr>
              <w:t xml:space="preserve">Year</w:t>
            </w:r>
          </w:p>
          <w:p w:rsidR="00000000" w:rsidDel="00000000" w:rsidP="00000000" w:rsidRDefault="00000000" w:rsidRPr="00000000" w14:paraId="00000006">
            <w:pPr>
              <w:pageBreakBefore w:val="0"/>
              <w:widowControl w:val="0"/>
              <w:rPr/>
            </w:pPr>
            <w:r w:rsidDel="00000000" w:rsidR="00000000" w:rsidRPr="00000000">
              <w:rPr>
                <w:rtl w:val="0"/>
              </w:rPr>
              <w:t xml:space="preserve">Program</w:t>
            </w:r>
            <w:r w:rsidDel="00000000" w:rsidR="00000000" w:rsidRPr="00000000">
              <w:rPr>
                <w:rtl w:val="0"/>
              </w:rPr>
            </w:r>
          </w:p>
        </w:tc>
        <w:tc>
          <w:tcPr>
            <w:tcBorders>
              <w:top w:color="000000" w:space="0" w:sz="6" w:val="single"/>
              <w:left w:color="cccccc" w:space="0" w:sz="6" w:val="single"/>
              <w:bottom w:color="000000" w:space="0" w:sz="6" w:val="single"/>
              <w:right w:color="000000" w:space="0" w:sz="6" w:val="single"/>
            </w:tcBorders>
            <w:tcMar>
              <w:top w:w="40.0" w:type="dxa"/>
              <w:left w:w="40.0" w:type="dxa"/>
              <w:bottom w:w="40.0" w:type="dxa"/>
              <w:right w:w="40.0" w:type="dxa"/>
            </w:tcMar>
            <w:vAlign w:val="top"/>
          </w:tcPr>
          <w:p w:rsidR="00000000" w:rsidDel="00000000" w:rsidP="00000000" w:rsidRDefault="00000000" w:rsidRPr="00000000" w14:paraId="00000007">
            <w:pPr>
              <w:pageBreakBefore w:val="0"/>
              <w:widowControl w:val="0"/>
              <w:rPr/>
            </w:pPr>
            <w:r w:rsidDel="00000000" w:rsidR="00000000" w:rsidRPr="00000000">
              <w:rPr>
                <w:rtl w:val="0"/>
              </w:rPr>
              <w:t xml:space="preserve">Migriño, Julius R.</w:t>
            </w:r>
          </w:p>
          <w:p w:rsidR="00000000" w:rsidDel="00000000" w:rsidP="00000000" w:rsidRDefault="00000000" w:rsidRPr="00000000" w14:paraId="00000008">
            <w:pPr>
              <w:pageBreakBefore w:val="0"/>
              <w:widowControl w:val="0"/>
              <w:rPr/>
            </w:pPr>
            <w:r w:rsidDel="00000000" w:rsidR="00000000" w:rsidRPr="00000000">
              <w:rPr>
                <w:rtl w:val="0"/>
              </w:rPr>
              <w:t xml:space="preserve">Work Preferences in Rural Health Job Posting Among Medical Interns in the Philippines</w:t>
            </w:r>
          </w:p>
          <w:p w:rsidR="00000000" w:rsidDel="00000000" w:rsidP="00000000" w:rsidRDefault="00000000" w:rsidRPr="00000000" w14:paraId="00000009">
            <w:pPr>
              <w:pageBreakBefore w:val="0"/>
              <w:widowControl w:val="0"/>
              <w:rPr/>
            </w:pPr>
            <w:r w:rsidDel="00000000" w:rsidR="00000000" w:rsidRPr="00000000">
              <w:rPr>
                <w:rtl w:val="0"/>
              </w:rPr>
              <w:t xml:space="preserve">2018</w:t>
            </w:r>
          </w:p>
          <w:p w:rsidR="00000000" w:rsidDel="00000000" w:rsidP="00000000" w:rsidRDefault="00000000" w:rsidRPr="00000000" w14:paraId="0000000A">
            <w:pPr>
              <w:pageBreakBefore w:val="0"/>
              <w:widowControl w:val="0"/>
              <w:rPr/>
            </w:pPr>
            <w:r w:rsidDel="00000000" w:rsidR="00000000" w:rsidRPr="00000000">
              <w:rPr>
                <w:rtl w:val="0"/>
              </w:rPr>
              <w:t xml:space="preserve">Master of International Health</w:t>
            </w:r>
          </w:p>
        </w:tc>
      </w:tr>
    </w:tbl>
    <w:p w:rsidR="00000000" w:rsidDel="00000000" w:rsidP="00000000" w:rsidRDefault="00000000" w:rsidRPr="00000000" w14:paraId="0000000B">
      <w:pPr>
        <w:pageBreakBefore w:val="0"/>
        <w:rPr/>
      </w:pPr>
      <w:r w:rsidDel="00000000" w:rsidR="00000000" w:rsidRPr="00000000">
        <w:rPr>
          <w:rtl w:val="0"/>
        </w:rPr>
      </w:r>
    </w:p>
    <w:p w:rsidR="00000000" w:rsidDel="00000000" w:rsidP="00000000" w:rsidRDefault="00000000" w:rsidRPr="00000000" w14:paraId="0000000C">
      <w:pPr>
        <w:pageBreakBefore w:val="0"/>
        <w:jc w:val="center"/>
        <w:rPr>
          <w:b w:val="1"/>
        </w:rPr>
      </w:pPr>
      <w:r w:rsidDel="00000000" w:rsidR="00000000" w:rsidRPr="00000000">
        <w:rPr>
          <w:b w:val="1"/>
          <w:rtl w:val="0"/>
        </w:rPr>
        <w:t xml:space="preserve">ABSTRACT</w:t>
      </w:r>
    </w:p>
    <w:p w:rsidR="00000000" w:rsidDel="00000000" w:rsidP="00000000" w:rsidRDefault="00000000" w:rsidRPr="00000000" w14:paraId="0000000D">
      <w:pPr>
        <w:pageBreakBefore w:val="0"/>
        <w:rPr/>
      </w:pPr>
      <w:r w:rsidDel="00000000" w:rsidR="00000000" w:rsidRPr="00000000">
        <w:rPr>
          <w:rtl w:val="0"/>
        </w:rPr>
      </w:r>
    </w:p>
    <w:p w:rsidR="00000000" w:rsidDel="00000000" w:rsidP="00000000" w:rsidRDefault="00000000" w:rsidRPr="00000000" w14:paraId="0000000E">
      <w:pPr>
        <w:pageBreakBefore w:val="0"/>
        <w:jc w:val="both"/>
        <w:rPr/>
      </w:pPr>
      <w:r w:rsidDel="00000000" w:rsidR="00000000" w:rsidRPr="00000000">
        <w:rPr>
          <w:rtl w:val="0"/>
        </w:rPr>
        <w:t xml:space="preserve">Timely empirical evidence is important in the success of health systems, and in health human resources in the Philippines, such evidence is necessary for informed policy making to address imbalances in the health workforce. This study provides qualitative and quantitative information on the preferences of newly graduated medical doctors regarding rural job postings. Key informant interviews and focus group discussions identified the roles of wages, equipment status, and presence of supervision as important factors in considering a rural job post. Discrete choice experiment results verified the relative value of supervision, location of family from the work area, and availability of career opportunities in the respondents' preferences to work in rural areas: respondents are willing to sacrifice significant salary for better levels of supervision, family location, and career opportunities, and uptake rates for job postings with these incentives also tend to significantly increase recruitment in rural job posts. Combinations of wage and high-impact non-wage incentives tend to produce the highest increases in uptake rates. Age, sex, and economic status do not appear to factor in the respondents' preferences, but those with rural backgrounds tend to value supervision and career opportunities more than their urban counterparts. Young graduates who came from rural backgrounds also tend to consider rural practice soon after graduation, suggesting rural job posting policies may focus on this specific cohort of medical graduates.</w:t>
      </w:r>
    </w:p>
    <w:p w:rsidR="00000000" w:rsidDel="00000000" w:rsidP="00000000" w:rsidRDefault="00000000" w:rsidRPr="00000000" w14:paraId="0000000F">
      <w:pPr>
        <w:pageBreakBefore w:val="0"/>
        <w:jc w:val="both"/>
        <w:rPr/>
      </w:pPr>
      <w:r w:rsidDel="00000000" w:rsidR="00000000" w:rsidRPr="00000000">
        <w:rPr>
          <w:rtl w:val="0"/>
        </w:rPr>
      </w:r>
    </w:p>
    <w:p w:rsidR="00000000" w:rsidDel="00000000" w:rsidP="00000000" w:rsidRDefault="00000000" w:rsidRPr="00000000" w14:paraId="00000010">
      <w:pPr>
        <w:pageBreakBefore w:val="0"/>
        <w:jc w:val="both"/>
        <w:rPr/>
      </w:pPr>
      <w:r w:rsidDel="00000000" w:rsidR="00000000" w:rsidRPr="00000000">
        <w:rPr>
          <w:rtl w:val="0"/>
        </w:rPr>
      </w:r>
    </w:p>
    <w:p w:rsidR="00000000" w:rsidDel="00000000" w:rsidP="00000000" w:rsidRDefault="00000000" w:rsidRPr="00000000" w14:paraId="00000011">
      <w:pPr>
        <w:pageBreakBefore w:val="0"/>
        <w:jc w:val="both"/>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